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97"/>
        <w:tblW w:w="0" w:type="auto"/>
        <w:tblLayout w:type="fixed"/>
        <w:tblCellMar>
          <w:left w:w="71" w:type="dxa"/>
          <w:right w:w="71" w:type="dxa"/>
        </w:tblCellMar>
        <w:tblLook w:val="0000" w:firstRow="0" w:lastRow="0" w:firstColumn="0" w:lastColumn="0" w:noHBand="0" w:noVBand="0"/>
      </w:tblPr>
      <w:tblGrid>
        <w:gridCol w:w="3071"/>
        <w:gridCol w:w="3071"/>
        <w:gridCol w:w="3072"/>
      </w:tblGrid>
      <w:tr w:rsidR="00CF0FFD" w:rsidRPr="00BF0050" w:rsidTr="008E3EA0">
        <w:trPr>
          <w:cantSplit/>
        </w:trPr>
        <w:tc>
          <w:tcPr>
            <w:tcW w:w="9214" w:type="dxa"/>
            <w:gridSpan w:val="3"/>
          </w:tcPr>
          <w:p w:rsidR="00CF0FFD" w:rsidRPr="00BF0050" w:rsidRDefault="00CF0FFD" w:rsidP="00454CAC">
            <w:pPr>
              <w:spacing w:line="480" w:lineRule="auto"/>
              <w:ind w:firstLine="0"/>
              <w:jc w:val="center"/>
              <w:rPr>
                <w:b/>
                <w:color w:val="000080"/>
              </w:rPr>
            </w:pPr>
            <w:r w:rsidRPr="00BF0050">
              <w:object w:dxaOrig="112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5pt;height:67.55pt" o:ole="" fillcolor="window">
                  <v:imagedata r:id="rId10" o:title=""/>
                </v:shape>
                <o:OLEObject Type="Embed" ProgID="MSPhotoEd.3" ShapeID="_x0000_i1025" DrawAspect="Content" ObjectID="_1533626498" r:id="rId11"/>
              </w:object>
            </w:r>
          </w:p>
          <w:p w:rsidR="00CF0FFD" w:rsidRPr="00BF0050" w:rsidRDefault="00CF0FFD" w:rsidP="00234285">
            <w:pPr>
              <w:pStyle w:val="6"/>
              <w:jc w:val="center"/>
            </w:pPr>
            <w:r w:rsidRPr="00BF0050">
              <w:rPr>
                <w:sz w:val="24"/>
              </w:rPr>
              <w:t xml:space="preserve">МИНИСТЕРСТВО ЭКОНОМИЧЕСКОГО РАЗВИТИЯ </w:t>
            </w:r>
            <w:r w:rsidRPr="00BF0050">
              <w:t xml:space="preserve">                                  РОССИЙСКОЙ ФЕДЕРАЦИИ</w:t>
            </w:r>
          </w:p>
          <w:p w:rsidR="00CF0FFD" w:rsidRPr="00BF0050" w:rsidRDefault="00CF0FFD" w:rsidP="00234285">
            <w:pPr>
              <w:spacing w:line="264" w:lineRule="auto"/>
              <w:ind w:firstLine="0"/>
              <w:jc w:val="center"/>
              <w:rPr>
                <w:color w:val="000080"/>
              </w:rPr>
            </w:pPr>
            <w:r w:rsidRPr="00BF0050">
              <w:rPr>
                <w:color w:val="000080"/>
                <w:sz w:val="22"/>
              </w:rPr>
              <w:t>(Минэкономразвития России)</w:t>
            </w:r>
          </w:p>
          <w:p w:rsidR="00CF0FFD" w:rsidRPr="00BF0050" w:rsidRDefault="00CF0FFD" w:rsidP="00234285">
            <w:pPr>
              <w:spacing w:line="120" w:lineRule="atLeast"/>
              <w:jc w:val="center"/>
              <w:rPr>
                <w:rFonts w:ascii="JournalSans" w:hAnsi="JournalSans"/>
                <w:color w:val="000080"/>
              </w:rPr>
            </w:pPr>
            <w:r w:rsidRPr="00BF0050">
              <w:rPr>
                <w:color w:val="000080"/>
              </w:rPr>
              <w:t>_____</w:t>
            </w:r>
          </w:p>
          <w:p w:rsidR="00CF0FFD" w:rsidRPr="00BF0050" w:rsidRDefault="00CF0FFD" w:rsidP="00234285">
            <w:pPr>
              <w:spacing w:line="240" w:lineRule="atLeast"/>
              <w:jc w:val="center"/>
              <w:rPr>
                <w:color w:val="000080"/>
                <w:sz w:val="20"/>
              </w:rPr>
            </w:pPr>
            <w:r w:rsidRPr="00BF0050">
              <w:rPr>
                <w:color w:val="000080"/>
                <w:sz w:val="20"/>
              </w:rPr>
              <w:t xml:space="preserve">125993, ГСП-3, Москва, А-47, ул. 1-я </w:t>
            </w:r>
            <w:proofErr w:type="gramStart"/>
            <w:r w:rsidRPr="00BF0050">
              <w:rPr>
                <w:color w:val="000080"/>
                <w:sz w:val="20"/>
              </w:rPr>
              <w:t>Тверская-Ямская</w:t>
            </w:r>
            <w:proofErr w:type="gramEnd"/>
            <w:r w:rsidRPr="00BF0050">
              <w:rPr>
                <w:color w:val="000080"/>
                <w:sz w:val="20"/>
              </w:rPr>
              <w:t>, д. 1,3</w:t>
            </w:r>
          </w:p>
        </w:tc>
      </w:tr>
      <w:tr w:rsidR="00CF0FFD" w:rsidRPr="00BF0050" w:rsidTr="008E3EA0">
        <w:trPr>
          <w:cantSplit/>
        </w:trPr>
        <w:tc>
          <w:tcPr>
            <w:tcW w:w="3071" w:type="dxa"/>
          </w:tcPr>
          <w:p w:rsidR="00CF0FFD" w:rsidRPr="00BF0050" w:rsidRDefault="00CF0FFD" w:rsidP="00234285">
            <w:pPr>
              <w:jc w:val="center"/>
              <w:rPr>
                <w:color w:val="000080"/>
                <w:sz w:val="20"/>
              </w:rPr>
            </w:pPr>
            <w:r w:rsidRPr="00BF0050">
              <w:rPr>
                <w:color w:val="000080"/>
                <w:sz w:val="20"/>
              </w:rPr>
              <w:t>Телефон: 694-52-71</w:t>
            </w:r>
          </w:p>
        </w:tc>
        <w:tc>
          <w:tcPr>
            <w:tcW w:w="3071" w:type="dxa"/>
          </w:tcPr>
          <w:p w:rsidR="00CF0FFD" w:rsidRPr="00BF0050" w:rsidRDefault="00CF0FFD" w:rsidP="00234285">
            <w:pPr>
              <w:rPr>
                <w:color w:val="000080"/>
                <w:sz w:val="20"/>
              </w:rPr>
            </w:pPr>
            <w:r w:rsidRPr="00BF0050">
              <w:rPr>
                <w:color w:val="000080"/>
                <w:sz w:val="20"/>
              </w:rPr>
              <w:t>Факс: 650-68-24</w:t>
            </w:r>
          </w:p>
        </w:tc>
        <w:tc>
          <w:tcPr>
            <w:tcW w:w="3072" w:type="dxa"/>
          </w:tcPr>
          <w:p w:rsidR="00CF0FFD" w:rsidRPr="00BF0050" w:rsidRDefault="00CF0FFD" w:rsidP="00234285">
            <w:pPr>
              <w:ind w:firstLine="0"/>
              <w:rPr>
                <w:color w:val="000080"/>
                <w:sz w:val="20"/>
                <w:lang w:val="en-US"/>
              </w:rPr>
            </w:pPr>
            <w:r w:rsidRPr="00BF0050">
              <w:rPr>
                <w:color w:val="000080"/>
                <w:sz w:val="20"/>
                <w:lang w:val="en-US"/>
              </w:rPr>
              <w:t xml:space="preserve">E-mail: </w:t>
            </w:r>
            <w:hyperlink r:id="rId12" w:history="1">
              <w:r w:rsidRPr="00BF0050">
                <w:rPr>
                  <w:rStyle w:val="afb"/>
                  <w:sz w:val="20"/>
                  <w:lang w:val="en-US"/>
                </w:rPr>
                <w:t>macro@economy.gov.ru</w:t>
              </w:r>
            </w:hyperlink>
          </w:p>
        </w:tc>
      </w:tr>
    </w:tbl>
    <w:p w:rsidR="00CF0FFD" w:rsidRPr="00BF0050" w:rsidRDefault="00CF0FFD" w:rsidP="004F5DC0">
      <w:pPr>
        <w:spacing w:line="312" w:lineRule="auto"/>
        <w:jc w:val="center"/>
        <w:rPr>
          <w:color w:val="0000FF"/>
          <w:lang w:val="en-US"/>
        </w:rPr>
      </w:pPr>
      <w:r w:rsidRPr="00BF0050">
        <w:rPr>
          <w:lang w:val="en-US"/>
        </w:rPr>
        <w:tab/>
      </w:r>
    </w:p>
    <w:p w:rsidR="00234285" w:rsidRPr="00BF0050" w:rsidRDefault="00234285" w:rsidP="000E78CA">
      <w:pPr>
        <w:spacing w:before="20" w:line="240" w:lineRule="auto"/>
        <w:ind w:firstLine="0"/>
        <w:jc w:val="center"/>
        <w:rPr>
          <w:b/>
          <w:bCs/>
          <w:color w:val="000080"/>
          <w:lang w:val="en-US"/>
        </w:rPr>
      </w:pPr>
    </w:p>
    <w:p w:rsidR="00234285" w:rsidRPr="00BF0050" w:rsidRDefault="00234285" w:rsidP="000E78CA">
      <w:pPr>
        <w:spacing w:before="20" w:line="240" w:lineRule="auto"/>
        <w:ind w:firstLine="0"/>
        <w:jc w:val="center"/>
        <w:rPr>
          <w:b/>
          <w:bCs/>
          <w:color w:val="000080"/>
          <w:lang w:val="en-US"/>
        </w:rPr>
      </w:pPr>
    </w:p>
    <w:p w:rsidR="00234285" w:rsidRPr="00BF0050" w:rsidRDefault="00234285" w:rsidP="000E78CA">
      <w:pPr>
        <w:spacing w:before="20" w:line="240" w:lineRule="auto"/>
        <w:ind w:firstLine="0"/>
        <w:jc w:val="center"/>
        <w:rPr>
          <w:b/>
          <w:bCs/>
          <w:color w:val="000080"/>
          <w:lang w:val="en-US"/>
        </w:rPr>
      </w:pPr>
    </w:p>
    <w:p w:rsidR="00234285" w:rsidRPr="00BF0050" w:rsidRDefault="00234285" w:rsidP="000E78CA">
      <w:pPr>
        <w:spacing w:before="20" w:line="240" w:lineRule="auto"/>
        <w:ind w:firstLine="0"/>
        <w:jc w:val="center"/>
        <w:rPr>
          <w:b/>
          <w:bCs/>
          <w:color w:val="000080"/>
          <w:lang w:val="en-US"/>
        </w:rPr>
      </w:pPr>
    </w:p>
    <w:p w:rsidR="00234285" w:rsidRPr="00BF0050" w:rsidRDefault="00234285" w:rsidP="000E78CA">
      <w:pPr>
        <w:spacing w:before="20" w:line="240" w:lineRule="auto"/>
        <w:ind w:firstLine="0"/>
        <w:jc w:val="center"/>
        <w:rPr>
          <w:b/>
          <w:bCs/>
          <w:color w:val="000080"/>
          <w:lang w:val="en-US"/>
        </w:rPr>
      </w:pPr>
    </w:p>
    <w:p w:rsidR="00234285" w:rsidRPr="00BF0050" w:rsidRDefault="00234285" w:rsidP="000E78CA">
      <w:pPr>
        <w:spacing w:before="20" w:line="240" w:lineRule="auto"/>
        <w:ind w:firstLine="0"/>
        <w:jc w:val="center"/>
        <w:rPr>
          <w:b/>
          <w:bCs/>
          <w:color w:val="000080"/>
          <w:lang w:val="en-US"/>
        </w:rPr>
      </w:pPr>
    </w:p>
    <w:p w:rsidR="00CF0FFD" w:rsidRPr="00BF0050" w:rsidRDefault="00CF0FFD" w:rsidP="000E78CA">
      <w:pPr>
        <w:spacing w:before="20" w:line="240" w:lineRule="auto"/>
        <w:ind w:firstLine="0"/>
        <w:jc w:val="center"/>
        <w:rPr>
          <w:b/>
          <w:bCs/>
          <w:color w:val="000080"/>
        </w:rPr>
      </w:pPr>
      <w:r w:rsidRPr="00BF0050">
        <w:rPr>
          <w:b/>
          <w:bCs/>
          <w:color w:val="000080"/>
        </w:rPr>
        <w:t>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w:t>
      </w:r>
      <w:r w:rsidR="00B64415" w:rsidRPr="00BF0050">
        <w:rPr>
          <w:b/>
          <w:bCs/>
          <w:color w:val="000080"/>
        </w:rPr>
        <w:t>7</w:t>
      </w:r>
      <w:r w:rsidRPr="00BF0050">
        <w:rPr>
          <w:b/>
          <w:bCs/>
          <w:color w:val="000080"/>
        </w:rPr>
        <w:t xml:space="preserve"> ГОД И НА ПЛАНОВЫЙ  ПЕРИОД  201</w:t>
      </w:r>
      <w:r w:rsidR="00B64415" w:rsidRPr="00BF0050">
        <w:rPr>
          <w:b/>
          <w:bCs/>
          <w:color w:val="000080"/>
        </w:rPr>
        <w:t>8</w:t>
      </w:r>
      <w:proofErr w:type="gramStart"/>
      <w:r w:rsidRPr="00BF0050">
        <w:rPr>
          <w:b/>
          <w:bCs/>
          <w:color w:val="000080"/>
        </w:rPr>
        <w:t xml:space="preserve"> И</w:t>
      </w:r>
      <w:proofErr w:type="gramEnd"/>
      <w:r w:rsidRPr="00BF0050">
        <w:rPr>
          <w:b/>
          <w:bCs/>
          <w:color w:val="000080"/>
        </w:rPr>
        <w:t xml:space="preserve"> 201</w:t>
      </w:r>
      <w:r w:rsidR="00B64415" w:rsidRPr="00BF0050">
        <w:rPr>
          <w:b/>
          <w:bCs/>
          <w:color w:val="000080"/>
        </w:rPr>
        <w:t>9</w:t>
      </w:r>
      <w:r w:rsidRPr="00BF0050">
        <w:rPr>
          <w:b/>
          <w:bCs/>
          <w:color w:val="000080"/>
        </w:rPr>
        <w:t xml:space="preserve"> ГОДОВ </w:t>
      </w:r>
    </w:p>
    <w:p w:rsidR="00CF0FFD" w:rsidRPr="00BF0050" w:rsidRDefault="00CF0FFD" w:rsidP="004F5DC0">
      <w:pPr>
        <w:pStyle w:val="a6"/>
        <w:jc w:val="center"/>
        <w:rPr>
          <w:b/>
          <w:bCs/>
          <w:color w:val="000080"/>
        </w:rPr>
      </w:pPr>
    </w:p>
    <w:p w:rsidR="00CF0FFD" w:rsidRPr="00BF0050" w:rsidRDefault="00CF0FFD" w:rsidP="004F5DC0">
      <w:pPr>
        <w:pStyle w:val="a6"/>
        <w:jc w:val="center"/>
        <w:rPr>
          <w:b/>
          <w:bCs/>
          <w:color w:val="000080"/>
        </w:rPr>
      </w:pPr>
    </w:p>
    <w:p w:rsidR="00CF0FFD" w:rsidRPr="00BF0050" w:rsidRDefault="00CF0FFD" w:rsidP="004F5DC0"/>
    <w:p w:rsidR="00CF0FFD" w:rsidRPr="00BF0050" w:rsidRDefault="00CF0FFD" w:rsidP="004F5DC0"/>
    <w:p w:rsidR="00CF0FFD" w:rsidRPr="00BF0050" w:rsidRDefault="00CF0FFD" w:rsidP="004F5DC0"/>
    <w:p w:rsidR="00CF0FFD" w:rsidRPr="00BF0050" w:rsidRDefault="00CF0FFD" w:rsidP="004F5DC0"/>
    <w:p w:rsidR="00234285" w:rsidRPr="00BF0050" w:rsidRDefault="00234285" w:rsidP="00CD03B2"/>
    <w:p w:rsidR="00234285" w:rsidRPr="00BF0050" w:rsidRDefault="00234285" w:rsidP="00CD03B2"/>
    <w:p w:rsidR="00234285" w:rsidRPr="00BF0050" w:rsidRDefault="00234285" w:rsidP="00CD03B2"/>
    <w:p w:rsidR="00CF0FFD" w:rsidRPr="00BF0050" w:rsidRDefault="00CF0FFD" w:rsidP="003255BB">
      <w:pPr>
        <w:pStyle w:val="aa"/>
        <w:tabs>
          <w:tab w:val="center" w:pos="5670"/>
        </w:tabs>
        <w:ind w:firstLine="0"/>
        <w:jc w:val="center"/>
        <w:rPr>
          <w:b/>
          <w:color w:val="000080"/>
        </w:rPr>
      </w:pPr>
      <w:r w:rsidRPr="00BF0050">
        <w:rPr>
          <w:b/>
          <w:color w:val="000080"/>
        </w:rPr>
        <w:t>Москва</w:t>
      </w:r>
    </w:p>
    <w:p w:rsidR="00CF0FFD" w:rsidRPr="00BF0050" w:rsidRDefault="00B64415" w:rsidP="003255BB">
      <w:pPr>
        <w:pStyle w:val="a6"/>
        <w:ind w:firstLine="0"/>
        <w:jc w:val="center"/>
        <w:rPr>
          <w:b/>
          <w:bCs/>
          <w:color w:val="000080"/>
        </w:rPr>
      </w:pPr>
      <w:r w:rsidRPr="00BF0050">
        <w:rPr>
          <w:b/>
          <w:bCs/>
          <w:color w:val="000080"/>
        </w:rPr>
        <w:t>Апрель</w:t>
      </w:r>
      <w:r w:rsidR="00CF0FFD" w:rsidRPr="00BF0050">
        <w:rPr>
          <w:b/>
          <w:bCs/>
        </w:rPr>
        <w:t xml:space="preserve">, </w:t>
      </w:r>
      <w:r w:rsidR="00CF0FFD" w:rsidRPr="00BF0050">
        <w:rPr>
          <w:b/>
          <w:bCs/>
          <w:color w:val="000080"/>
        </w:rPr>
        <w:t>201</w:t>
      </w:r>
      <w:r w:rsidRPr="00BF0050">
        <w:rPr>
          <w:b/>
          <w:bCs/>
          <w:color w:val="000080"/>
        </w:rPr>
        <w:t>6</w:t>
      </w:r>
    </w:p>
    <w:p w:rsidR="00CF0FFD" w:rsidRPr="00BF0050" w:rsidRDefault="00CF0FFD" w:rsidP="00435263">
      <w:pPr>
        <w:pStyle w:val="a6"/>
        <w:jc w:val="center"/>
        <w:rPr>
          <w:b/>
          <w:bCs/>
          <w:color w:val="000080"/>
        </w:rPr>
      </w:pPr>
    </w:p>
    <w:p w:rsidR="00CF0FFD" w:rsidRPr="00BF0050" w:rsidRDefault="0077033B" w:rsidP="00637FA7">
      <w:pPr>
        <w:pStyle w:val="affffc"/>
        <w:spacing w:before="600" w:line="360" w:lineRule="auto"/>
        <w:jc w:val="center"/>
        <w:rPr>
          <w:rFonts w:ascii="Times New Roman" w:hAnsi="Times New Roman"/>
          <w:sz w:val="26"/>
          <w:szCs w:val="26"/>
        </w:rPr>
      </w:pPr>
      <w:r w:rsidRPr="00BF0050">
        <w:rPr>
          <w:rFonts w:ascii="Times New Roman" w:hAnsi="Times New Roman"/>
          <w:color w:val="auto"/>
          <w:sz w:val="26"/>
          <w:szCs w:val="26"/>
        </w:rPr>
        <w:lastRenderedPageBreak/>
        <w:t>ОГЛАВЛЕНИЕ</w:t>
      </w:r>
    </w:p>
    <w:p w:rsidR="00CF0FFD" w:rsidRPr="00BF0050" w:rsidRDefault="00CF0FFD" w:rsidP="000706E1">
      <w:pPr>
        <w:pStyle w:val="18"/>
      </w:pPr>
    </w:p>
    <w:p w:rsidR="002D4A44" w:rsidRPr="00BF0050" w:rsidRDefault="0029734C">
      <w:pPr>
        <w:pStyle w:val="18"/>
        <w:rPr>
          <w:rFonts w:ascii="Times New Roman" w:eastAsiaTheme="minorEastAsia" w:hAnsi="Times New Roman"/>
          <w:noProof/>
          <w:sz w:val="24"/>
          <w:szCs w:val="24"/>
          <w:lang w:eastAsia="ru-RU"/>
        </w:rPr>
      </w:pPr>
      <w:r w:rsidRPr="00BF0050">
        <w:rPr>
          <w:rStyle w:val="afb"/>
          <w:rFonts w:ascii="Times New Roman" w:hAnsi="Times New Roman"/>
          <w:noProof/>
          <w:sz w:val="24"/>
          <w:szCs w:val="24"/>
        </w:rPr>
        <w:fldChar w:fldCharType="begin"/>
      </w:r>
      <w:r w:rsidR="00CF0FFD" w:rsidRPr="00BF0050">
        <w:rPr>
          <w:rStyle w:val="afb"/>
          <w:rFonts w:ascii="Times New Roman" w:hAnsi="Times New Roman"/>
          <w:noProof/>
          <w:sz w:val="24"/>
          <w:szCs w:val="24"/>
        </w:rPr>
        <w:instrText xml:space="preserve"> TOC \o "1-3" \h \z \u </w:instrText>
      </w:r>
      <w:r w:rsidRPr="00BF0050">
        <w:rPr>
          <w:rStyle w:val="afb"/>
          <w:rFonts w:ascii="Times New Roman" w:hAnsi="Times New Roman"/>
          <w:noProof/>
          <w:sz w:val="24"/>
          <w:szCs w:val="24"/>
        </w:rPr>
        <w:fldChar w:fldCharType="separate"/>
      </w:r>
      <w:hyperlink w:anchor="_Toc447812938" w:history="1">
        <w:r w:rsidR="002D4A44" w:rsidRPr="00BF0050">
          <w:rPr>
            <w:rStyle w:val="afb"/>
            <w:rFonts w:ascii="Times New Roman" w:hAnsi="Times New Roman"/>
            <w:noProof/>
            <w:sz w:val="24"/>
            <w:szCs w:val="24"/>
          </w:rPr>
          <w:t>1.</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Краткая характеристика вариантов прогноза</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_Toc447812938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3</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39" w:history="1">
        <w:r w:rsidR="002D4A44" w:rsidRPr="00BF0050">
          <w:rPr>
            <w:rStyle w:val="afb"/>
            <w:rFonts w:ascii="Times New Roman" w:hAnsi="Times New Roman"/>
            <w:noProof/>
            <w:sz w:val="24"/>
            <w:szCs w:val="24"/>
          </w:rPr>
          <w:t>2.    Тенденции развития мировой экономики</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_Toc447812939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7</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0" w:history="1">
        <w:r w:rsidR="002D4A44" w:rsidRPr="00BF0050">
          <w:rPr>
            <w:rStyle w:val="afb"/>
            <w:rFonts w:ascii="Times New Roman" w:hAnsi="Times New Roman"/>
            <w:noProof/>
            <w:sz w:val="24"/>
            <w:szCs w:val="24"/>
          </w:rPr>
          <w:t>3.    Демографическая ситуация</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_Toc447812940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15</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1" w:history="1">
        <w:r w:rsidR="002D4A44" w:rsidRPr="00BF0050">
          <w:rPr>
            <w:rStyle w:val="afb"/>
            <w:rFonts w:ascii="Times New Roman" w:hAnsi="Times New Roman"/>
            <w:noProof/>
            <w:sz w:val="24"/>
            <w:szCs w:val="24"/>
          </w:rPr>
          <w:t>4.</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Характеристика макроэкономических параметров базового варианта прогноза</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_Toc447812941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16</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2" w:history="1">
        <w:r w:rsidR="002D4A44" w:rsidRPr="00BF0050">
          <w:rPr>
            <w:rStyle w:val="afb"/>
            <w:rFonts w:ascii="Times New Roman" w:hAnsi="Times New Roman"/>
            <w:noProof/>
            <w:sz w:val="24"/>
            <w:szCs w:val="24"/>
          </w:rPr>
          <w:t>5.</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Инвестиции в основной капитал</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_Toc447812942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24</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3" w:history="1">
        <w:r w:rsidR="002D4A44" w:rsidRPr="00BF0050">
          <w:rPr>
            <w:rStyle w:val="afb"/>
            <w:rFonts w:ascii="Times New Roman" w:hAnsi="Times New Roman"/>
            <w:noProof/>
            <w:sz w:val="24"/>
            <w:szCs w:val="24"/>
          </w:rPr>
          <w:t>6.</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Рынок труда и социальные показатели</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_Toc447812943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26</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4" w:history="1">
        <w:r w:rsidR="002D4A44" w:rsidRPr="00BF0050">
          <w:rPr>
            <w:rStyle w:val="afb"/>
            <w:rFonts w:ascii="Times New Roman" w:hAnsi="Times New Roman"/>
            <w:noProof/>
            <w:sz w:val="24"/>
            <w:szCs w:val="24"/>
          </w:rPr>
          <w:t>7.</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Структурные  сдвиги в реальном секторе экономики</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_Toc447812944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29</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5" w:history="1">
        <w:r w:rsidR="002D4A44" w:rsidRPr="00BF0050">
          <w:rPr>
            <w:rStyle w:val="afb"/>
            <w:rFonts w:ascii="Times New Roman" w:hAnsi="Times New Roman"/>
            <w:noProof/>
            <w:sz w:val="24"/>
            <w:szCs w:val="24"/>
          </w:rPr>
          <w:t>8.</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Инфляция и ценовые показатели прогноза</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_Toc447812945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42</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6" w:history="1">
        <w:r w:rsidR="002D4A44" w:rsidRPr="00BF0050">
          <w:rPr>
            <w:rStyle w:val="afb"/>
            <w:rFonts w:ascii="Times New Roman" w:hAnsi="Times New Roman"/>
            <w:noProof/>
            <w:sz w:val="24"/>
            <w:szCs w:val="24"/>
          </w:rPr>
          <w:t>9.</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Тарифы на товары (услуги) инфраструктурных компаний</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_Toc447812946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45</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7" w:history="1">
        <w:r w:rsidR="002D4A44" w:rsidRPr="00BF0050">
          <w:rPr>
            <w:rStyle w:val="afb"/>
            <w:rFonts w:ascii="Times New Roman" w:hAnsi="Times New Roman"/>
            <w:noProof/>
            <w:sz w:val="24"/>
            <w:szCs w:val="24"/>
          </w:rPr>
          <w:t>10.</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Риски базового сценария прогноза</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_Toc447812947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48</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8" w:history="1">
        <w:r w:rsidR="002D4A44" w:rsidRPr="00BF0050">
          <w:rPr>
            <w:rStyle w:val="afb"/>
            <w:rFonts w:ascii="Times New Roman" w:hAnsi="Times New Roman"/>
            <w:noProof/>
            <w:sz w:val="24"/>
            <w:szCs w:val="24"/>
          </w:rPr>
          <w:t>11.</w:t>
        </w:r>
        <w:r w:rsidR="002D4A44" w:rsidRPr="00BF0050">
          <w:rPr>
            <w:rFonts w:ascii="Times New Roman" w:eastAsiaTheme="minorEastAsia" w:hAnsi="Times New Roman"/>
            <w:noProof/>
            <w:sz w:val="24"/>
            <w:szCs w:val="24"/>
            <w:lang w:eastAsia="ru-RU"/>
          </w:rPr>
          <w:tab/>
        </w:r>
        <w:r w:rsidR="002D4A44" w:rsidRPr="00BF0050">
          <w:rPr>
            <w:rStyle w:val="afb"/>
            <w:rFonts w:ascii="Times New Roman" w:hAnsi="Times New Roman"/>
            <w:noProof/>
            <w:sz w:val="24"/>
            <w:szCs w:val="24"/>
          </w:rPr>
          <w:t>Финансовая сбалансированность экономического роста</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_Toc447812948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49</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49" w:history="1">
        <w:r w:rsidR="002D4A44" w:rsidRPr="00BF0050">
          <w:rPr>
            <w:rStyle w:val="afb"/>
            <w:rFonts w:ascii="Times New Roman" w:eastAsiaTheme="minorHAnsi" w:hAnsi="Times New Roman"/>
            <w:noProof/>
            <w:sz w:val="24"/>
            <w:szCs w:val="24"/>
          </w:rPr>
          <w:t>12.</w:t>
        </w:r>
        <w:r w:rsidR="002D4A44" w:rsidRPr="00BF0050">
          <w:rPr>
            <w:rFonts w:ascii="Times New Roman" w:eastAsiaTheme="minorEastAsia" w:hAnsi="Times New Roman"/>
            <w:noProof/>
            <w:sz w:val="24"/>
            <w:szCs w:val="24"/>
            <w:lang w:eastAsia="ru-RU"/>
          </w:rPr>
          <w:tab/>
        </w:r>
        <w:r w:rsidR="002D4A44" w:rsidRPr="00BF0050">
          <w:rPr>
            <w:rStyle w:val="afb"/>
            <w:rFonts w:ascii="Times New Roman" w:eastAsiaTheme="minorHAnsi" w:hAnsi="Times New Roman"/>
            <w:noProof/>
            <w:sz w:val="24"/>
            <w:szCs w:val="24"/>
          </w:rPr>
          <w:t>Характеристика макроэкономических параметров консервативного варианта прогноза</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_Toc447812949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53</w:t>
        </w:r>
        <w:r w:rsidR="002D4A44" w:rsidRPr="00BF0050">
          <w:rPr>
            <w:rFonts w:ascii="Times New Roman" w:hAnsi="Times New Roman"/>
            <w:noProof/>
            <w:webHidden/>
            <w:sz w:val="24"/>
            <w:szCs w:val="24"/>
          </w:rPr>
          <w:fldChar w:fldCharType="end"/>
        </w:r>
      </w:hyperlink>
    </w:p>
    <w:p w:rsidR="002D4A44" w:rsidRPr="00BF0050" w:rsidRDefault="00E715B6">
      <w:pPr>
        <w:pStyle w:val="18"/>
        <w:rPr>
          <w:rFonts w:ascii="Times New Roman" w:eastAsiaTheme="minorEastAsia" w:hAnsi="Times New Roman"/>
          <w:noProof/>
          <w:sz w:val="24"/>
          <w:szCs w:val="24"/>
          <w:lang w:eastAsia="ru-RU"/>
        </w:rPr>
      </w:pPr>
      <w:hyperlink w:anchor="_Toc447812950" w:history="1">
        <w:r w:rsidR="002D4A44" w:rsidRPr="00BF0050">
          <w:rPr>
            <w:rStyle w:val="afb"/>
            <w:rFonts w:ascii="Times New Roman" w:eastAsiaTheme="minorHAnsi" w:hAnsi="Times New Roman"/>
            <w:bCs/>
            <w:noProof/>
            <w:sz w:val="24"/>
            <w:szCs w:val="24"/>
          </w:rPr>
          <w:t>13.</w:t>
        </w:r>
        <w:r w:rsidR="002D4A44" w:rsidRPr="00BF0050">
          <w:rPr>
            <w:rFonts w:ascii="Times New Roman" w:eastAsiaTheme="minorEastAsia" w:hAnsi="Times New Roman"/>
            <w:noProof/>
            <w:sz w:val="24"/>
            <w:szCs w:val="24"/>
            <w:lang w:eastAsia="ru-RU"/>
          </w:rPr>
          <w:tab/>
        </w:r>
        <w:r w:rsidR="002D4A44" w:rsidRPr="00BF0050">
          <w:rPr>
            <w:rStyle w:val="afb"/>
            <w:rFonts w:ascii="Times New Roman" w:eastAsiaTheme="minorHAnsi" w:hAnsi="Times New Roman"/>
            <w:bCs/>
            <w:noProof/>
            <w:sz w:val="24"/>
            <w:szCs w:val="24"/>
          </w:rPr>
          <w:t>Характеристика макроэкономических параметров целевого варианта прогноза</w:t>
        </w:r>
        <w:r w:rsidR="002D4A44" w:rsidRPr="00BF0050">
          <w:rPr>
            <w:rFonts w:ascii="Times New Roman" w:hAnsi="Times New Roman"/>
            <w:noProof/>
            <w:webHidden/>
            <w:sz w:val="24"/>
            <w:szCs w:val="24"/>
          </w:rPr>
          <w:tab/>
        </w:r>
        <w:r w:rsidR="002D4A44" w:rsidRPr="00BF0050">
          <w:rPr>
            <w:rFonts w:ascii="Times New Roman" w:hAnsi="Times New Roman"/>
            <w:noProof/>
            <w:webHidden/>
            <w:sz w:val="24"/>
            <w:szCs w:val="24"/>
          </w:rPr>
          <w:fldChar w:fldCharType="begin"/>
        </w:r>
        <w:r w:rsidR="002D4A44" w:rsidRPr="00BF0050">
          <w:rPr>
            <w:rFonts w:ascii="Times New Roman" w:hAnsi="Times New Roman"/>
            <w:noProof/>
            <w:webHidden/>
            <w:sz w:val="24"/>
            <w:szCs w:val="24"/>
          </w:rPr>
          <w:instrText xml:space="preserve"> PAGEREF _Toc447812950 \h </w:instrText>
        </w:r>
        <w:r w:rsidR="002D4A44" w:rsidRPr="00BF0050">
          <w:rPr>
            <w:rFonts w:ascii="Times New Roman" w:hAnsi="Times New Roman"/>
            <w:noProof/>
            <w:webHidden/>
            <w:sz w:val="24"/>
            <w:szCs w:val="24"/>
          </w:rPr>
        </w:r>
        <w:r w:rsidR="002D4A44" w:rsidRPr="00BF0050">
          <w:rPr>
            <w:rFonts w:ascii="Times New Roman" w:hAnsi="Times New Roman"/>
            <w:noProof/>
            <w:webHidden/>
            <w:sz w:val="24"/>
            <w:szCs w:val="24"/>
          </w:rPr>
          <w:fldChar w:fldCharType="separate"/>
        </w:r>
        <w:r w:rsidR="000560A8" w:rsidRPr="00BF0050">
          <w:rPr>
            <w:rFonts w:ascii="Times New Roman" w:hAnsi="Times New Roman"/>
            <w:noProof/>
            <w:webHidden/>
            <w:sz w:val="24"/>
            <w:szCs w:val="24"/>
          </w:rPr>
          <w:t>54</w:t>
        </w:r>
        <w:r w:rsidR="002D4A44" w:rsidRPr="00BF0050">
          <w:rPr>
            <w:rFonts w:ascii="Times New Roman" w:hAnsi="Times New Roman"/>
            <w:noProof/>
            <w:webHidden/>
            <w:sz w:val="24"/>
            <w:szCs w:val="24"/>
          </w:rPr>
          <w:fldChar w:fldCharType="end"/>
        </w:r>
      </w:hyperlink>
    </w:p>
    <w:p w:rsidR="00CF0FFD" w:rsidRPr="00BF0050" w:rsidRDefault="0029734C" w:rsidP="00820D0A">
      <w:pPr>
        <w:pStyle w:val="a6"/>
        <w:jc w:val="center"/>
        <w:rPr>
          <w:b/>
          <w:color w:val="000080"/>
        </w:rPr>
      </w:pPr>
      <w:r w:rsidRPr="00BF0050">
        <w:rPr>
          <w:rStyle w:val="afb"/>
          <w:noProof/>
        </w:rPr>
        <w:fldChar w:fldCharType="end"/>
      </w:r>
    </w:p>
    <w:p w:rsidR="00CF0FFD" w:rsidRPr="00BF0050" w:rsidRDefault="00CF0FFD" w:rsidP="00435263">
      <w:pPr>
        <w:pStyle w:val="a6"/>
        <w:jc w:val="center"/>
        <w:rPr>
          <w:b/>
          <w:bCs/>
          <w:color w:val="000080"/>
        </w:rPr>
      </w:pPr>
    </w:p>
    <w:p w:rsidR="00CF0FFD" w:rsidRPr="00BF0050" w:rsidRDefault="00CF0FFD" w:rsidP="00435263">
      <w:pPr>
        <w:pStyle w:val="a6"/>
        <w:jc w:val="center"/>
        <w:rPr>
          <w:b/>
          <w:bCs/>
          <w:color w:val="000080"/>
        </w:rPr>
      </w:pPr>
    </w:p>
    <w:p w:rsidR="00CF0FFD" w:rsidRPr="00BF0050" w:rsidRDefault="00CF0FFD" w:rsidP="00435263">
      <w:pPr>
        <w:pStyle w:val="a6"/>
        <w:jc w:val="center"/>
        <w:rPr>
          <w:b/>
          <w:bCs/>
          <w:color w:val="000080"/>
        </w:rPr>
      </w:pPr>
    </w:p>
    <w:p w:rsidR="00CF0FFD" w:rsidRPr="00BF0050" w:rsidRDefault="00CF0FFD" w:rsidP="00435263">
      <w:pPr>
        <w:pStyle w:val="a6"/>
        <w:jc w:val="center"/>
        <w:rPr>
          <w:b/>
          <w:bCs/>
          <w:color w:val="000080"/>
        </w:rPr>
      </w:pPr>
    </w:p>
    <w:p w:rsidR="00CF0FFD" w:rsidRPr="00BF0050" w:rsidRDefault="00CF0FFD" w:rsidP="00435263">
      <w:pPr>
        <w:pStyle w:val="a6"/>
        <w:jc w:val="center"/>
        <w:rPr>
          <w:b/>
          <w:bCs/>
          <w:color w:val="000080"/>
        </w:rPr>
      </w:pPr>
    </w:p>
    <w:p w:rsidR="00CF0FFD" w:rsidRPr="00BF0050" w:rsidRDefault="00CF0FFD" w:rsidP="00435263">
      <w:pPr>
        <w:pStyle w:val="a6"/>
        <w:jc w:val="center"/>
        <w:rPr>
          <w:b/>
          <w:bCs/>
          <w:color w:val="000080"/>
        </w:rPr>
      </w:pPr>
    </w:p>
    <w:p w:rsidR="00CF0FFD" w:rsidRPr="00BF0050" w:rsidRDefault="00CF0FFD" w:rsidP="00435263">
      <w:pPr>
        <w:pStyle w:val="a6"/>
        <w:jc w:val="center"/>
        <w:rPr>
          <w:b/>
          <w:bCs/>
          <w:color w:val="000080"/>
        </w:rPr>
      </w:pPr>
    </w:p>
    <w:p w:rsidR="00CF0FFD" w:rsidRPr="00BF0050" w:rsidRDefault="00CF0FFD" w:rsidP="00435263">
      <w:pPr>
        <w:pStyle w:val="a6"/>
        <w:jc w:val="center"/>
        <w:rPr>
          <w:b/>
          <w:bCs/>
          <w:color w:val="000080"/>
        </w:rPr>
      </w:pPr>
    </w:p>
    <w:p w:rsidR="00A039B8" w:rsidRPr="00BF0050" w:rsidRDefault="00A039B8">
      <w:pPr>
        <w:spacing w:before="0" w:after="0" w:line="240" w:lineRule="auto"/>
        <w:ind w:firstLine="0"/>
        <w:rPr>
          <w:sz w:val="26"/>
          <w:szCs w:val="26"/>
        </w:rPr>
      </w:pPr>
      <w:r w:rsidRPr="00BF0050">
        <w:rPr>
          <w:sz w:val="26"/>
          <w:szCs w:val="26"/>
        </w:rPr>
        <w:br w:type="page"/>
      </w:r>
    </w:p>
    <w:p w:rsidR="006E1393" w:rsidRPr="00BF0050" w:rsidRDefault="00F67FAD" w:rsidP="006E1393">
      <w:pPr>
        <w:spacing w:before="0" w:after="0"/>
        <w:ind w:firstLine="720"/>
        <w:jc w:val="both"/>
        <w:rPr>
          <w:rFonts w:eastAsia="Calibri"/>
          <w:color w:val="000000"/>
          <w:sz w:val="26"/>
          <w:szCs w:val="26"/>
        </w:rPr>
      </w:pPr>
      <w:proofErr w:type="gramStart"/>
      <w:r w:rsidRPr="00BF0050">
        <w:rPr>
          <w:sz w:val="26"/>
          <w:szCs w:val="26"/>
        </w:rPr>
        <w:lastRenderedPageBreak/>
        <w:t>Проект сценарных условий и основных макроэкономических параметров социально-экономического развития Российской Федерации на 201</w:t>
      </w:r>
      <w:r w:rsidR="00A44188" w:rsidRPr="00BF0050">
        <w:rPr>
          <w:sz w:val="26"/>
          <w:szCs w:val="26"/>
        </w:rPr>
        <w:t>7</w:t>
      </w:r>
      <w:r w:rsidRPr="00BF0050">
        <w:rPr>
          <w:sz w:val="26"/>
          <w:szCs w:val="26"/>
        </w:rPr>
        <w:t xml:space="preserve"> год и плановый период 201</w:t>
      </w:r>
      <w:r w:rsidR="00A44188" w:rsidRPr="00BF0050">
        <w:rPr>
          <w:sz w:val="26"/>
          <w:szCs w:val="26"/>
        </w:rPr>
        <w:t>8</w:t>
      </w:r>
      <w:r w:rsidRPr="00BF0050">
        <w:rPr>
          <w:sz w:val="26"/>
          <w:szCs w:val="26"/>
        </w:rPr>
        <w:t xml:space="preserve"> и 201</w:t>
      </w:r>
      <w:r w:rsidR="00A44188" w:rsidRPr="00BF0050">
        <w:rPr>
          <w:sz w:val="26"/>
          <w:szCs w:val="26"/>
        </w:rPr>
        <w:t>9</w:t>
      </w:r>
      <w:r w:rsidRPr="00BF0050">
        <w:rPr>
          <w:sz w:val="26"/>
          <w:szCs w:val="26"/>
        </w:rPr>
        <w:t xml:space="preserve"> годов разработан </w:t>
      </w:r>
      <w:r w:rsidR="00F72656" w:rsidRPr="00BF0050">
        <w:rPr>
          <w:sz w:val="26"/>
          <w:szCs w:val="26"/>
        </w:rPr>
        <w:t>исходя из</w:t>
      </w:r>
      <w:r w:rsidRPr="00BF0050">
        <w:rPr>
          <w:sz w:val="26"/>
          <w:szCs w:val="26"/>
        </w:rPr>
        <w:t xml:space="preserve"> приоритетов</w:t>
      </w:r>
      <w:r w:rsidR="00A44188" w:rsidRPr="00BF0050">
        <w:rPr>
          <w:sz w:val="26"/>
          <w:szCs w:val="26"/>
        </w:rPr>
        <w:t xml:space="preserve"> и задач</w:t>
      </w:r>
      <w:r w:rsidRPr="00BF0050">
        <w:rPr>
          <w:sz w:val="26"/>
          <w:szCs w:val="26"/>
        </w:rPr>
        <w:t xml:space="preserve">, </w:t>
      </w:r>
      <w:r w:rsidR="005B38FB" w:rsidRPr="00BF0050">
        <w:rPr>
          <w:sz w:val="26"/>
          <w:szCs w:val="26"/>
        </w:rPr>
        <w:t xml:space="preserve">намеченных </w:t>
      </w:r>
      <w:r w:rsidRPr="00BF0050">
        <w:rPr>
          <w:sz w:val="26"/>
          <w:szCs w:val="26"/>
        </w:rPr>
        <w:t>в</w:t>
      </w:r>
      <w:r w:rsidR="008A3747" w:rsidRPr="00BF0050">
        <w:rPr>
          <w:sz w:val="26"/>
          <w:szCs w:val="26"/>
        </w:rPr>
        <w:t> </w:t>
      </w:r>
      <w:r w:rsidR="00DB278F" w:rsidRPr="00BF0050">
        <w:rPr>
          <w:sz w:val="26"/>
          <w:szCs w:val="26"/>
        </w:rPr>
        <w:t xml:space="preserve">указах и </w:t>
      </w:r>
      <w:r w:rsidRPr="00BF0050">
        <w:rPr>
          <w:sz w:val="26"/>
          <w:szCs w:val="26"/>
        </w:rPr>
        <w:t>послани</w:t>
      </w:r>
      <w:r w:rsidR="00636003" w:rsidRPr="00BF0050">
        <w:rPr>
          <w:sz w:val="26"/>
          <w:szCs w:val="26"/>
        </w:rPr>
        <w:t>ях</w:t>
      </w:r>
      <w:r w:rsidRPr="00BF0050">
        <w:rPr>
          <w:sz w:val="26"/>
          <w:szCs w:val="26"/>
        </w:rPr>
        <w:t xml:space="preserve"> </w:t>
      </w:r>
      <w:r w:rsidR="00DB278F" w:rsidRPr="00BF0050">
        <w:rPr>
          <w:sz w:val="26"/>
          <w:szCs w:val="26"/>
        </w:rPr>
        <w:t xml:space="preserve">Президента Российской Федерации </w:t>
      </w:r>
      <w:r w:rsidR="00F72656" w:rsidRPr="00BF0050">
        <w:rPr>
          <w:sz w:val="26"/>
          <w:szCs w:val="26"/>
        </w:rPr>
        <w:t xml:space="preserve">Федеральному Собранию </w:t>
      </w:r>
      <w:r w:rsidR="00DB278F" w:rsidRPr="00BF0050">
        <w:rPr>
          <w:sz w:val="26"/>
          <w:szCs w:val="26"/>
        </w:rPr>
        <w:t>от 4 декабря 2014 г.</w:t>
      </w:r>
      <w:r w:rsidR="00636003" w:rsidRPr="00BF0050">
        <w:rPr>
          <w:sz w:val="26"/>
          <w:szCs w:val="26"/>
        </w:rPr>
        <w:t xml:space="preserve"> </w:t>
      </w:r>
      <w:r w:rsidR="000B1BFC" w:rsidRPr="00BF0050">
        <w:rPr>
          <w:sz w:val="26"/>
          <w:szCs w:val="26"/>
        </w:rPr>
        <w:t>и</w:t>
      </w:r>
      <w:r w:rsidR="00636003" w:rsidRPr="00BF0050">
        <w:rPr>
          <w:sz w:val="26"/>
          <w:szCs w:val="26"/>
        </w:rPr>
        <w:t xml:space="preserve"> 3 декабря 2015 г.</w:t>
      </w:r>
      <w:r w:rsidR="00F72656" w:rsidRPr="00BF0050">
        <w:rPr>
          <w:sz w:val="26"/>
          <w:szCs w:val="26"/>
        </w:rPr>
        <w:t>, с учетом</w:t>
      </w:r>
      <w:r w:rsidR="000B1BFC" w:rsidRPr="00BF0050">
        <w:rPr>
          <w:sz w:val="26"/>
          <w:szCs w:val="26"/>
        </w:rPr>
        <w:t xml:space="preserve"> состояния и </w:t>
      </w:r>
      <w:r w:rsidR="006E1393" w:rsidRPr="00BF0050">
        <w:rPr>
          <w:sz w:val="26"/>
          <w:szCs w:val="26"/>
        </w:rPr>
        <w:t>динамики</w:t>
      </w:r>
      <w:r w:rsidR="000B1BFC" w:rsidRPr="00BF0050">
        <w:rPr>
          <w:sz w:val="26"/>
          <w:szCs w:val="26"/>
        </w:rPr>
        <w:t xml:space="preserve"> мирово</w:t>
      </w:r>
      <w:r w:rsidR="006E1393" w:rsidRPr="00BF0050">
        <w:rPr>
          <w:sz w:val="26"/>
          <w:szCs w:val="26"/>
        </w:rPr>
        <w:t>й</w:t>
      </w:r>
      <w:r w:rsidR="000B1BFC" w:rsidRPr="00BF0050">
        <w:rPr>
          <w:sz w:val="26"/>
          <w:szCs w:val="26"/>
        </w:rPr>
        <w:t xml:space="preserve"> экономи</w:t>
      </w:r>
      <w:r w:rsidR="006E1393" w:rsidRPr="00BF0050">
        <w:rPr>
          <w:sz w:val="26"/>
          <w:szCs w:val="26"/>
        </w:rPr>
        <w:t xml:space="preserve">ки, </w:t>
      </w:r>
      <w:r w:rsidR="006E345F" w:rsidRPr="00BF0050">
        <w:rPr>
          <w:sz w:val="26"/>
          <w:szCs w:val="26"/>
        </w:rPr>
        <w:t xml:space="preserve"> </w:t>
      </w:r>
      <w:r w:rsidR="000B1BFC" w:rsidRPr="00BF0050">
        <w:rPr>
          <w:sz w:val="26"/>
          <w:szCs w:val="26"/>
        </w:rPr>
        <w:t>конъюнктуры</w:t>
      </w:r>
      <w:r w:rsidR="006E345F" w:rsidRPr="00BF0050">
        <w:rPr>
          <w:sz w:val="26"/>
          <w:szCs w:val="26"/>
        </w:rPr>
        <w:t xml:space="preserve"> мировых товарн</w:t>
      </w:r>
      <w:r w:rsidR="006E1393" w:rsidRPr="00BF0050">
        <w:rPr>
          <w:sz w:val="26"/>
          <w:szCs w:val="26"/>
        </w:rPr>
        <w:t>о-сырьевых</w:t>
      </w:r>
      <w:r w:rsidR="006E345F" w:rsidRPr="00BF0050">
        <w:rPr>
          <w:sz w:val="26"/>
          <w:szCs w:val="26"/>
        </w:rPr>
        <w:t xml:space="preserve"> рынков</w:t>
      </w:r>
      <w:r w:rsidR="000B1BFC" w:rsidRPr="00BF0050">
        <w:rPr>
          <w:sz w:val="26"/>
          <w:szCs w:val="26"/>
        </w:rPr>
        <w:t>, а также</w:t>
      </w:r>
      <w:proofErr w:type="gramEnd"/>
      <w:r w:rsidR="000B1BFC" w:rsidRPr="00BF0050">
        <w:rPr>
          <w:sz w:val="26"/>
          <w:szCs w:val="26"/>
        </w:rPr>
        <w:t xml:space="preserve"> </w:t>
      </w:r>
      <w:r w:rsidR="006E1393" w:rsidRPr="00BF0050">
        <w:rPr>
          <w:sz w:val="26"/>
          <w:szCs w:val="26"/>
        </w:rPr>
        <w:t xml:space="preserve">состояния и тенденций </w:t>
      </w:r>
      <w:r w:rsidR="006E1393" w:rsidRPr="00BF0050">
        <w:rPr>
          <w:rFonts w:eastAsia="Calibri"/>
          <w:color w:val="000000"/>
          <w:sz w:val="26"/>
          <w:szCs w:val="26"/>
        </w:rPr>
        <w:t>развития российской экономики.</w:t>
      </w:r>
    </w:p>
    <w:p w:rsidR="00CF0FFD" w:rsidRPr="00BF0050" w:rsidRDefault="00CF0FFD" w:rsidP="006E345F">
      <w:pPr>
        <w:pStyle w:val="1"/>
        <w:numPr>
          <w:ilvl w:val="0"/>
          <w:numId w:val="2"/>
        </w:numPr>
        <w:spacing w:before="240" w:after="240" w:line="360" w:lineRule="exact"/>
        <w:ind w:left="0" w:firstLine="0"/>
        <w:jc w:val="center"/>
        <w:rPr>
          <w:sz w:val="26"/>
          <w:szCs w:val="26"/>
        </w:rPr>
      </w:pPr>
      <w:bookmarkStart w:id="0" w:name="_Toc413858930"/>
      <w:bookmarkStart w:id="1" w:name="_Toc414557616"/>
      <w:bookmarkStart w:id="2" w:name="_Toc414558180"/>
      <w:bookmarkStart w:id="3" w:name="_Toc414559722"/>
      <w:bookmarkStart w:id="4" w:name="_Toc414637821"/>
      <w:bookmarkStart w:id="5" w:name="_Toc414637869"/>
      <w:bookmarkStart w:id="6" w:name="_Toc414641246"/>
      <w:bookmarkStart w:id="7" w:name="_Toc414641370"/>
      <w:bookmarkStart w:id="8" w:name="_Toc386632358"/>
      <w:bookmarkStart w:id="9" w:name="_Toc447812938"/>
      <w:bookmarkEnd w:id="0"/>
      <w:bookmarkEnd w:id="1"/>
      <w:bookmarkEnd w:id="2"/>
      <w:bookmarkEnd w:id="3"/>
      <w:bookmarkEnd w:id="4"/>
      <w:bookmarkEnd w:id="5"/>
      <w:bookmarkEnd w:id="6"/>
      <w:bookmarkEnd w:id="7"/>
      <w:r w:rsidRPr="00BF0050">
        <w:rPr>
          <w:rFonts w:ascii="Times New Roman" w:hAnsi="Times New Roman"/>
          <w:color w:val="auto"/>
          <w:sz w:val="26"/>
          <w:szCs w:val="26"/>
        </w:rPr>
        <w:t>Краткая характеристи</w:t>
      </w:r>
      <w:r w:rsidR="0029734C" w:rsidRPr="00BF0050">
        <w:rPr>
          <w:rFonts w:ascii="Times New Roman" w:hAnsi="Times New Roman" w:hint="eastAsia"/>
          <w:color w:val="auto"/>
          <w:sz w:val="26"/>
          <w:szCs w:val="26"/>
        </w:rPr>
        <w:t>ка</w:t>
      </w:r>
      <w:r w:rsidR="0029734C" w:rsidRPr="00BF0050">
        <w:rPr>
          <w:rFonts w:ascii="Times New Roman" w:hAnsi="Times New Roman"/>
          <w:color w:val="auto"/>
          <w:sz w:val="26"/>
          <w:szCs w:val="26"/>
        </w:rPr>
        <w:t xml:space="preserve"> </w:t>
      </w:r>
      <w:r w:rsidR="0029734C" w:rsidRPr="00BF0050">
        <w:rPr>
          <w:rFonts w:ascii="Times New Roman" w:hAnsi="Times New Roman" w:hint="eastAsia"/>
          <w:color w:val="auto"/>
          <w:sz w:val="26"/>
          <w:szCs w:val="26"/>
        </w:rPr>
        <w:t>вариантов</w:t>
      </w:r>
      <w:r w:rsidR="0029734C" w:rsidRPr="00BF0050">
        <w:rPr>
          <w:rFonts w:ascii="Times New Roman" w:hAnsi="Times New Roman"/>
          <w:color w:val="auto"/>
          <w:sz w:val="26"/>
          <w:szCs w:val="26"/>
        </w:rPr>
        <w:t xml:space="preserve"> </w:t>
      </w:r>
      <w:bookmarkEnd w:id="8"/>
      <w:r w:rsidR="00887E1A" w:rsidRPr="00BF0050">
        <w:rPr>
          <w:rFonts w:ascii="Times New Roman" w:hAnsi="Times New Roman"/>
          <w:color w:val="auto"/>
          <w:sz w:val="26"/>
          <w:szCs w:val="26"/>
        </w:rPr>
        <w:t>прогноза</w:t>
      </w:r>
      <w:bookmarkEnd w:id="9"/>
    </w:p>
    <w:p w:rsidR="006E345F" w:rsidRPr="00BF0050" w:rsidRDefault="006E345F" w:rsidP="006E345F">
      <w:pPr>
        <w:spacing w:before="0" w:after="0"/>
        <w:ind w:firstLine="720"/>
        <w:jc w:val="both"/>
        <w:rPr>
          <w:rFonts w:eastAsia="Calibri"/>
          <w:color w:val="000000"/>
          <w:sz w:val="26"/>
          <w:szCs w:val="26"/>
        </w:rPr>
      </w:pPr>
      <w:proofErr w:type="gramStart"/>
      <w:r w:rsidRPr="00BF0050">
        <w:rPr>
          <w:rFonts w:eastAsia="Calibri"/>
          <w:color w:val="000000"/>
          <w:sz w:val="26"/>
          <w:szCs w:val="26"/>
        </w:rPr>
        <w:t xml:space="preserve">Прогноз сценарных условий и основных макроэкономических параметров социально-экономического развития Российской Федерации на 2017 – 2019 гг. разработан в составе трех основных вариантов – базового, консервативного и целевого. </w:t>
      </w:r>
      <w:proofErr w:type="gramEnd"/>
    </w:p>
    <w:p w:rsidR="006E1393" w:rsidRPr="00BF0050" w:rsidRDefault="00AF0233" w:rsidP="006E345F">
      <w:pPr>
        <w:spacing w:before="0" w:after="0"/>
        <w:ind w:firstLine="720"/>
        <w:jc w:val="both"/>
        <w:rPr>
          <w:rFonts w:eastAsia="Calibri"/>
          <w:color w:val="000000"/>
          <w:sz w:val="26"/>
          <w:szCs w:val="26"/>
        </w:rPr>
      </w:pPr>
      <w:r w:rsidRPr="00BF0050">
        <w:rPr>
          <w:rFonts w:eastAsia="Calibri"/>
          <w:color w:val="000000"/>
          <w:sz w:val="26"/>
          <w:szCs w:val="26"/>
        </w:rPr>
        <w:t>П</w:t>
      </w:r>
      <w:r w:rsidR="006E345F" w:rsidRPr="00BF0050">
        <w:rPr>
          <w:rFonts w:eastAsia="Calibri"/>
          <w:color w:val="000000"/>
          <w:sz w:val="26"/>
          <w:szCs w:val="26"/>
        </w:rPr>
        <w:t>рогноз рассматрива</w:t>
      </w:r>
      <w:r w:rsidRPr="00BF0050">
        <w:rPr>
          <w:rFonts w:eastAsia="Calibri"/>
          <w:color w:val="000000"/>
          <w:sz w:val="26"/>
          <w:szCs w:val="26"/>
        </w:rPr>
        <w:t>е</w:t>
      </w:r>
      <w:r w:rsidR="006E345F" w:rsidRPr="00BF0050">
        <w:rPr>
          <w:rFonts w:eastAsia="Calibri"/>
          <w:color w:val="000000"/>
          <w:sz w:val="26"/>
          <w:szCs w:val="26"/>
        </w:rPr>
        <w:t xml:space="preserve">т развитие российской экономики в условиях </w:t>
      </w:r>
      <w:r w:rsidR="00C76276" w:rsidRPr="00BF0050">
        <w:rPr>
          <w:rFonts w:eastAsia="Calibri"/>
          <w:color w:val="000000"/>
          <w:sz w:val="26"/>
          <w:szCs w:val="26"/>
        </w:rPr>
        <w:t>сохраняющейся геополитической нестабильности</w:t>
      </w:r>
      <w:r w:rsidR="00A97D5D" w:rsidRPr="00BF0050">
        <w:rPr>
          <w:rFonts w:eastAsia="Calibri"/>
          <w:color w:val="000000"/>
          <w:sz w:val="26"/>
          <w:szCs w:val="26"/>
        </w:rPr>
        <w:t>,</w:t>
      </w:r>
      <w:r w:rsidR="00C76276" w:rsidRPr="00BF0050">
        <w:rPr>
          <w:rFonts w:eastAsia="Calibri"/>
          <w:color w:val="000000"/>
          <w:sz w:val="26"/>
          <w:szCs w:val="26"/>
        </w:rPr>
        <w:t xml:space="preserve"> </w:t>
      </w:r>
      <w:r w:rsidR="008A29B5" w:rsidRPr="00BF0050">
        <w:rPr>
          <w:rFonts w:eastAsia="Calibri"/>
          <w:color w:val="000000"/>
          <w:sz w:val="26"/>
          <w:szCs w:val="26"/>
        </w:rPr>
        <w:t xml:space="preserve">применения </w:t>
      </w:r>
      <w:r w:rsidR="00E64462" w:rsidRPr="00BF0050">
        <w:rPr>
          <w:rFonts w:eastAsia="Calibri"/>
          <w:color w:val="000000"/>
          <w:sz w:val="26"/>
          <w:szCs w:val="26"/>
        </w:rPr>
        <w:t xml:space="preserve">к России </w:t>
      </w:r>
      <w:r w:rsidR="00C76276" w:rsidRPr="00BF0050">
        <w:rPr>
          <w:rFonts w:eastAsia="Calibri"/>
          <w:color w:val="000000"/>
          <w:sz w:val="26"/>
          <w:szCs w:val="26"/>
        </w:rPr>
        <w:t xml:space="preserve">на протяжении всего прогнозного периода </w:t>
      </w:r>
      <w:r w:rsidR="00E64462" w:rsidRPr="00BF0050">
        <w:rPr>
          <w:rFonts w:eastAsia="Calibri"/>
          <w:color w:val="000000"/>
          <w:sz w:val="26"/>
          <w:szCs w:val="26"/>
        </w:rPr>
        <w:t>санкционного режима</w:t>
      </w:r>
      <w:r w:rsidRPr="00BF0050">
        <w:rPr>
          <w:rFonts w:eastAsia="Calibri"/>
          <w:color w:val="000000"/>
          <w:sz w:val="26"/>
          <w:szCs w:val="26"/>
        </w:rPr>
        <w:t xml:space="preserve"> со стороны ЕС и США</w:t>
      </w:r>
      <w:r w:rsidR="00E64462" w:rsidRPr="00BF0050">
        <w:rPr>
          <w:rFonts w:eastAsia="Calibri"/>
          <w:color w:val="000000"/>
          <w:sz w:val="26"/>
          <w:szCs w:val="26"/>
        </w:rPr>
        <w:t>, поддерживающего жесткие ограничения доступа российских компаний к мировому рынку капитала,</w:t>
      </w:r>
      <w:r w:rsidRPr="00BF0050">
        <w:rPr>
          <w:rFonts w:eastAsia="Calibri"/>
          <w:color w:val="000000"/>
          <w:sz w:val="26"/>
          <w:szCs w:val="26"/>
        </w:rPr>
        <w:t xml:space="preserve"> </w:t>
      </w:r>
      <w:r w:rsidR="006E345F" w:rsidRPr="00BF0050">
        <w:rPr>
          <w:rFonts w:eastAsia="Calibri"/>
          <w:color w:val="000000"/>
          <w:sz w:val="26"/>
          <w:szCs w:val="26"/>
        </w:rPr>
        <w:t>и ответных</w:t>
      </w:r>
      <w:r w:rsidR="00E64462" w:rsidRPr="00BF0050">
        <w:rPr>
          <w:rFonts w:eastAsia="Calibri"/>
          <w:color w:val="000000"/>
          <w:sz w:val="26"/>
          <w:szCs w:val="26"/>
        </w:rPr>
        <w:t xml:space="preserve"> экономических мер</w:t>
      </w:r>
      <w:r w:rsidR="006E1393" w:rsidRPr="00BF0050">
        <w:rPr>
          <w:rFonts w:eastAsia="Calibri"/>
          <w:color w:val="000000"/>
          <w:sz w:val="26"/>
          <w:szCs w:val="26"/>
        </w:rPr>
        <w:t xml:space="preserve">. </w:t>
      </w:r>
      <w:r w:rsidR="006E345F" w:rsidRPr="00BF0050">
        <w:rPr>
          <w:rFonts w:eastAsia="Calibri"/>
          <w:color w:val="000000"/>
          <w:sz w:val="26"/>
          <w:szCs w:val="26"/>
        </w:rPr>
        <w:t xml:space="preserve"> </w:t>
      </w:r>
    </w:p>
    <w:p w:rsidR="006E345F" w:rsidRPr="00BF0050" w:rsidRDefault="00AF0233" w:rsidP="006E345F">
      <w:pPr>
        <w:spacing w:before="0" w:after="0"/>
        <w:ind w:firstLine="720"/>
        <w:jc w:val="both"/>
        <w:rPr>
          <w:sz w:val="26"/>
          <w:szCs w:val="26"/>
        </w:rPr>
      </w:pPr>
      <w:r w:rsidRPr="00BF0050">
        <w:rPr>
          <w:rFonts w:eastAsia="Calibri"/>
          <w:color w:val="000000"/>
          <w:sz w:val="26"/>
          <w:szCs w:val="26"/>
        </w:rPr>
        <w:t>Разработанные варианты п</w:t>
      </w:r>
      <w:r w:rsidR="006E345F" w:rsidRPr="00BF0050">
        <w:rPr>
          <w:rFonts w:eastAsia="Calibri"/>
          <w:color w:val="000000"/>
          <w:sz w:val="26"/>
          <w:szCs w:val="26"/>
        </w:rPr>
        <w:t>рогноз</w:t>
      </w:r>
      <w:r w:rsidRPr="00BF0050">
        <w:rPr>
          <w:rFonts w:eastAsia="Calibri"/>
          <w:color w:val="000000"/>
          <w:sz w:val="26"/>
          <w:szCs w:val="26"/>
        </w:rPr>
        <w:t>а</w:t>
      </w:r>
      <w:r w:rsidR="006E345F" w:rsidRPr="00BF0050">
        <w:rPr>
          <w:rFonts w:eastAsia="Calibri"/>
          <w:color w:val="000000"/>
          <w:sz w:val="26"/>
          <w:szCs w:val="26"/>
        </w:rPr>
        <w:t xml:space="preserve"> базиру</w:t>
      </w:r>
      <w:r w:rsidR="003D367B" w:rsidRPr="00BF0050">
        <w:rPr>
          <w:rFonts w:eastAsia="Calibri"/>
          <w:color w:val="000000"/>
          <w:sz w:val="26"/>
          <w:szCs w:val="26"/>
        </w:rPr>
        <w:t>ю</w:t>
      </w:r>
      <w:r w:rsidR="006E345F" w:rsidRPr="00BF0050">
        <w:rPr>
          <w:rFonts w:eastAsia="Calibri"/>
          <w:color w:val="000000"/>
          <w:sz w:val="26"/>
          <w:szCs w:val="26"/>
        </w:rPr>
        <w:t xml:space="preserve">тся на единой гипотезе </w:t>
      </w:r>
      <w:r w:rsidR="00B3706F" w:rsidRPr="00BF0050">
        <w:rPr>
          <w:rFonts w:eastAsia="Calibri"/>
          <w:color w:val="000000"/>
          <w:sz w:val="26"/>
          <w:szCs w:val="26"/>
        </w:rPr>
        <w:t xml:space="preserve">ускорения </w:t>
      </w:r>
      <w:r w:rsidR="006E345F" w:rsidRPr="00BF0050">
        <w:rPr>
          <w:rFonts w:eastAsia="Calibri"/>
          <w:color w:val="000000"/>
          <w:sz w:val="26"/>
          <w:szCs w:val="26"/>
        </w:rPr>
        <w:t xml:space="preserve">развития мировой экономики </w:t>
      </w:r>
      <w:r w:rsidR="00B3706F" w:rsidRPr="00BF0050">
        <w:rPr>
          <w:rFonts w:eastAsia="Calibri"/>
          <w:color w:val="000000"/>
          <w:sz w:val="26"/>
          <w:szCs w:val="26"/>
        </w:rPr>
        <w:t>до 3,2 %</w:t>
      </w:r>
      <w:r w:rsidR="006E345F" w:rsidRPr="00BF0050">
        <w:rPr>
          <w:rFonts w:eastAsia="Calibri"/>
          <w:color w:val="000000"/>
          <w:sz w:val="26"/>
          <w:szCs w:val="26"/>
        </w:rPr>
        <w:t xml:space="preserve"> 2016 году и восстановлением умеренной </w:t>
      </w:r>
      <w:r w:rsidR="002D758F" w:rsidRPr="00BF0050">
        <w:rPr>
          <w:rFonts w:eastAsia="Calibri"/>
          <w:color w:val="000000"/>
          <w:sz w:val="26"/>
          <w:szCs w:val="26"/>
        </w:rPr>
        <w:t>динамики</w:t>
      </w:r>
      <w:r w:rsidR="006E345F" w:rsidRPr="00BF0050">
        <w:rPr>
          <w:rFonts w:eastAsia="Calibri"/>
          <w:color w:val="000000"/>
          <w:sz w:val="26"/>
          <w:szCs w:val="26"/>
        </w:rPr>
        <w:t xml:space="preserve"> в 2017 – 2019 гг. </w:t>
      </w:r>
      <w:r w:rsidR="00DE1BA0" w:rsidRPr="00BF0050">
        <w:rPr>
          <w:rFonts w:eastAsia="Calibri"/>
          <w:color w:val="000000"/>
          <w:sz w:val="26"/>
          <w:szCs w:val="26"/>
        </w:rPr>
        <w:t>с</w:t>
      </w:r>
      <w:r w:rsidR="003D367B" w:rsidRPr="00BF0050">
        <w:rPr>
          <w:rFonts w:eastAsia="Calibri"/>
          <w:color w:val="000000"/>
          <w:sz w:val="26"/>
          <w:szCs w:val="26"/>
        </w:rPr>
        <w:t>о</w:t>
      </w:r>
      <w:r w:rsidR="006E345F" w:rsidRPr="00BF0050">
        <w:rPr>
          <w:rFonts w:eastAsia="Calibri"/>
          <w:color w:val="000000"/>
          <w:sz w:val="26"/>
          <w:szCs w:val="26"/>
        </w:rPr>
        <w:t xml:space="preserve"> средне</w:t>
      </w:r>
      <w:r w:rsidR="003D367B" w:rsidRPr="00BF0050">
        <w:rPr>
          <w:rFonts w:eastAsia="Calibri"/>
          <w:color w:val="000000"/>
          <w:sz w:val="26"/>
          <w:szCs w:val="26"/>
        </w:rPr>
        <w:t>годов</w:t>
      </w:r>
      <w:r w:rsidR="002D758F" w:rsidRPr="00BF0050">
        <w:rPr>
          <w:rFonts w:eastAsia="Calibri"/>
          <w:color w:val="000000"/>
          <w:sz w:val="26"/>
          <w:szCs w:val="26"/>
        </w:rPr>
        <w:t>ым</w:t>
      </w:r>
      <w:r w:rsidR="003D367B" w:rsidRPr="00BF0050">
        <w:rPr>
          <w:rFonts w:eastAsia="Calibri"/>
          <w:color w:val="000000"/>
          <w:sz w:val="26"/>
          <w:szCs w:val="26"/>
        </w:rPr>
        <w:t xml:space="preserve"> </w:t>
      </w:r>
      <w:r w:rsidR="002D758F" w:rsidRPr="00BF0050">
        <w:rPr>
          <w:rFonts w:eastAsia="Calibri"/>
          <w:color w:val="000000"/>
          <w:sz w:val="26"/>
          <w:szCs w:val="26"/>
        </w:rPr>
        <w:t>темпом роста</w:t>
      </w:r>
      <w:r w:rsidR="003D367B" w:rsidRPr="00BF0050">
        <w:rPr>
          <w:rFonts w:eastAsia="Calibri"/>
          <w:color w:val="000000"/>
          <w:sz w:val="26"/>
          <w:szCs w:val="26"/>
        </w:rPr>
        <w:t xml:space="preserve"> 3,</w:t>
      </w:r>
      <w:r w:rsidR="002D758F" w:rsidRPr="00BF0050">
        <w:rPr>
          <w:rFonts w:eastAsia="Calibri"/>
          <w:color w:val="000000"/>
          <w:sz w:val="26"/>
          <w:szCs w:val="26"/>
        </w:rPr>
        <w:t>4</w:t>
      </w:r>
      <w:r w:rsidR="003D367B" w:rsidRPr="00BF0050">
        <w:rPr>
          <w:rFonts w:eastAsia="Calibri"/>
          <w:color w:val="000000"/>
          <w:sz w:val="26"/>
          <w:szCs w:val="26"/>
        </w:rPr>
        <w:t xml:space="preserve"> процента. </w:t>
      </w:r>
    </w:p>
    <w:p w:rsidR="006E345F" w:rsidRPr="00BF0050" w:rsidRDefault="006E345F" w:rsidP="006E345F">
      <w:pPr>
        <w:spacing w:before="0" w:after="0"/>
        <w:jc w:val="both"/>
        <w:rPr>
          <w:rFonts w:eastAsia="Calibri"/>
          <w:color w:val="000000"/>
          <w:sz w:val="26"/>
          <w:szCs w:val="26"/>
        </w:rPr>
      </w:pPr>
      <w:r w:rsidRPr="00BF0050">
        <w:rPr>
          <w:rFonts w:eastAsia="Calibri"/>
          <w:b/>
          <w:color w:val="000000"/>
          <w:sz w:val="26"/>
          <w:szCs w:val="26"/>
        </w:rPr>
        <w:t xml:space="preserve">Базовый вариант </w:t>
      </w:r>
      <w:r w:rsidRPr="00BF0050">
        <w:rPr>
          <w:rFonts w:eastAsia="Calibri"/>
          <w:color w:val="000000"/>
          <w:sz w:val="26"/>
          <w:szCs w:val="26"/>
        </w:rPr>
        <w:t xml:space="preserve">характеризует развитие </w:t>
      </w:r>
      <w:r w:rsidR="00BD0748" w:rsidRPr="00BF0050">
        <w:rPr>
          <w:rFonts w:eastAsia="Calibri"/>
          <w:color w:val="000000"/>
          <w:sz w:val="26"/>
          <w:szCs w:val="26"/>
        </w:rPr>
        <w:t xml:space="preserve">российской </w:t>
      </w:r>
      <w:r w:rsidRPr="00BF0050">
        <w:rPr>
          <w:rFonts w:eastAsia="Calibri"/>
          <w:color w:val="000000"/>
          <w:sz w:val="26"/>
          <w:szCs w:val="26"/>
        </w:rPr>
        <w:t>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государства</w:t>
      </w:r>
      <w:r w:rsidR="002D758F" w:rsidRPr="00BF0050">
        <w:rPr>
          <w:rFonts w:eastAsia="Calibri"/>
          <w:color w:val="000000"/>
          <w:sz w:val="26"/>
          <w:szCs w:val="26"/>
        </w:rPr>
        <w:t>.</w:t>
      </w:r>
    </w:p>
    <w:p w:rsidR="006E345F" w:rsidRPr="00BF0050" w:rsidRDefault="006E345F" w:rsidP="006E345F">
      <w:pPr>
        <w:spacing w:before="0" w:after="0"/>
        <w:ind w:firstLine="720"/>
        <w:jc w:val="both"/>
        <w:rPr>
          <w:sz w:val="26"/>
          <w:szCs w:val="26"/>
          <w:lang w:eastAsia="en-US"/>
        </w:rPr>
      </w:pPr>
      <w:r w:rsidRPr="00BF0050">
        <w:rPr>
          <w:rFonts w:eastAsia="Calibri"/>
          <w:color w:val="000000"/>
          <w:sz w:val="26"/>
          <w:szCs w:val="26"/>
        </w:rPr>
        <w:t xml:space="preserve">Вариант </w:t>
      </w:r>
      <w:r w:rsidR="003D367B" w:rsidRPr="00BF0050">
        <w:rPr>
          <w:rFonts w:eastAsia="Calibri"/>
          <w:color w:val="000000"/>
          <w:sz w:val="26"/>
          <w:szCs w:val="26"/>
        </w:rPr>
        <w:t xml:space="preserve">разработан </w:t>
      </w:r>
      <w:r w:rsidRPr="00BF0050">
        <w:rPr>
          <w:rFonts w:eastAsia="Calibri"/>
          <w:color w:val="000000"/>
          <w:sz w:val="26"/>
          <w:szCs w:val="26"/>
        </w:rPr>
        <w:t>исход</w:t>
      </w:r>
      <w:r w:rsidR="003D367B" w:rsidRPr="00BF0050">
        <w:rPr>
          <w:rFonts w:eastAsia="Calibri"/>
          <w:color w:val="000000"/>
          <w:sz w:val="26"/>
          <w:szCs w:val="26"/>
        </w:rPr>
        <w:t>я</w:t>
      </w:r>
      <w:r w:rsidRPr="00BF0050">
        <w:rPr>
          <w:rFonts w:eastAsia="Calibri"/>
          <w:color w:val="000000"/>
          <w:sz w:val="26"/>
          <w:szCs w:val="26"/>
        </w:rPr>
        <w:t xml:space="preserve"> из умеренной динамики цен на нефть </w:t>
      </w:r>
      <w:r w:rsidRPr="00BF0050">
        <w:rPr>
          <w:rFonts w:eastAsia="Calibri"/>
          <w:color w:val="000000"/>
          <w:sz w:val="26"/>
          <w:szCs w:val="26"/>
          <w:lang w:val="en-US"/>
        </w:rPr>
        <w:t>Urals</w:t>
      </w:r>
      <w:r w:rsidR="003D367B" w:rsidRPr="00BF0050">
        <w:rPr>
          <w:rFonts w:eastAsia="Calibri"/>
          <w:color w:val="000000"/>
          <w:sz w:val="26"/>
          <w:szCs w:val="26"/>
        </w:rPr>
        <w:t xml:space="preserve"> </w:t>
      </w:r>
      <w:r w:rsidR="00DE1BA0" w:rsidRPr="00BF0050">
        <w:rPr>
          <w:rFonts w:eastAsia="Calibri"/>
          <w:color w:val="000000"/>
          <w:sz w:val="26"/>
          <w:szCs w:val="26"/>
        </w:rPr>
        <w:t xml:space="preserve">на уровне </w:t>
      </w:r>
      <w:r w:rsidRPr="00BF0050">
        <w:rPr>
          <w:rFonts w:eastAsia="Calibri"/>
          <w:color w:val="000000"/>
          <w:sz w:val="26"/>
          <w:szCs w:val="26"/>
        </w:rPr>
        <w:t>40 долл. США/</w:t>
      </w:r>
      <w:proofErr w:type="spellStart"/>
      <w:r w:rsidRPr="00BF0050">
        <w:rPr>
          <w:rFonts w:eastAsia="Calibri"/>
          <w:color w:val="000000"/>
          <w:sz w:val="26"/>
          <w:szCs w:val="26"/>
        </w:rPr>
        <w:t>барр</w:t>
      </w:r>
      <w:proofErr w:type="spellEnd"/>
      <w:r w:rsidRPr="00BF0050">
        <w:rPr>
          <w:rFonts w:eastAsia="Calibri"/>
          <w:color w:val="000000"/>
          <w:sz w:val="26"/>
          <w:szCs w:val="26"/>
        </w:rPr>
        <w:t>. в 201</w:t>
      </w:r>
      <w:r w:rsidR="00DE1BA0" w:rsidRPr="00BF0050">
        <w:rPr>
          <w:rFonts w:eastAsia="Calibri"/>
          <w:color w:val="000000"/>
          <w:sz w:val="26"/>
          <w:szCs w:val="26"/>
        </w:rPr>
        <w:t>6</w:t>
      </w:r>
      <w:r w:rsidRPr="00BF0050">
        <w:rPr>
          <w:rFonts w:eastAsia="Calibri"/>
          <w:color w:val="000000"/>
          <w:sz w:val="26"/>
          <w:szCs w:val="26"/>
        </w:rPr>
        <w:t> – 2019 годах</w:t>
      </w:r>
      <w:r w:rsidR="002D758F" w:rsidRPr="00BF0050">
        <w:rPr>
          <w:rFonts w:eastAsia="Calibri"/>
          <w:color w:val="000000"/>
          <w:sz w:val="26"/>
          <w:szCs w:val="26"/>
        </w:rPr>
        <w:t>.</w:t>
      </w:r>
      <w:r w:rsidR="003D367B" w:rsidRPr="00BF0050">
        <w:rPr>
          <w:rFonts w:eastAsia="Calibri"/>
          <w:color w:val="000000"/>
          <w:sz w:val="26"/>
          <w:szCs w:val="26"/>
        </w:rPr>
        <w:t xml:space="preserve"> </w:t>
      </w:r>
    </w:p>
    <w:p w:rsidR="00425485" w:rsidRPr="00BF0050" w:rsidRDefault="00425485" w:rsidP="006E1393">
      <w:pPr>
        <w:tabs>
          <w:tab w:val="left" w:pos="2835"/>
        </w:tabs>
        <w:spacing w:before="0" w:after="0"/>
        <w:ind w:firstLine="708"/>
        <w:jc w:val="both"/>
        <w:rPr>
          <w:rFonts w:eastAsia="Calibri"/>
          <w:color w:val="000000"/>
          <w:sz w:val="26"/>
          <w:szCs w:val="26"/>
        </w:rPr>
      </w:pPr>
      <w:r w:rsidRPr="00BF0050">
        <w:rPr>
          <w:rFonts w:eastAsia="Calibri"/>
          <w:color w:val="000000"/>
          <w:sz w:val="26"/>
          <w:szCs w:val="26"/>
        </w:rPr>
        <w:t>В социальной сфере базовый вариант предусматривает повышение уровня жизни населения на основе умеренного увеличения социальных обязательств государства и</w:t>
      </w:r>
      <w:r w:rsidR="00B4605D" w:rsidRPr="00BF0050">
        <w:rPr>
          <w:rFonts w:eastAsia="Calibri"/>
          <w:color w:val="000000"/>
          <w:sz w:val="26"/>
          <w:szCs w:val="26"/>
        </w:rPr>
        <w:t> </w:t>
      </w:r>
      <w:r w:rsidRPr="00BF0050">
        <w:rPr>
          <w:rFonts w:eastAsia="Calibri"/>
          <w:color w:val="000000"/>
          <w:sz w:val="26"/>
          <w:szCs w:val="26"/>
        </w:rPr>
        <w:t>бизнеса. Следствием этого будет сдержанная динамика потребительского спроса.</w:t>
      </w:r>
    </w:p>
    <w:p w:rsidR="006E345F" w:rsidRPr="00BF0050" w:rsidRDefault="00E422D6" w:rsidP="006E1393">
      <w:pPr>
        <w:tabs>
          <w:tab w:val="left" w:pos="2835"/>
        </w:tabs>
        <w:spacing w:before="0" w:after="0"/>
        <w:ind w:firstLine="708"/>
        <w:jc w:val="both"/>
        <w:rPr>
          <w:rFonts w:eastAsia="Calibri"/>
          <w:color w:val="000000" w:themeColor="text1"/>
          <w:sz w:val="26"/>
          <w:szCs w:val="26"/>
        </w:rPr>
      </w:pPr>
      <w:r w:rsidRPr="00BF0050">
        <w:rPr>
          <w:rFonts w:eastAsia="Calibri"/>
          <w:color w:val="000000" w:themeColor="text1"/>
          <w:sz w:val="26"/>
          <w:szCs w:val="26"/>
        </w:rPr>
        <w:t>На фоне низкого потребительского спроса</w:t>
      </w:r>
      <w:r w:rsidR="00BD0748" w:rsidRPr="00BF0050">
        <w:rPr>
          <w:rFonts w:eastAsia="Calibri"/>
          <w:color w:val="000000" w:themeColor="text1"/>
          <w:sz w:val="26"/>
          <w:szCs w:val="26"/>
        </w:rPr>
        <w:t xml:space="preserve"> и</w:t>
      </w:r>
      <w:r w:rsidR="006E345F" w:rsidRPr="00BF0050">
        <w:rPr>
          <w:rFonts w:eastAsia="Calibri"/>
          <w:color w:val="000000" w:themeColor="text1"/>
          <w:sz w:val="26"/>
          <w:szCs w:val="26"/>
        </w:rPr>
        <w:t>нфляци</w:t>
      </w:r>
      <w:r w:rsidRPr="00BF0050">
        <w:rPr>
          <w:rFonts w:eastAsia="Calibri"/>
          <w:color w:val="000000" w:themeColor="text1"/>
          <w:sz w:val="26"/>
          <w:szCs w:val="26"/>
        </w:rPr>
        <w:t>я</w:t>
      </w:r>
      <w:r w:rsidR="00BD0748" w:rsidRPr="00BF0050">
        <w:rPr>
          <w:rFonts w:eastAsia="Calibri"/>
          <w:color w:val="000000" w:themeColor="text1"/>
          <w:sz w:val="26"/>
          <w:szCs w:val="26"/>
        </w:rPr>
        <w:t xml:space="preserve"> </w:t>
      </w:r>
      <w:r w:rsidRPr="00BF0050">
        <w:rPr>
          <w:rFonts w:eastAsia="Calibri"/>
          <w:color w:val="000000" w:themeColor="text1"/>
          <w:sz w:val="26"/>
          <w:szCs w:val="26"/>
        </w:rPr>
        <w:t xml:space="preserve">замедлится </w:t>
      </w:r>
      <w:r w:rsidR="00BD0748" w:rsidRPr="00BF0050">
        <w:rPr>
          <w:rFonts w:eastAsia="Calibri"/>
          <w:color w:val="000000" w:themeColor="text1"/>
          <w:sz w:val="26"/>
          <w:szCs w:val="26"/>
        </w:rPr>
        <w:t xml:space="preserve">до </w:t>
      </w:r>
      <w:r w:rsidR="00820FCD" w:rsidRPr="00BF0050">
        <w:rPr>
          <w:rFonts w:eastAsia="Calibri"/>
          <w:color w:val="000000" w:themeColor="text1"/>
          <w:sz w:val="26"/>
          <w:szCs w:val="26"/>
        </w:rPr>
        <w:t>6,5</w:t>
      </w:r>
      <w:r w:rsidR="00F92BA6" w:rsidRPr="00BF0050">
        <w:rPr>
          <w:rFonts w:eastAsia="Calibri"/>
          <w:color w:val="000000" w:themeColor="text1"/>
          <w:sz w:val="26"/>
          <w:szCs w:val="26"/>
        </w:rPr>
        <w:t> </w:t>
      </w:r>
      <w:r w:rsidR="00BD0748" w:rsidRPr="00BF0050">
        <w:rPr>
          <w:rFonts w:eastAsia="Calibri"/>
          <w:color w:val="000000" w:themeColor="text1"/>
          <w:sz w:val="26"/>
          <w:szCs w:val="26"/>
        </w:rPr>
        <w:t xml:space="preserve">% </w:t>
      </w:r>
      <w:r w:rsidR="006E345F" w:rsidRPr="00BF0050">
        <w:rPr>
          <w:rFonts w:eastAsia="Calibri"/>
          <w:color w:val="000000" w:themeColor="text1"/>
          <w:sz w:val="26"/>
          <w:szCs w:val="26"/>
        </w:rPr>
        <w:t>в</w:t>
      </w:r>
      <w:r w:rsidR="00820FCD" w:rsidRPr="00BF0050">
        <w:rPr>
          <w:rFonts w:eastAsia="Calibri"/>
          <w:color w:val="000000" w:themeColor="text1"/>
          <w:sz w:val="26"/>
          <w:szCs w:val="26"/>
        </w:rPr>
        <w:t> </w:t>
      </w:r>
      <w:r w:rsidR="006E345F" w:rsidRPr="00BF0050">
        <w:rPr>
          <w:rFonts w:eastAsia="Calibri"/>
          <w:color w:val="000000" w:themeColor="text1"/>
          <w:sz w:val="26"/>
          <w:szCs w:val="26"/>
        </w:rPr>
        <w:t>2016 году против 12,9 % в 2015 году</w:t>
      </w:r>
      <w:r w:rsidR="00BD0748" w:rsidRPr="00BF0050">
        <w:rPr>
          <w:rFonts w:eastAsia="Calibri"/>
          <w:color w:val="000000" w:themeColor="text1"/>
          <w:sz w:val="26"/>
          <w:szCs w:val="26"/>
        </w:rPr>
        <w:t xml:space="preserve"> </w:t>
      </w:r>
      <w:r w:rsidR="00A97D5D" w:rsidRPr="00BF0050">
        <w:rPr>
          <w:rFonts w:eastAsia="Calibri"/>
          <w:color w:val="000000" w:themeColor="text1"/>
          <w:sz w:val="26"/>
          <w:szCs w:val="26"/>
          <w:lang w:val="en-US"/>
        </w:rPr>
        <w:t>c</w:t>
      </w:r>
      <w:r w:rsidR="00A97D5D" w:rsidRPr="00BF0050">
        <w:rPr>
          <w:rFonts w:eastAsia="Calibri"/>
          <w:color w:val="000000" w:themeColor="text1"/>
          <w:sz w:val="26"/>
          <w:szCs w:val="26"/>
        </w:rPr>
        <w:t xml:space="preserve">  </w:t>
      </w:r>
      <w:r w:rsidR="00BD0748" w:rsidRPr="00BF0050">
        <w:rPr>
          <w:rFonts w:eastAsia="Calibri"/>
          <w:color w:val="000000" w:themeColor="text1"/>
          <w:sz w:val="26"/>
          <w:szCs w:val="26"/>
        </w:rPr>
        <w:t>дальнейшим</w:t>
      </w:r>
      <w:r w:rsidR="006E345F" w:rsidRPr="00BF0050">
        <w:rPr>
          <w:rFonts w:eastAsia="Calibri"/>
          <w:color w:val="000000" w:themeColor="text1"/>
          <w:sz w:val="26"/>
          <w:szCs w:val="26"/>
        </w:rPr>
        <w:t xml:space="preserve"> </w:t>
      </w:r>
      <w:r w:rsidR="008A29B5" w:rsidRPr="00BF0050">
        <w:rPr>
          <w:rFonts w:eastAsia="Calibri"/>
          <w:color w:val="000000" w:themeColor="text1"/>
          <w:sz w:val="26"/>
          <w:szCs w:val="26"/>
        </w:rPr>
        <w:t>замедление</w:t>
      </w:r>
      <w:r w:rsidR="00BD0748" w:rsidRPr="00BF0050">
        <w:rPr>
          <w:rFonts w:eastAsia="Calibri"/>
          <w:color w:val="000000" w:themeColor="text1"/>
          <w:sz w:val="26"/>
          <w:szCs w:val="26"/>
        </w:rPr>
        <w:t>м ее роста</w:t>
      </w:r>
      <w:r w:rsidR="008A29B5" w:rsidRPr="00BF0050">
        <w:rPr>
          <w:rFonts w:eastAsia="Calibri"/>
          <w:color w:val="000000" w:themeColor="text1"/>
          <w:sz w:val="26"/>
          <w:szCs w:val="26"/>
        </w:rPr>
        <w:t xml:space="preserve"> </w:t>
      </w:r>
      <w:r w:rsidR="00CA0BE1" w:rsidRPr="00BF0050">
        <w:rPr>
          <w:rFonts w:eastAsia="Calibri"/>
          <w:color w:val="000000" w:themeColor="text1"/>
          <w:sz w:val="26"/>
          <w:szCs w:val="26"/>
        </w:rPr>
        <w:t>до 4</w:t>
      </w:r>
      <w:r w:rsidR="00BD0748" w:rsidRPr="00BF0050">
        <w:rPr>
          <w:rFonts w:eastAsia="Calibri"/>
          <w:color w:val="000000" w:themeColor="text1"/>
          <w:sz w:val="26"/>
          <w:szCs w:val="26"/>
        </w:rPr>
        <w:t xml:space="preserve"> % к 2019 году. </w:t>
      </w:r>
    </w:p>
    <w:p w:rsidR="00241BD3" w:rsidRPr="00BF0050" w:rsidRDefault="00241BD3" w:rsidP="006E1393">
      <w:pPr>
        <w:tabs>
          <w:tab w:val="left" w:pos="2835"/>
        </w:tabs>
        <w:spacing w:before="0" w:after="0"/>
        <w:ind w:firstLine="708"/>
        <w:jc w:val="both"/>
        <w:rPr>
          <w:rFonts w:eastAsia="Calibri"/>
          <w:color w:val="000000"/>
          <w:sz w:val="26"/>
          <w:szCs w:val="26"/>
        </w:rPr>
      </w:pPr>
      <w:r w:rsidRPr="00BF0050">
        <w:rPr>
          <w:rFonts w:eastAsia="Calibri"/>
          <w:color w:val="000000"/>
          <w:sz w:val="26"/>
          <w:szCs w:val="26"/>
        </w:rPr>
        <w:t>Увеличение профицита счета текущих операций на фоне сокращения оттока капитала будет обеспечивать поддержку курсу национальной валюты</w:t>
      </w:r>
      <w:r w:rsidR="00BF26DE" w:rsidRPr="00BF0050">
        <w:rPr>
          <w:rFonts w:eastAsia="Calibri"/>
          <w:color w:val="000000"/>
          <w:sz w:val="26"/>
          <w:szCs w:val="26"/>
        </w:rPr>
        <w:t>.</w:t>
      </w:r>
    </w:p>
    <w:p w:rsidR="00AA2779" w:rsidRPr="00BF0050" w:rsidRDefault="00AA2779" w:rsidP="006E1393">
      <w:pPr>
        <w:tabs>
          <w:tab w:val="left" w:pos="2835"/>
        </w:tabs>
        <w:spacing w:before="0" w:after="0"/>
        <w:ind w:firstLine="708"/>
        <w:jc w:val="both"/>
        <w:rPr>
          <w:sz w:val="26"/>
          <w:szCs w:val="26"/>
          <w:lang w:eastAsia="en-US"/>
        </w:rPr>
      </w:pPr>
      <w:r w:rsidRPr="00BF0050">
        <w:rPr>
          <w:sz w:val="26"/>
          <w:szCs w:val="26"/>
          <w:lang w:eastAsia="en-US"/>
        </w:rPr>
        <w:t xml:space="preserve">В 2016 году положительным фактором </w:t>
      </w:r>
      <w:r w:rsidR="00D46F04" w:rsidRPr="00BF0050">
        <w:rPr>
          <w:sz w:val="26"/>
          <w:szCs w:val="26"/>
          <w:lang w:eastAsia="en-US"/>
        </w:rPr>
        <w:t xml:space="preserve">восстановления </w:t>
      </w:r>
      <w:r w:rsidRPr="00BF0050">
        <w:rPr>
          <w:sz w:val="26"/>
          <w:szCs w:val="26"/>
          <w:lang w:eastAsia="en-US"/>
        </w:rPr>
        <w:t>экономики остается рост экспорта товаров, к которому добавляется фактор замедления снижения запасов материальных оборотных сре</w:t>
      </w:r>
      <w:proofErr w:type="gramStart"/>
      <w:r w:rsidRPr="00BF0050">
        <w:rPr>
          <w:sz w:val="26"/>
          <w:szCs w:val="26"/>
          <w:lang w:eastAsia="en-US"/>
        </w:rPr>
        <w:t xml:space="preserve">дств </w:t>
      </w:r>
      <w:r w:rsidR="00D46F04" w:rsidRPr="00BF0050">
        <w:rPr>
          <w:sz w:val="26"/>
          <w:szCs w:val="26"/>
          <w:lang w:eastAsia="en-US"/>
        </w:rPr>
        <w:t>с п</w:t>
      </w:r>
      <w:proofErr w:type="gramEnd"/>
      <w:r w:rsidR="00D46F04" w:rsidRPr="00BF0050">
        <w:rPr>
          <w:sz w:val="26"/>
          <w:szCs w:val="26"/>
          <w:lang w:eastAsia="en-US"/>
        </w:rPr>
        <w:t xml:space="preserve">ереходом </w:t>
      </w:r>
      <w:r w:rsidRPr="00BF0050">
        <w:rPr>
          <w:sz w:val="26"/>
          <w:szCs w:val="26"/>
          <w:lang w:eastAsia="en-US"/>
        </w:rPr>
        <w:t xml:space="preserve">к </w:t>
      </w:r>
      <w:r w:rsidR="00D46F04" w:rsidRPr="00BF0050">
        <w:rPr>
          <w:sz w:val="26"/>
          <w:szCs w:val="26"/>
          <w:lang w:eastAsia="en-US"/>
        </w:rPr>
        <w:t xml:space="preserve">их последующему </w:t>
      </w:r>
      <w:r w:rsidRPr="00BF0050">
        <w:rPr>
          <w:sz w:val="26"/>
          <w:szCs w:val="26"/>
          <w:lang w:eastAsia="en-US"/>
        </w:rPr>
        <w:t xml:space="preserve">росту. Ожидается, что </w:t>
      </w:r>
      <w:proofErr w:type="gramStart"/>
      <w:r w:rsidRPr="00BF0050">
        <w:rPr>
          <w:sz w:val="26"/>
          <w:szCs w:val="26"/>
          <w:lang w:eastAsia="en-US"/>
        </w:rPr>
        <w:t xml:space="preserve">начиная с 2017 года </w:t>
      </w:r>
      <w:r w:rsidR="00B4530F" w:rsidRPr="00BF0050">
        <w:rPr>
          <w:sz w:val="26"/>
          <w:szCs w:val="26"/>
          <w:lang w:eastAsia="en-US"/>
        </w:rPr>
        <w:t xml:space="preserve">восстановится </w:t>
      </w:r>
      <w:r w:rsidRPr="00BF0050">
        <w:rPr>
          <w:sz w:val="26"/>
          <w:szCs w:val="26"/>
          <w:lang w:eastAsia="en-US"/>
        </w:rPr>
        <w:t>положительная динамика</w:t>
      </w:r>
      <w:proofErr w:type="gramEnd"/>
      <w:r w:rsidRPr="00BF0050">
        <w:rPr>
          <w:sz w:val="26"/>
          <w:szCs w:val="26"/>
          <w:lang w:eastAsia="en-US"/>
        </w:rPr>
        <w:t xml:space="preserve"> инвестиций в основной капитал и рост доходов населения, </w:t>
      </w:r>
      <w:r w:rsidR="00325D69" w:rsidRPr="00BF0050">
        <w:rPr>
          <w:sz w:val="26"/>
          <w:szCs w:val="26"/>
          <w:lang w:eastAsia="en-US"/>
        </w:rPr>
        <w:t xml:space="preserve">что будет </w:t>
      </w:r>
      <w:r w:rsidRPr="00BF0050">
        <w:rPr>
          <w:sz w:val="26"/>
          <w:szCs w:val="26"/>
          <w:lang w:eastAsia="en-US"/>
        </w:rPr>
        <w:t xml:space="preserve">способствовать росту инвестиционного </w:t>
      </w:r>
      <w:r w:rsidRPr="00BF0050">
        <w:rPr>
          <w:sz w:val="26"/>
          <w:szCs w:val="26"/>
          <w:lang w:eastAsia="en-US"/>
        </w:rPr>
        <w:lastRenderedPageBreak/>
        <w:t>и</w:t>
      </w:r>
      <w:r w:rsidR="00535563" w:rsidRPr="00BF0050">
        <w:rPr>
          <w:sz w:val="26"/>
          <w:szCs w:val="26"/>
          <w:lang w:eastAsia="en-US"/>
        </w:rPr>
        <w:t> </w:t>
      </w:r>
      <w:r w:rsidRPr="00BF0050">
        <w:rPr>
          <w:sz w:val="26"/>
          <w:szCs w:val="26"/>
          <w:lang w:eastAsia="en-US"/>
        </w:rPr>
        <w:t>потребительского спроса при сохранении положительной динамики внешнеэкономического спроса.</w:t>
      </w:r>
    </w:p>
    <w:p w:rsidR="00BD0748" w:rsidRPr="00BF0050" w:rsidRDefault="008A0409" w:rsidP="007674FD">
      <w:pPr>
        <w:spacing w:before="0" w:after="0"/>
        <w:ind w:firstLine="720"/>
        <w:jc w:val="both"/>
        <w:rPr>
          <w:sz w:val="26"/>
          <w:szCs w:val="26"/>
        </w:rPr>
      </w:pPr>
      <w:r w:rsidRPr="00BF0050">
        <w:rPr>
          <w:sz w:val="26"/>
          <w:szCs w:val="26"/>
        </w:rPr>
        <w:t xml:space="preserve">В 2016 году падение ВВП </w:t>
      </w:r>
      <w:r w:rsidR="00D0088F" w:rsidRPr="00BF0050">
        <w:rPr>
          <w:sz w:val="26"/>
          <w:szCs w:val="26"/>
        </w:rPr>
        <w:t>замедлится</w:t>
      </w:r>
      <w:r w:rsidRPr="00BF0050">
        <w:rPr>
          <w:sz w:val="26"/>
          <w:szCs w:val="26"/>
        </w:rPr>
        <w:t xml:space="preserve"> до </w:t>
      </w:r>
      <w:r w:rsidR="00BD0748" w:rsidRPr="00BF0050">
        <w:rPr>
          <w:sz w:val="26"/>
          <w:szCs w:val="26"/>
        </w:rPr>
        <w:t>0,</w:t>
      </w:r>
      <w:r w:rsidR="009B0185" w:rsidRPr="00BF0050">
        <w:rPr>
          <w:sz w:val="26"/>
          <w:szCs w:val="26"/>
        </w:rPr>
        <w:t>2</w:t>
      </w:r>
      <w:r w:rsidRPr="00BF0050">
        <w:rPr>
          <w:sz w:val="26"/>
          <w:szCs w:val="26"/>
        </w:rPr>
        <w:t> </w:t>
      </w:r>
      <w:r w:rsidR="00BD0748" w:rsidRPr="00BF0050">
        <w:rPr>
          <w:sz w:val="26"/>
          <w:szCs w:val="26"/>
        </w:rPr>
        <w:t xml:space="preserve">%, при этом уже в конце года предполагается возобновление экономического роста. В 2017 году рост ВВП прогнозируется темпом </w:t>
      </w:r>
      <w:r w:rsidR="009B0185" w:rsidRPr="00BF0050">
        <w:rPr>
          <w:sz w:val="26"/>
          <w:szCs w:val="26"/>
        </w:rPr>
        <w:t>0</w:t>
      </w:r>
      <w:r w:rsidR="00BD0748" w:rsidRPr="00BF0050">
        <w:rPr>
          <w:sz w:val="26"/>
          <w:szCs w:val="26"/>
        </w:rPr>
        <w:t>,</w:t>
      </w:r>
      <w:r w:rsidR="009B0185" w:rsidRPr="00BF0050">
        <w:rPr>
          <w:sz w:val="26"/>
          <w:szCs w:val="26"/>
        </w:rPr>
        <w:t>8</w:t>
      </w:r>
      <w:r w:rsidR="00BD0748" w:rsidRPr="00BF0050">
        <w:rPr>
          <w:sz w:val="26"/>
          <w:szCs w:val="26"/>
        </w:rPr>
        <w:t xml:space="preserve"> %,  в 2018 году  – </w:t>
      </w:r>
      <w:r w:rsidR="009B0185" w:rsidRPr="00BF0050">
        <w:rPr>
          <w:sz w:val="26"/>
          <w:szCs w:val="26"/>
        </w:rPr>
        <w:t>1,8</w:t>
      </w:r>
      <w:r w:rsidR="00BD0748" w:rsidRPr="00BF0050">
        <w:rPr>
          <w:sz w:val="26"/>
          <w:szCs w:val="26"/>
        </w:rPr>
        <w:t xml:space="preserve"> %  и в 2019 году – 2,</w:t>
      </w:r>
      <w:r w:rsidR="009B0185" w:rsidRPr="00BF0050">
        <w:rPr>
          <w:sz w:val="26"/>
          <w:szCs w:val="26"/>
        </w:rPr>
        <w:t>2</w:t>
      </w:r>
      <w:r w:rsidR="00BD0748" w:rsidRPr="00BF0050">
        <w:rPr>
          <w:sz w:val="26"/>
          <w:szCs w:val="26"/>
        </w:rPr>
        <w:t> процента.</w:t>
      </w:r>
    </w:p>
    <w:p w:rsidR="007674FD" w:rsidRPr="00BF0050" w:rsidRDefault="00425485" w:rsidP="007674FD">
      <w:pPr>
        <w:pStyle w:val="afd"/>
        <w:spacing w:before="0" w:after="0"/>
        <w:ind w:left="0"/>
        <w:jc w:val="both"/>
        <w:rPr>
          <w:rFonts w:eastAsia="Calibri"/>
          <w:sz w:val="26"/>
          <w:szCs w:val="26"/>
        </w:rPr>
      </w:pPr>
      <w:r w:rsidRPr="00BF0050">
        <w:rPr>
          <w:rFonts w:eastAsia="Calibri"/>
          <w:sz w:val="26"/>
          <w:szCs w:val="26"/>
        </w:rPr>
        <w:t>Ф</w:t>
      </w:r>
      <w:r w:rsidR="00E46980" w:rsidRPr="00BF0050">
        <w:rPr>
          <w:rFonts w:eastAsia="Calibri"/>
          <w:sz w:val="26"/>
          <w:szCs w:val="26"/>
        </w:rPr>
        <w:t>едеральный бюджет</w:t>
      </w:r>
      <w:r w:rsidR="00FD4989" w:rsidRPr="00BF0050">
        <w:rPr>
          <w:rFonts w:eastAsia="Calibri"/>
          <w:sz w:val="26"/>
          <w:szCs w:val="26"/>
        </w:rPr>
        <w:t>,</w:t>
      </w:r>
      <w:r w:rsidRPr="00BF0050">
        <w:rPr>
          <w:rFonts w:eastAsia="Calibri"/>
          <w:sz w:val="26"/>
          <w:szCs w:val="26"/>
        </w:rPr>
        <w:t xml:space="preserve"> по оценке Минэкономразвития России, </w:t>
      </w:r>
      <w:r w:rsidR="007674FD" w:rsidRPr="00BF0050">
        <w:rPr>
          <w:rFonts w:eastAsia="Calibri"/>
          <w:sz w:val="26"/>
          <w:szCs w:val="26"/>
        </w:rPr>
        <w:t xml:space="preserve">будет </w:t>
      </w:r>
      <w:r w:rsidR="0003153C" w:rsidRPr="00BF0050">
        <w:rPr>
          <w:rFonts w:eastAsia="Calibri"/>
          <w:sz w:val="26"/>
          <w:szCs w:val="26"/>
        </w:rPr>
        <w:t>дефицитн</w:t>
      </w:r>
      <w:r w:rsidR="00820FCD" w:rsidRPr="00BF0050">
        <w:rPr>
          <w:rFonts w:eastAsia="Calibri"/>
          <w:sz w:val="26"/>
          <w:szCs w:val="26"/>
        </w:rPr>
        <w:t>ым</w:t>
      </w:r>
      <w:r w:rsidR="00E46980" w:rsidRPr="00BF0050">
        <w:rPr>
          <w:rFonts w:eastAsia="Calibri"/>
          <w:sz w:val="26"/>
          <w:szCs w:val="26"/>
        </w:rPr>
        <w:t xml:space="preserve"> на </w:t>
      </w:r>
      <w:r w:rsidR="0003153C" w:rsidRPr="00BF0050">
        <w:rPr>
          <w:rFonts w:eastAsia="Calibri"/>
          <w:sz w:val="26"/>
          <w:szCs w:val="26"/>
        </w:rPr>
        <w:t xml:space="preserve">протяжении </w:t>
      </w:r>
      <w:r w:rsidR="00E46980" w:rsidRPr="00BF0050">
        <w:rPr>
          <w:rFonts w:eastAsia="Calibri"/>
          <w:sz w:val="26"/>
          <w:szCs w:val="26"/>
        </w:rPr>
        <w:t>все</w:t>
      </w:r>
      <w:r w:rsidR="0003153C" w:rsidRPr="00BF0050">
        <w:rPr>
          <w:rFonts w:eastAsia="Calibri"/>
          <w:sz w:val="26"/>
          <w:szCs w:val="26"/>
        </w:rPr>
        <w:t>го</w:t>
      </w:r>
      <w:r w:rsidR="00E46980" w:rsidRPr="00BF0050">
        <w:rPr>
          <w:rFonts w:eastAsia="Calibri"/>
          <w:sz w:val="26"/>
          <w:szCs w:val="26"/>
        </w:rPr>
        <w:t xml:space="preserve"> период</w:t>
      </w:r>
      <w:r w:rsidR="0003153C" w:rsidRPr="00BF0050">
        <w:rPr>
          <w:rFonts w:eastAsia="Calibri"/>
          <w:sz w:val="26"/>
          <w:szCs w:val="26"/>
        </w:rPr>
        <w:t>а</w:t>
      </w:r>
      <w:r w:rsidR="00E46980" w:rsidRPr="00BF0050">
        <w:rPr>
          <w:rFonts w:eastAsia="Calibri"/>
          <w:sz w:val="26"/>
          <w:szCs w:val="26"/>
        </w:rPr>
        <w:t xml:space="preserve"> 2016</w:t>
      </w:r>
      <w:r w:rsidR="00820FCD" w:rsidRPr="00BF0050">
        <w:rPr>
          <w:rFonts w:eastAsia="Calibri"/>
          <w:sz w:val="26"/>
          <w:szCs w:val="26"/>
        </w:rPr>
        <w:t> – </w:t>
      </w:r>
      <w:r w:rsidR="00E46980" w:rsidRPr="00BF0050">
        <w:rPr>
          <w:rFonts w:eastAsia="Calibri"/>
          <w:sz w:val="26"/>
          <w:szCs w:val="26"/>
        </w:rPr>
        <w:t>2019 г</w:t>
      </w:r>
      <w:r w:rsidR="0003153C" w:rsidRPr="00BF0050">
        <w:rPr>
          <w:rFonts w:eastAsia="Calibri"/>
          <w:sz w:val="26"/>
          <w:szCs w:val="26"/>
        </w:rPr>
        <w:t>г.</w:t>
      </w:r>
      <w:r w:rsidR="00E46980" w:rsidRPr="00BF0050">
        <w:rPr>
          <w:rFonts w:eastAsia="Calibri"/>
          <w:sz w:val="26"/>
          <w:szCs w:val="26"/>
        </w:rPr>
        <w:t xml:space="preserve"> </w:t>
      </w:r>
      <w:r w:rsidR="0003153C" w:rsidRPr="00BF0050">
        <w:rPr>
          <w:rFonts w:eastAsia="Calibri"/>
          <w:sz w:val="26"/>
          <w:szCs w:val="26"/>
        </w:rPr>
        <w:t>в</w:t>
      </w:r>
      <w:r w:rsidR="00E46980" w:rsidRPr="00BF0050">
        <w:rPr>
          <w:rFonts w:eastAsia="Calibri"/>
          <w:sz w:val="26"/>
          <w:szCs w:val="26"/>
        </w:rPr>
        <w:t>о все</w:t>
      </w:r>
      <w:r w:rsidR="0003153C" w:rsidRPr="00BF0050">
        <w:rPr>
          <w:rFonts w:eastAsia="Calibri"/>
          <w:sz w:val="26"/>
          <w:szCs w:val="26"/>
        </w:rPr>
        <w:t>х</w:t>
      </w:r>
      <w:r w:rsidR="00E46980" w:rsidRPr="00BF0050">
        <w:rPr>
          <w:rFonts w:eastAsia="Calibri"/>
          <w:sz w:val="26"/>
          <w:szCs w:val="26"/>
        </w:rPr>
        <w:t xml:space="preserve"> варианта</w:t>
      </w:r>
      <w:r w:rsidR="0003153C" w:rsidRPr="00BF0050">
        <w:rPr>
          <w:rFonts w:eastAsia="Calibri"/>
          <w:sz w:val="26"/>
          <w:szCs w:val="26"/>
        </w:rPr>
        <w:t>х</w:t>
      </w:r>
      <w:r w:rsidR="00E46980" w:rsidRPr="00BF0050">
        <w:rPr>
          <w:rFonts w:eastAsia="Calibri"/>
          <w:sz w:val="26"/>
          <w:szCs w:val="26"/>
        </w:rPr>
        <w:t xml:space="preserve"> прогноза. </w:t>
      </w:r>
      <w:r w:rsidR="007674FD" w:rsidRPr="00BF0050">
        <w:rPr>
          <w:rFonts w:eastAsia="Calibri"/>
          <w:sz w:val="26"/>
          <w:szCs w:val="26"/>
        </w:rPr>
        <w:t>Сокращение нефтегазовых доходов потребует активизации работы по повышению эффективности государственных расходов. В связи с этим задачу ежегодного сокращения расходов федерального бюджета не менее чем на 5 % в реальном выражении за счет неэффективных затрат предлагает</w:t>
      </w:r>
      <w:r w:rsidR="00276D0D" w:rsidRPr="00BF0050">
        <w:rPr>
          <w:rFonts w:eastAsia="Calibri"/>
          <w:sz w:val="26"/>
          <w:szCs w:val="26"/>
        </w:rPr>
        <w:t>ся</w:t>
      </w:r>
      <w:r w:rsidR="007674FD" w:rsidRPr="00BF0050">
        <w:rPr>
          <w:rFonts w:eastAsia="Calibri"/>
          <w:sz w:val="26"/>
          <w:szCs w:val="26"/>
        </w:rPr>
        <w:t xml:space="preserve"> распространить на период 2018 и 2019 годов. Кроме того, с целью </w:t>
      </w:r>
      <w:proofErr w:type="spellStart"/>
      <w:r w:rsidR="007674FD" w:rsidRPr="00BF0050">
        <w:rPr>
          <w:rFonts w:eastAsia="Calibri"/>
          <w:sz w:val="26"/>
          <w:szCs w:val="26"/>
        </w:rPr>
        <w:t>неувеличения</w:t>
      </w:r>
      <w:proofErr w:type="spellEnd"/>
      <w:r w:rsidR="007674FD" w:rsidRPr="00BF0050">
        <w:rPr>
          <w:rFonts w:eastAsia="Calibri"/>
          <w:sz w:val="26"/>
          <w:szCs w:val="26"/>
        </w:rPr>
        <w:t xml:space="preserve"> налоговой нагрузки на экономику и возможного сохранения средств </w:t>
      </w:r>
      <w:r w:rsidR="00DB4994" w:rsidRPr="00BF0050">
        <w:rPr>
          <w:rFonts w:eastAsia="Calibri"/>
          <w:sz w:val="26"/>
          <w:szCs w:val="26"/>
        </w:rPr>
        <w:t>бюджетных фондов</w:t>
      </w:r>
      <w:r w:rsidR="007674FD" w:rsidRPr="00BF0050">
        <w:rPr>
          <w:rFonts w:eastAsia="Calibri"/>
          <w:sz w:val="26"/>
          <w:szCs w:val="26"/>
        </w:rPr>
        <w:t xml:space="preserve"> необходима </w:t>
      </w:r>
      <w:r w:rsidR="00276D0D" w:rsidRPr="00BF0050">
        <w:rPr>
          <w:rFonts w:eastAsia="Calibri"/>
          <w:sz w:val="26"/>
          <w:szCs w:val="26"/>
        </w:rPr>
        <w:t xml:space="preserve">дополнительная </w:t>
      </w:r>
      <w:r w:rsidR="007674FD" w:rsidRPr="00BF0050">
        <w:rPr>
          <w:rFonts w:eastAsia="Calibri"/>
          <w:sz w:val="26"/>
          <w:szCs w:val="26"/>
        </w:rPr>
        <w:t xml:space="preserve">мобилизация всех возможных ресурсов – </w:t>
      </w:r>
      <w:r w:rsidR="00A97D5D" w:rsidRPr="00BF0050">
        <w:rPr>
          <w:rFonts w:eastAsia="Calibri"/>
          <w:sz w:val="26"/>
          <w:szCs w:val="26"/>
        </w:rPr>
        <w:t xml:space="preserve">привлечение </w:t>
      </w:r>
      <w:r w:rsidR="007674FD" w:rsidRPr="00BF0050">
        <w:rPr>
          <w:rFonts w:eastAsia="Calibri"/>
          <w:sz w:val="26"/>
          <w:szCs w:val="26"/>
        </w:rPr>
        <w:t>внутренних и</w:t>
      </w:r>
      <w:r w:rsidR="002660B3" w:rsidRPr="00BF0050">
        <w:rPr>
          <w:rFonts w:eastAsia="Calibri"/>
          <w:sz w:val="26"/>
          <w:szCs w:val="26"/>
        </w:rPr>
        <w:t> </w:t>
      </w:r>
      <w:r w:rsidR="00B4530F" w:rsidRPr="00BF0050">
        <w:rPr>
          <w:rFonts w:eastAsia="Calibri"/>
          <w:sz w:val="26"/>
          <w:szCs w:val="26"/>
        </w:rPr>
        <w:t xml:space="preserve"> </w:t>
      </w:r>
      <w:r w:rsidR="007674FD" w:rsidRPr="00BF0050">
        <w:rPr>
          <w:rFonts w:eastAsia="Calibri"/>
          <w:sz w:val="26"/>
          <w:szCs w:val="26"/>
        </w:rPr>
        <w:t xml:space="preserve">внешних заимствований, </w:t>
      </w:r>
      <w:r w:rsidR="00A97D5D" w:rsidRPr="00BF0050">
        <w:rPr>
          <w:rFonts w:eastAsia="Calibri"/>
          <w:sz w:val="26"/>
          <w:szCs w:val="26"/>
        </w:rPr>
        <w:t xml:space="preserve">приватизация </w:t>
      </w:r>
      <w:r w:rsidR="007674FD" w:rsidRPr="00BF0050">
        <w:rPr>
          <w:rFonts w:eastAsia="Calibri"/>
          <w:sz w:val="26"/>
          <w:szCs w:val="26"/>
        </w:rPr>
        <w:t>государственного имущества.</w:t>
      </w:r>
    </w:p>
    <w:p w:rsidR="006E345F" w:rsidRPr="00BF0050" w:rsidRDefault="006E345F" w:rsidP="006E345F">
      <w:pPr>
        <w:spacing w:before="0" w:after="0"/>
        <w:contextualSpacing/>
        <w:jc w:val="both"/>
        <w:rPr>
          <w:rFonts w:eastAsia="Calibri"/>
          <w:color w:val="000000"/>
          <w:sz w:val="26"/>
          <w:szCs w:val="26"/>
        </w:rPr>
      </w:pPr>
      <w:r w:rsidRPr="00BF0050">
        <w:rPr>
          <w:b/>
          <w:sz w:val="26"/>
          <w:szCs w:val="26"/>
        </w:rPr>
        <w:t xml:space="preserve">Консервативный вариант </w:t>
      </w:r>
      <w:r w:rsidRPr="00BF0050">
        <w:rPr>
          <w:rFonts w:eastAsia="Calibri"/>
          <w:color w:val="000000"/>
          <w:sz w:val="26"/>
          <w:szCs w:val="26"/>
        </w:rPr>
        <w:t>рассматривает развитие экономики в условиях более низкой динамики цен на нефть</w:t>
      </w:r>
      <w:r w:rsidR="00247E7A" w:rsidRPr="00BF0050">
        <w:rPr>
          <w:rFonts w:eastAsia="Calibri"/>
          <w:color w:val="000000"/>
          <w:sz w:val="26"/>
          <w:szCs w:val="26"/>
        </w:rPr>
        <w:t xml:space="preserve"> и природный газ</w:t>
      </w:r>
      <w:r w:rsidR="00D34220" w:rsidRPr="00BF0050">
        <w:rPr>
          <w:rFonts w:eastAsia="Calibri"/>
          <w:color w:val="000000"/>
          <w:sz w:val="26"/>
          <w:szCs w:val="26"/>
        </w:rPr>
        <w:t>.</w:t>
      </w:r>
      <w:r w:rsidRPr="00BF0050">
        <w:rPr>
          <w:rFonts w:eastAsia="Calibri"/>
          <w:color w:val="000000"/>
          <w:sz w:val="26"/>
          <w:szCs w:val="26"/>
        </w:rPr>
        <w:t xml:space="preserve"> </w:t>
      </w:r>
      <w:r w:rsidR="00247E7A" w:rsidRPr="00BF0050">
        <w:rPr>
          <w:rFonts w:eastAsia="Calibri"/>
          <w:color w:val="000000"/>
          <w:sz w:val="26"/>
          <w:szCs w:val="26"/>
        </w:rPr>
        <w:t>П</w:t>
      </w:r>
      <w:r w:rsidRPr="00BF0050">
        <w:rPr>
          <w:rFonts w:eastAsia="Calibri"/>
          <w:color w:val="000000"/>
          <w:sz w:val="26"/>
          <w:szCs w:val="26"/>
        </w:rPr>
        <w:t xml:space="preserve">редполагается, что среднегодовая цена на нефть в 2016 году </w:t>
      </w:r>
      <w:r w:rsidR="00247E7A" w:rsidRPr="00BF0050">
        <w:rPr>
          <w:rFonts w:eastAsia="Calibri"/>
          <w:color w:val="000000"/>
          <w:sz w:val="26"/>
          <w:szCs w:val="26"/>
        </w:rPr>
        <w:t>снизится</w:t>
      </w:r>
      <w:r w:rsidRPr="00BF0050">
        <w:rPr>
          <w:rFonts w:eastAsia="Calibri"/>
          <w:color w:val="000000"/>
          <w:sz w:val="26"/>
          <w:szCs w:val="26"/>
        </w:rPr>
        <w:t xml:space="preserve"> до 25 долл. США/</w:t>
      </w:r>
      <w:proofErr w:type="spellStart"/>
      <w:r w:rsidRPr="00BF0050">
        <w:rPr>
          <w:rFonts w:eastAsia="Calibri"/>
          <w:color w:val="000000"/>
          <w:sz w:val="26"/>
          <w:szCs w:val="26"/>
        </w:rPr>
        <w:t>барр</w:t>
      </w:r>
      <w:proofErr w:type="spellEnd"/>
      <w:r w:rsidR="006961CB" w:rsidRPr="00BF0050">
        <w:rPr>
          <w:rFonts w:eastAsia="Calibri"/>
          <w:color w:val="000000"/>
          <w:sz w:val="26"/>
          <w:szCs w:val="26"/>
        </w:rPr>
        <w:t>. и стабилизируется на этом уровне до 2019 года</w:t>
      </w:r>
      <w:r w:rsidR="00A97D5D" w:rsidRPr="00BF0050">
        <w:rPr>
          <w:rFonts w:eastAsia="Calibri"/>
          <w:color w:val="000000"/>
          <w:sz w:val="26"/>
          <w:szCs w:val="26"/>
        </w:rPr>
        <w:t>.</w:t>
      </w:r>
    </w:p>
    <w:p w:rsidR="006E345F" w:rsidRPr="00BF0050" w:rsidRDefault="00965DE7" w:rsidP="006E345F">
      <w:pPr>
        <w:spacing w:before="0" w:after="0"/>
        <w:ind w:firstLine="708"/>
        <w:jc w:val="both"/>
        <w:rPr>
          <w:rFonts w:eastAsia="Calibri"/>
          <w:color w:val="000000"/>
          <w:sz w:val="26"/>
          <w:szCs w:val="26"/>
        </w:rPr>
      </w:pPr>
      <w:proofErr w:type="gramStart"/>
      <w:r w:rsidRPr="00BF0050">
        <w:rPr>
          <w:rFonts w:eastAsia="Calibri"/>
          <w:color w:val="000000"/>
          <w:sz w:val="26"/>
          <w:szCs w:val="26"/>
        </w:rPr>
        <w:t xml:space="preserve">В условиях </w:t>
      </w:r>
      <w:r w:rsidR="006E345F" w:rsidRPr="00BF0050">
        <w:rPr>
          <w:rFonts w:eastAsia="Calibri"/>
          <w:color w:val="000000"/>
          <w:sz w:val="26"/>
          <w:szCs w:val="26"/>
        </w:rPr>
        <w:t xml:space="preserve">низких цен на нефть и </w:t>
      </w:r>
      <w:r w:rsidR="00776695" w:rsidRPr="00BF0050">
        <w:rPr>
          <w:rFonts w:eastAsia="Calibri"/>
          <w:color w:val="000000"/>
          <w:sz w:val="26"/>
          <w:szCs w:val="26"/>
        </w:rPr>
        <w:t>высокой волатильности курса</w:t>
      </w:r>
      <w:r w:rsidR="006E345F" w:rsidRPr="00BF0050">
        <w:rPr>
          <w:rFonts w:eastAsia="Calibri"/>
          <w:color w:val="000000"/>
          <w:sz w:val="26"/>
          <w:szCs w:val="26"/>
        </w:rPr>
        <w:t xml:space="preserve"> рубля </w:t>
      </w:r>
      <w:r w:rsidR="00247E7A" w:rsidRPr="00BF0050">
        <w:rPr>
          <w:rFonts w:eastAsia="Calibri"/>
          <w:color w:val="000000"/>
          <w:sz w:val="26"/>
          <w:szCs w:val="26"/>
        </w:rPr>
        <w:t>основные макроэкономические</w:t>
      </w:r>
      <w:r w:rsidR="00247E7A" w:rsidRPr="00BF0050">
        <w:rPr>
          <w:sz w:val="26"/>
          <w:szCs w:val="26"/>
        </w:rPr>
        <w:t xml:space="preserve"> показатели в 2016 году будут иметь выраженную негативную динамику</w:t>
      </w:r>
      <w:r w:rsidR="003847AD" w:rsidRPr="00BF0050">
        <w:rPr>
          <w:sz w:val="26"/>
          <w:szCs w:val="26"/>
        </w:rPr>
        <w:t>:</w:t>
      </w:r>
      <w:r w:rsidR="00247E7A" w:rsidRPr="00BF0050">
        <w:rPr>
          <w:rFonts w:eastAsia="Calibri"/>
          <w:color w:val="000000"/>
          <w:sz w:val="26"/>
          <w:szCs w:val="26"/>
        </w:rPr>
        <w:t xml:space="preserve"> </w:t>
      </w:r>
      <w:r w:rsidR="00776695" w:rsidRPr="00BF0050">
        <w:rPr>
          <w:rFonts w:eastAsia="Calibri"/>
          <w:color w:val="000000"/>
          <w:sz w:val="26"/>
          <w:szCs w:val="26"/>
        </w:rPr>
        <w:t>снижение</w:t>
      </w:r>
      <w:r w:rsidR="00247E7A" w:rsidRPr="00BF0050">
        <w:rPr>
          <w:rFonts w:eastAsia="Calibri"/>
          <w:color w:val="000000"/>
          <w:sz w:val="26"/>
          <w:szCs w:val="26"/>
        </w:rPr>
        <w:t xml:space="preserve"> ВВП </w:t>
      </w:r>
      <w:r w:rsidR="00820FCD" w:rsidRPr="00BF0050">
        <w:rPr>
          <w:rFonts w:eastAsia="Calibri"/>
          <w:color w:val="000000"/>
          <w:sz w:val="26"/>
          <w:szCs w:val="26"/>
        </w:rPr>
        <w:t xml:space="preserve">– </w:t>
      </w:r>
      <w:r w:rsidR="00247E7A" w:rsidRPr="00BF0050">
        <w:rPr>
          <w:rFonts w:eastAsia="Calibri"/>
          <w:color w:val="000000"/>
          <w:sz w:val="26"/>
          <w:szCs w:val="26"/>
        </w:rPr>
        <w:t xml:space="preserve">до 2,1 %, </w:t>
      </w:r>
      <w:r w:rsidR="00776695" w:rsidRPr="00BF0050">
        <w:rPr>
          <w:rFonts w:eastAsia="Calibri"/>
          <w:color w:val="000000"/>
          <w:sz w:val="26"/>
          <w:szCs w:val="26"/>
        </w:rPr>
        <w:t xml:space="preserve">падение </w:t>
      </w:r>
      <w:r w:rsidR="006E345F" w:rsidRPr="00BF0050">
        <w:rPr>
          <w:rFonts w:eastAsia="Calibri"/>
          <w:color w:val="000000"/>
          <w:sz w:val="26"/>
          <w:szCs w:val="26"/>
        </w:rPr>
        <w:t>инвестиций в основной капитал</w:t>
      </w:r>
      <w:r w:rsidR="003847AD" w:rsidRPr="00BF0050">
        <w:rPr>
          <w:rFonts w:eastAsia="Calibri"/>
          <w:color w:val="000000"/>
          <w:sz w:val="26"/>
          <w:szCs w:val="26"/>
        </w:rPr>
        <w:t xml:space="preserve"> </w:t>
      </w:r>
      <w:r w:rsidR="00820FCD" w:rsidRPr="00BF0050">
        <w:rPr>
          <w:rFonts w:eastAsia="Calibri"/>
          <w:color w:val="000000"/>
          <w:sz w:val="26"/>
          <w:szCs w:val="26"/>
        </w:rPr>
        <w:t xml:space="preserve">– </w:t>
      </w:r>
      <w:r w:rsidR="006E345F" w:rsidRPr="00BF0050">
        <w:rPr>
          <w:rFonts w:eastAsia="Calibri"/>
          <w:color w:val="000000"/>
          <w:sz w:val="26"/>
          <w:szCs w:val="26"/>
        </w:rPr>
        <w:t>до 9,4 </w:t>
      </w:r>
      <w:r w:rsidR="00B4530F" w:rsidRPr="00BF0050">
        <w:rPr>
          <w:rFonts w:eastAsia="Calibri"/>
          <w:color w:val="000000"/>
          <w:sz w:val="26"/>
          <w:szCs w:val="26"/>
        </w:rPr>
        <w:t xml:space="preserve">%,  </w:t>
      </w:r>
      <w:r w:rsidR="00776695" w:rsidRPr="00BF0050">
        <w:rPr>
          <w:rFonts w:eastAsia="Calibri"/>
          <w:color w:val="000000"/>
          <w:sz w:val="26"/>
          <w:szCs w:val="26"/>
        </w:rPr>
        <w:t>усиление</w:t>
      </w:r>
      <w:r w:rsidR="001E3846" w:rsidRPr="00BF0050">
        <w:rPr>
          <w:rFonts w:eastAsia="Calibri"/>
          <w:color w:val="000000"/>
          <w:sz w:val="26"/>
          <w:szCs w:val="26"/>
        </w:rPr>
        <w:t xml:space="preserve"> инфляционного фона</w:t>
      </w:r>
      <w:r w:rsidR="003847AD" w:rsidRPr="00BF0050">
        <w:rPr>
          <w:rFonts w:eastAsia="Calibri"/>
          <w:color w:val="000000"/>
          <w:sz w:val="26"/>
          <w:szCs w:val="26"/>
        </w:rPr>
        <w:t xml:space="preserve"> </w:t>
      </w:r>
      <w:r w:rsidR="0003153C" w:rsidRPr="00BF0050">
        <w:rPr>
          <w:rFonts w:eastAsia="Calibri"/>
          <w:color w:val="000000"/>
          <w:sz w:val="26"/>
          <w:szCs w:val="26"/>
        </w:rPr>
        <w:t xml:space="preserve">по сравнению с базовым вариантом </w:t>
      </w:r>
      <w:r w:rsidR="00820FCD" w:rsidRPr="00BF0050">
        <w:rPr>
          <w:rFonts w:eastAsia="Calibri"/>
          <w:color w:val="000000"/>
          <w:sz w:val="26"/>
          <w:szCs w:val="26"/>
        </w:rPr>
        <w:t xml:space="preserve">– </w:t>
      </w:r>
      <w:r w:rsidR="003847AD" w:rsidRPr="00BF0050">
        <w:rPr>
          <w:rFonts w:eastAsia="Calibri"/>
          <w:color w:val="000000"/>
          <w:sz w:val="26"/>
          <w:szCs w:val="26"/>
        </w:rPr>
        <w:t>до 9</w:t>
      </w:r>
      <w:r w:rsidR="00111BB9" w:rsidRPr="00BF0050">
        <w:rPr>
          <w:rFonts w:eastAsia="Calibri"/>
          <w:color w:val="000000"/>
          <w:sz w:val="26"/>
          <w:szCs w:val="26"/>
        </w:rPr>
        <w:t> </w:t>
      </w:r>
      <w:r w:rsidR="003847AD" w:rsidRPr="00BF0050">
        <w:rPr>
          <w:rFonts w:eastAsia="Calibri"/>
          <w:color w:val="000000"/>
          <w:sz w:val="26"/>
          <w:szCs w:val="26"/>
        </w:rPr>
        <w:t>%, дальнейш</w:t>
      </w:r>
      <w:r w:rsidR="00776695" w:rsidRPr="00BF0050">
        <w:rPr>
          <w:rFonts w:eastAsia="Calibri"/>
          <w:color w:val="000000"/>
          <w:sz w:val="26"/>
          <w:szCs w:val="26"/>
        </w:rPr>
        <w:t>ее</w:t>
      </w:r>
      <w:r w:rsidR="003847AD" w:rsidRPr="00BF0050">
        <w:rPr>
          <w:rFonts w:eastAsia="Calibri"/>
          <w:color w:val="000000"/>
          <w:sz w:val="26"/>
          <w:szCs w:val="26"/>
        </w:rPr>
        <w:t xml:space="preserve"> падение доходов населения</w:t>
      </w:r>
      <w:r w:rsidR="00B1373A" w:rsidRPr="00BF0050">
        <w:rPr>
          <w:rFonts w:eastAsia="Calibri"/>
          <w:color w:val="000000"/>
          <w:sz w:val="26"/>
          <w:szCs w:val="26"/>
        </w:rPr>
        <w:t xml:space="preserve"> </w:t>
      </w:r>
      <w:r w:rsidR="003847AD" w:rsidRPr="00BF0050">
        <w:rPr>
          <w:rFonts w:eastAsia="Calibri"/>
          <w:color w:val="000000"/>
          <w:sz w:val="26"/>
          <w:szCs w:val="26"/>
        </w:rPr>
        <w:t>и снижение уровня жизни населения.</w:t>
      </w:r>
      <w:r w:rsidR="00D34220" w:rsidRPr="00BF0050">
        <w:rPr>
          <w:sz w:val="28"/>
          <w:szCs w:val="28"/>
        </w:rPr>
        <w:t xml:space="preserve"> </w:t>
      </w:r>
      <w:proofErr w:type="gramEnd"/>
    </w:p>
    <w:p w:rsidR="000E1947" w:rsidRPr="00BF0050" w:rsidRDefault="000E1947" w:rsidP="000E1947">
      <w:pPr>
        <w:spacing w:before="0" w:after="0"/>
        <w:ind w:firstLine="708"/>
        <w:jc w:val="both"/>
        <w:rPr>
          <w:sz w:val="26"/>
          <w:szCs w:val="26"/>
        </w:rPr>
      </w:pPr>
      <w:r w:rsidRPr="00BF0050">
        <w:rPr>
          <w:sz w:val="26"/>
          <w:szCs w:val="26"/>
          <w:lang w:eastAsia="en-US"/>
        </w:rPr>
        <w:t>В 2017 году предполагается стабилизация ситуации в экономике с замедлением темпов падения до 0,4 %,</w:t>
      </w:r>
      <w:r w:rsidRPr="00BF0050">
        <w:rPr>
          <w:sz w:val="26"/>
          <w:szCs w:val="26"/>
        </w:rPr>
        <w:t xml:space="preserve"> в 2018 – 2019 гг. намечается тенденция устойчивого роста темпами 0,7–1,6 процента.</w:t>
      </w:r>
    </w:p>
    <w:p w:rsidR="00DB4994" w:rsidRPr="00BF0050" w:rsidRDefault="00DB4994" w:rsidP="00DB4994">
      <w:pPr>
        <w:spacing w:before="0" w:after="0"/>
        <w:contextualSpacing/>
        <w:jc w:val="both"/>
        <w:rPr>
          <w:sz w:val="26"/>
          <w:szCs w:val="26"/>
        </w:rPr>
      </w:pPr>
      <w:r w:rsidRPr="00BF0050">
        <w:rPr>
          <w:sz w:val="26"/>
          <w:szCs w:val="26"/>
        </w:rPr>
        <w:t>За счет более низкой цены на нефть в консервативном варианте заметно снижается величина нефтегазовых доходов федерального бюджета. Это приводит к значительному увеличению дефицита федерального бюджета,</w:t>
      </w:r>
      <w:r w:rsidRPr="00BF0050">
        <w:t xml:space="preserve"> </w:t>
      </w:r>
      <w:r w:rsidRPr="00BF0050">
        <w:rPr>
          <w:sz w:val="26"/>
          <w:szCs w:val="26"/>
        </w:rPr>
        <w:t xml:space="preserve">масштабному исчерпанию доступных к расходованию средств бюджетных фондов и увеличению государственного долга. При этом в консервативном варианте в целях балансировки федерального бюджета                    с 2017 года потребуется сокращение расходов на 10 % в реальном выражении </w:t>
      </w:r>
      <w:r w:rsidR="00170352" w:rsidRPr="00BF0050">
        <w:rPr>
          <w:sz w:val="26"/>
          <w:szCs w:val="26"/>
        </w:rPr>
        <w:t xml:space="preserve">против  </w:t>
      </w:r>
      <w:r w:rsidR="00782433" w:rsidRPr="00BF0050">
        <w:rPr>
          <w:sz w:val="26"/>
          <w:szCs w:val="26"/>
        </w:rPr>
        <w:t xml:space="preserve">     </w:t>
      </w:r>
      <w:r w:rsidRPr="00BF0050">
        <w:rPr>
          <w:sz w:val="26"/>
          <w:szCs w:val="26"/>
        </w:rPr>
        <w:t>5</w:t>
      </w:r>
      <w:r w:rsidR="00170352" w:rsidRPr="00BF0050">
        <w:rPr>
          <w:sz w:val="26"/>
          <w:szCs w:val="26"/>
        </w:rPr>
        <w:t>-процентного</w:t>
      </w:r>
      <w:r w:rsidRPr="00BF0050">
        <w:rPr>
          <w:sz w:val="26"/>
          <w:szCs w:val="26"/>
        </w:rPr>
        <w:t xml:space="preserve"> сокращения по другим вариантам.</w:t>
      </w:r>
    </w:p>
    <w:p w:rsidR="00425485" w:rsidRPr="00BF0050" w:rsidRDefault="00425485" w:rsidP="00425485">
      <w:pPr>
        <w:spacing w:before="0" w:after="0"/>
        <w:jc w:val="both"/>
        <w:rPr>
          <w:sz w:val="26"/>
          <w:szCs w:val="26"/>
        </w:rPr>
      </w:pPr>
      <w:r w:rsidRPr="00BF0050">
        <w:rPr>
          <w:b/>
          <w:sz w:val="26"/>
          <w:szCs w:val="26"/>
        </w:rPr>
        <w:t xml:space="preserve">Целевой вариант </w:t>
      </w:r>
      <w:r w:rsidRPr="00BF0050">
        <w:rPr>
          <w:sz w:val="26"/>
          <w:szCs w:val="26"/>
        </w:rPr>
        <w:t xml:space="preserve">ориентирует на достижение целевых показателей социально-экономического развития и решение задач стратегического планирования. </w:t>
      </w:r>
      <w:r w:rsidRPr="00BF0050">
        <w:rPr>
          <w:sz w:val="26"/>
          <w:szCs w:val="26"/>
          <w:lang w:eastAsia="en-US"/>
        </w:rPr>
        <w:t xml:space="preserve"> </w:t>
      </w:r>
      <w:r w:rsidRPr="00BF0050">
        <w:rPr>
          <w:sz w:val="26"/>
          <w:szCs w:val="26"/>
        </w:rPr>
        <w:t xml:space="preserve">Предполагается выход российской экономики на траекторию устойчивого роста темпами не ниже </w:t>
      </w:r>
      <w:proofErr w:type="gramStart"/>
      <w:r w:rsidRPr="00BF0050">
        <w:rPr>
          <w:sz w:val="26"/>
          <w:szCs w:val="26"/>
        </w:rPr>
        <w:t>среднемировых</w:t>
      </w:r>
      <w:proofErr w:type="gramEnd"/>
      <w:r w:rsidRPr="00BF0050">
        <w:rPr>
          <w:sz w:val="26"/>
          <w:szCs w:val="26"/>
        </w:rPr>
        <w:t xml:space="preserve">, снижение инфляции до уровня 4 % </w:t>
      </w:r>
      <w:r w:rsidR="00B65903" w:rsidRPr="00BF0050">
        <w:rPr>
          <w:sz w:val="26"/>
          <w:szCs w:val="26"/>
        </w:rPr>
        <w:t xml:space="preserve">в 2017 году </w:t>
      </w:r>
      <w:r w:rsidRPr="00BF0050">
        <w:rPr>
          <w:sz w:val="26"/>
          <w:szCs w:val="26"/>
        </w:rPr>
        <w:t>и рост производительности труда не менее чем на 5 %</w:t>
      </w:r>
      <w:r w:rsidRPr="00BF0050">
        <w:rPr>
          <w:b/>
          <w:sz w:val="26"/>
          <w:szCs w:val="26"/>
        </w:rPr>
        <w:t xml:space="preserve"> </w:t>
      </w:r>
      <w:r w:rsidR="00B65903" w:rsidRPr="00BF0050">
        <w:rPr>
          <w:sz w:val="26"/>
          <w:szCs w:val="26"/>
        </w:rPr>
        <w:t>в среднесрочной перспективе</w:t>
      </w:r>
      <w:r w:rsidR="00B65903" w:rsidRPr="00BF0050">
        <w:rPr>
          <w:b/>
          <w:sz w:val="26"/>
          <w:szCs w:val="26"/>
        </w:rPr>
        <w:t xml:space="preserve"> </w:t>
      </w:r>
      <w:r w:rsidRPr="00BF0050">
        <w:rPr>
          <w:sz w:val="26"/>
          <w:szCs w:val="26"/>
        </w:rPr>
        <w:t>при одновременном обеспечении макроэкономической сбалансированности.</w:t>
      </w:r>
    </w:p>
    <w:p w:rsidR="00B65903" w:rsidRPr="00BF0050" w:rsidRDefault="00425485" w:rsidP="005458C8">
      <w:pPr>
        <w:widowControl w:val="0"/>
        <w:spacing w:before="0" w:after="0"/>
        <w:jc w:val="both"/>
        <w:rPr>
          <w:sz w:val="26"/>
          <w:szCs w:val="26"/>
          <w:lang w:eastAsia="en-US"/>
        </w:rPr>
      </w:pPr>
      <w:r w:rsidRPr="00BF0050">
        <w:rPr>
          <w:sz w:val="26"/>
          <w:szCs w:val="26"/>
          <w:lang w:eastAsia="en-US"/>
        </w:rPr>
        <w:lastRenderedPageBreak/>
        <w:t xml:space="preserve">Внешние условия сохраняются на уровне базового варианта, но для достижения намеченных целей предполагается </w:t>
      </w:r>
      <w:r w:rsidR="00B65903" w:rsidRPr="00BF0050">
        <w:rPr>
          <w:sz w:val="26"/>
          <w:szCs w:val="26"/>
          <w:lang w:eastAsia="en-US"/>
        </w:rPr>
        <w:t xml:space="preserve">смена ориентации экономики на инвестиционную модель развития при сдерживании в первые годы </w:t>
      </w:r>
      <w:r w:rsidR="00820FCD" w:rsidRPr="00BF0050">
        <w:rPr>
          <w:sz w:val="26"/>
          <w:szCs w:val="26"/>
          <w:lang w:eastAsia="en-US"/>
        </w:rPr>
        <w:t xml:space="preserve">прогнозного периода </w:t>
      </w:r>
      <w:r w:rsidR="00B65903" w:rsidRPr="00BF0050">
        <w:rPr>
          <w:sz w:val="26"/>
          <w:szCs w:val="26"/>
          <w:lang w:eastAsia="en-US"/>
        </w:rPr>
        <w:t>роста расходов на потребление и социальных обязательств государства и бизнеса.</w:t>
      </w:r>
    </w:p>
    <w:p w:rsidR="00B65903" w:rsidRPr="00BF0050" w:rsidRDefault="00425485" w:rsidP="00B65903">
      <w:pPr>
        <w:spacing w:before="0" w:after="0"/>
        <w:jc w:val="both"/>
        <w:rPr>
          <w:sz w:val="26"/>
          <w:szCs w:val="26"/>
        </w:rPr>
      </w:pPr>
      <w:r w:rsidRPr="00BF0050">
        <w:rPr>
          <w:sz w:val="26"/>
          <w:szCs w:val="26"/>
          <w:lang w:eastAsia="en-US"/>
        </w:rPr>
        <w:t xml:space="preserve"> </w:t>
      </w:r>
      <w:r w:rsidR="00B65903" w:rsidRPr="00BF0050">
        <w:rPr>
          <w:sz w:val="26"/>
          <w:szCs w:val="26"/>
        </w:rPr>
        <w:t>Снижение инфляции до 4 % в 2017 году предполагает существенное сдерживание внутреннего спроса, прежде всего спроса домашних хозяйств. Рост инвестиций в</w:t>
      </w:r>
      <w:r w:rsidR="00820FCD" w:rsidRPr="00BF0050">
        <w:rPr>
          <w:sz w:val="26"/>
          <w:szCs w:val="26"/>
        </w:rPr>
        <w:t> </w:t>
      </w:r>
      <w:r w:rsidR="00B65903" w:rsidRPr="00BF0050">
        <w:rPr>
          <w:sz w:val="26"/>
          <w:szCs w:val="26"/>
        </w:rPr>
        <w:t>основной капитал в 2017 году также не дости</w:t>
      </w:r>
      <w:r w:rsidR="00820FCD" w:rsidRPr="00BF0050">
        <w:rPr>
          <w:sz w:val="26"/>
          <w:szCs w:val="26"/>
        </w:rPr>
        <w:t>г</w:t>
      </w:r>
      <w:r w:rsidR="00160147" w:rsidRPr="00BF0050">
        <w:rPr>
          <w:sz w:val="26"/>
          <w:szCs w:val="26"/>
        </w:rPr>
        <w:t>нет</w:t>
      </w:r>
      <w:r w:rsidR="00B65903" w:rsidRPr="00BF0050">
        <w:rPr>
          <w:sz w:val="26"/>
          <w:szCs w:val="26"/>
        </w:rPr>
        <w:t xml:space="preserve"> темпов, необходимых для динамичного роста</w:t>
      </w:r>
      <w:r w:rsidR="00160147" w:rsidRPr="00BF0050">
        <w:rPr>
          <w:sz w:val="26"/>
          <w:szCs w:val="26"/>
        </w:rPr>
        <w:t xml:space="preserve"> экономики</w:t>
      </w:r>
      <w:r w:rsidR="00B65903" w:rsidRPr="00BF0050">
        <w:rPr>
          <w:sz w:val="26"/>
          <w:szCs w:val="26"/>
        </w:rPr>
        <w:t xml:space="preserve">, вследствие значительной инерционности инвестиционного процесса и ограниченности финансирования. </w:t>
      </w:r>
    </w:p>
    <w:p w:rsidR="00B65903" w:rsidRPr="00BF0050" w:rsidRDefault="00B65903" w:rsidP="00B65903">
      <w:pPr>
        <w:spacing w:before="0" w:after="0"/>
        <w:jc w:val="both"/>
        <w:rPr>
          <w:sz w:val="26"/>
          <w:szCs w:val="26"/>
          <w:lang w:eastAsia="en-US"/>
        </w:rPr>
      </w:pPr>
      <w:r w:rsidRPr="00BF0050">
        <w:rPr>
          <w:sz w:val="26"/>
          <w:szCs w:val="26"/>
        </w:rPr>
        <w:t xml:space="preserve">Вместе с тем, начиная с 2018 года, с учетом </w:t>
      </w:r>
      <w:r w:rsidR="00160147" w:rsidRPr="00BF0050">
        <w:rPr>
          <w:sz w:val="26"/>
          <w:szCs w:val="26"/>
        </w:rPr>
        <w:t>снижения процентной ставки и</w:t>
      </w:r>
      <w:r w:rsidR="00B654CA" w:rsidRPr="00BF0050">
        <w:rPr>
          <w:sz w:val="26"/>
          <w:szCs w:val="26"/>
        </w:rPr>
        <w:t> </w:t>
      </w:r>
      <w:r w:rsidRPr="00BF0050">
        <w:rPr>
          <w:sz w:val="26"/>
          <w:szCs w:val="26"/>
        </w:rPr>
        <w:t xml:space="preserve">создания благоприятных условий для кредитования бизнеса, начала </w:t>
      </w:r>
      <w:r w:rsidR="005D7865" w:rsidRPr="00BF0050">
        <w:rPr>
          <w:sz w:val="26"/>
          <w:szCs w:val="26"/>
        </w:rPr>
        <w:t xml:space="preserve">реализации </w:t>
      </w:r>
      <w:r w:rsidRPr="00BF0050">
        <w:rPr>
          <w:sz w:val="26"/>
          <w:szCs w:val="26"/>
        </w:rPr>
        <w:t>крупных инвестиционных проектов и мер экономической политики, направленн</w:t>
      </w:r>
      <w:r w:rsidR="00160147" w:rsidRPr="00BF0050">
        <w:rPr>
          <w:sz w:val="26"/>
          <w:szCs w:val="26"/>
        </w:rPr>
        <w:t>ых</w:t>
      </w:r>
      <w:r w:rsidRPr="00BF0050">
        <w:rPr>
          <w:sz w:val="26"/>
          <w:szCs w:val="26"/>
        </w:rPr>
        <w:t xml:space="preserve"> на активизацию факторов экономического роста и повышение эффективности экономики, темпы роста ВВП будут</w:t>
      </w:r>
      <w:r w:rsidR="00160147" w:rsidRPr="00BF0050">
        <w:rPr>
          <w:sz w:val="26"/>
          <w:szCs w:val="26"/>
        </w:rPr>
        <w:t xml:space="preserve"> непрерывно </w:t>
      </w:r>
      <w:r w:rsidRPr="00BF0050">
        <w:rPr>
          <w:sz w:val="26"/>
          <w:szCs w:val="26"/>
        </w:rPr>
        <w:t>возрастать</w:t>
      </w:r>
      <w:r w:rsidR="00160147" w:rsidRPr="00BF0050">
        <w:rPr>
          <w:sz w:val="26"/>
          <w:szCs w:val="26"/>
        </w:rPr>
        <w:t xml:space="preserve"> </w:t>
      </w:r>
      <w:proofErr w:type="gramStart"/>
      <w:r w:rsidR="00160147" w:rsidRPr="00BF0050">
        <w:rPr>
          <w:sz w:val="26"/>
          <w:szCs w:val="26"/>
        </w:rPr>
        <w:t>и</w:t>
      </w:r>
      <w:proofErr w:type="gramEnd"/>
      <w:r w:rsidRPr="00BF0050">
        <w:rPr>
          <w:sz w:val="26"/>
          <w:szCs w:val="26"/>
        </w:rPr>
        <w:t xml:space="preserve"> достигну</w:t>
      </w:r>
      <w:r w:rsidR="00160147" w:rsidRPr="00BF0050">
        <w:rPr>
          <w:sz w:val="26"/>
          <w:szCs w:val="26"/>
        </w:rPr>
        <w:t>т</w:t>
      </w:r>
      <w:r w:rsidRPr="00BF0050">
        <w:rPr>
          <w:sz w:val="26"/>
          <w:szCs w:val="26"/>
        </w:rPr>
        <w:t xml:space="preserve"> </w:t>
      </w:r>
      <w:r w:rsidRPr="00BF0050">
        <w:rPr>
          <w:sz w:val="26"/>
          <w:szCs w:val="26"/>
          <w:lang w:eastAsia="en-US"/>
        </w:rPr>
        <w:t>4,5 % в 2019 году.</w:t>
      </w:r>
    </w:p>
    <w:p w:rsidR="00425485" w:rsidRPr="00BF0050" w:rsidRDefault="00425485" w:rsidP="005458C8">
      <w:pPr>
        <w:spacing w:before="0" w:after="0"/>
        <w:ind w:firstLine="720"/>
        <w:jc w:val="both"/>
        <w:rPr>
          <w:sz w:val="26"/>
          <w:szCs w:val="26"/>
        </w:rPr>
      </w:pPr>
      <w:proofErr w:type="gramStart"/>
      <w:r w:rsidRPr="00BF0050">
        <w:rPr>
          <w:sz w:val="26"/>
          <w:szCs w:val="26"/>
        </w:rPr>
        <w:t>В целом отклонение характеристик федерального бюджета по отношению к ВВП между целевым и базовым вариантами прогноза</w:t>
      </w:r>
      <w:r w:rsidR="007851F4" w:rsidRPr="00BF0050">
        <w:rPr>
          <w:sz w:val="26"/>
          <w:szCs w:val="26"/>
        </w:rPr>
        <w:t xml:space="preserve"> незначительно</w:t>
      </w:r>
      <w:r w:rsidRPr="00BF0050">
        <w:rPr>
          <w:sz w:val="26"/>
          <w:szCs w:val="26"/>
        </w:rPr>
        <w:t xml:space="preserve">. </w:t>
      </w:r>
      <w:proofErr w:type="gramEnd"/>
    </w:p>
    <w:p w:rsidR="00B65903" w:rsidRPr="00BF0050" w:rsidRDefault="00B65903" w:rsidP="005458C8">
      <w:pPr>
        <w:spacing w:after="240"/>
        <w:jc w:val="both"/>
        <w:outlineLvl w:val="8"/>
        <w:rPr>
          <w:bCs/>
          <w:sz w:val="26"/>
          <w:szCs w:val="26"/>
        </w:rPr>
      </w:pPr>
      <w:r w:rsidRPr="00BF0050">
        <w:rPr>
          <w:bCs/>
          <w:sz w:val="26"/>
          <w:szCs w:val="26"/>
        </w:rPr>
        <w:t>Базовый вариант прогноза предлагается использовать для разработки параметров федерального бюджета на 2017 – 2019 годы.</w:t>
      </w:r>
    </w:p>
    <w:p w:rsidR="002C0E6B" w:rsidRPr="00BF0050" w:rsidRDefault="002C0E6B">
      <w:pPr>
        <w:spacing w:before="0" w:after="0" w:line="240" w:lineRule="auto"/>
        <w:ind w:firstLine="0"/>
        <w:rPr>
          <w:rFonts w:eastAsia="Calibri"/>
          <w:b/>
          <w:sz w:val="26"/>
          <w:szCs w:val="26"/>
        </w:rPr>
      </w:pPr>
      <w:r w:rsidRPr="00BF0050">
        <w:rPr>
          <w:rFonts w:eastAsia="Calibri"/>
          <w:b/>
          <w:sz w:val="26"/>
          <w:szCs w:val="26"/>
        </w:rPr>
        <w:br w:type="page"/>
      </w:r>
    </w:p>
    <w:p w:rsidR="006E345F" w:rsidRPr="00BF0050" w:rsidRDefault="006E345F" w:rsidP="005458C8">
      <w:pPr>
        <w:spacing w:after="0" w:line="240" w:lineRule="auto"/>
        <w:jc w:val="center"/>
        <w:rPr>
          <w:rFonts w:eastAsia="Calibri"/>
          <w:b/>
          <w:sz w:val="26"/>
          <w:szCs w:val="26"/>
        </w:rPr>
      </w:pPr>
      <w:r w:rsidRPr="00BF0050">
        <w:rPr>
          <w:rFonts w:eastAsia="Calibri"/>
          <w:b/>
          <w:sz w:val="26"/>
          <w:szCs w:val="26"/>
        </w:rPr>
        <w:lastRenderedPageBreak/>
        <w:t>Основные показатели прогноза социально-экономического развития</w:t>
      </w:r>
    </w:p>
    <w:p w:rsidR="006E345F" w:rsidRPr="00BF0050" w:rsidRDefault="006E345F" w:rsidP="005458C8">
      <w:pPr>
        <w:spacing w:before="0" w:line="240" w:lineRule="auto"/>
        <w:jc w:val="center"/>
        <w:rPr>
          <w:rFonts w:eastAsia="Calibri"/>
          <w:b/>
          <w:sz w:val="26"/>
          <w:szCs w:val="26"/>
        </w:rPr>
      </w:pPr>
      <w:r w:rsidRPr="00BF0050">
        <w:rPr>
          <w:rFonts w:eastAsia="Calibri"/>
          <w:b/>
          <w:sz w:val="26"/>
          <w:szCs w:val="26"/>
        </w:rPr>
        <w:t> Российской Федерации на 2015 – 2019 годы</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422"/>
        <w:gridCol w:w="1426"/>
        <w:gridCol w:w="1446"/>
        <w:gridCol w:w="1426"/>
        <w:gridCol w:w="1460"/>
      </w:tblGrid>
      <w:tr w:rsidR="006E345F" w:rsidRPr="00BF0050" w:rsidTr="008A11BF">
        <w:trPr>
          <w:trHeight w:val="397"/>
          <w:tblHeader/>
          <w:jc w:val="center"/>
        </w:trPr>
        <w:tc>
          <w:tcPr>
            <w:tcW w:w="1380" w:type="pct"/>
            <w:vAlign w:val="center"/>
          </w:tcPr>
          <w:p w:rsidR="006E345F" w:rsidRPr="00BF0050" w:rsidRDefault="006E345F" w:rsidP="00AF0233">
            <w:pPr>
              <w:spacing w:before="60" w:after="60" w:line="240" w:lineRule="auto"/>
              <w:ind w:firstLineChars="200" w:firstLine="520"/>
              <w:rPr>
                <w:bCs/>
                <w:sz w:val="26"/>
                <w:szCs w:val="26"/>
              </w:rPr>
            </w:pPr>
          </w:p>
        </w:tc>
        <w:tc>
          <w:tcPr>
            <w:tcW w:w="717" w:type="pct"/>
            <w:vAlign w:val="center"/>
          </w:tcPr>
          <w:p w:rsidR="006E345F" w:rsidRPr="00BF0050" w:rsidRDefault="006E345F" w:rsidP="001C5704">
            <w:pPr>
              <w:spacing w:before="60" w:after="60" w:line="240" w:lineRule="auto"/>
              <w:ind w:firstLine="0"/>
              <w:jc w:val="center"/>
              <w:rPr>
                <w:sz w:val="26"/>
                <w:szCs w:val="26"/>
              </w:rPr>
            </w:pPr>
            <w:r w:rsidRPr="00BF0050">
              <w:rPr>
                <w:sz w:val="26"/>
                <w:szCs w:val="26"/>
              </w:rPr>
              <w:t>2015 г.</w:t>
            </w:r>
          </w:p>
        </w:tc>
        <w:tc>
          <w:tcPr>
            <w:tcW w:w="719" w:type="pct"/>
            <w:vAlign w:val="center"/>
          </w:tcPr>
          <w:p w:rsidR="006E345F" w:rsidRPr="00BF0050" w:rsidRDefault="006E345F" w:rsidP="001C5704">
            <w:pPr>
              <w:spacing w:before="60" w:after="60" w:line="240" w:lineRule="auto"/>
              <w:ind w:firstLine="0"/>
              <w:jc w:val="center"/>
              <w:rPr>
                <w:sz w:val="26"/>
                <w:szCs w:val="26"/>
              </w:rPr>
            </w:pPr>
            <w:r w:rsidRPr="00BF0050">
              <w:rPr>
                <w:sz w:val="26"/>
                <w:szCs w:val="26"/>
              </w:rPr>
              <w:t>2016 г.</w:t>
            </w:r>
          </w:p>
        </w:tc>
        <w:tc>
          <w:tcPr>
            <w:tcW w:w="729" w:type="pct"/>
            <w:vAlign w:val="center"/>
          </w:tcPr>
          <w:p w:rsidR="006E345F" w:rsidRPr="00BF0050" w:rsidRDefault="006E345F" w:rsidP="001C5704">
            <w:pPr>
              <w:spacing w:before="60" w:after="60" w:line="240" w:lineRule="auto"/>
              <w:ind w:firstLine="85"/>
              <w:jc w:val="center"/>
              <w:rPr>
                <w:sz w:val="26"/>
                <w:szCs w:val="26"/>
              </w:rPr>
            </w:pPr>
            <w:r w:rsidRPr="00BF0050">
              <w:rPr>
                <w:sz w:val="26"/>
                <w:szCs w:val="26"/>
              </w:rPr>
              <w:t>2017 г.</w:t>
            </w:r>
          </w:p>
        </w:tc>
        <w:tc>
          <w:tcPr>
            <w:tcW w:w="719" w:type="pct"/>
            <w:vAlign w:val="center"/>
          </w:tcPr>
          <w:p w:rsidR="006E345F" w:rsidRPr="00BF0050" w:rsidRDefault="006E345F" w:rsidP="001C5704">
            <w:pPr>
              <w:spacing w:before="60" w:after="60" w:line="240" w:lineRule="auto"/>
              <w:ind w:firstLine="0"/>
              <w:jc w:val="center"/>
              <w:rPr>
                <w:sz w:val="26"/>
                <w:szCs w:val="26"/>
              </w:rPr>
            </w:pPr>
            <w:r w:rsidRPr="00BF0050">
              <w:rPr>
                <w:sz w:val="26"/>
                <w:szCs w:val="26"/>
                <w:lang w:val="en-US"/>
              </w:rPr>
              <w:t>201</w:t>
            </w:r>
            <w:r w:rsidRPr="00BF0050">
              <w:rPr>
                <w:sz w:val="26"/>
                <w:szCs w:val="26"/>
              </w:rPr>
              <w:t>8 г.</w:t>
            </w:r>
          </w:p>
        </w:tc>
        <w:tc>
          <w:tcPr>
            <w:tcW w:w="736" w:type="pct"/>
            <w:vAlign w:val="center"/>
          </w:tcPr>
          <w:p w:rsidR="006E345F" w:rsidRPr="00BF0050" w:rsidRDefault="006E345F" w:rsidP="001C5704">
            <w:pPr>
              <w:spacing w:before="60" w:after="60" w:line="240" w:lineRule="auto"/>
              <w:ind w:firstLine="0"/>
              <w:jc w:val="center"/>
              <w:rPr>
                <w:sz w:val="26"/>
                <w:szCs w:val="26"/>
              </w:rPr>
            </w:pPr>
            <w:r w:rsidRPr="00BF0050">
              <w:rPr>
                <w:sz w:val="26"/>
                <w:szCs w:val="26"/>
              </w:rPr>
              <w:t>2019 г.</w:t>
            </w:r>
          </w:p>
        </w:tc>
      </w:tr>
      <w:tr w:rsidR="006E345F" w:rsidRPr="00BF0050" w:rsidTr="008A11BF">
        <w:trPr>
          <w:trHeight w:val="350"/>
          <w:jc w:val="center"/>
        </w:trPr>
        <w:tc>
          <w:tcPr>
            <w:tcW w:w="5000" w:type="pct"/>
            <w:gridSpan w:val="6"/>
            <w:vAlign w:val="center"/>
          </w:tcPr>
          <w:p w:rsidR="006E345F" w:rsidRPr="00BF0050" w:rsidRDefault="006E345F" w:rsidP="001C5704">
            <w:pPr>
              <w:spacing w:before="60" w:after="20" w:line="240" w:lineRule="auto"/>
              <w:ind w:firstLine="142"/>
              <w:rPr>
                <w:b/>
                <w:bCs/>
                <w:color w:val="FF0000"/>
              </w:rPr>
            </w:pPr>
            <w:r w:rsidRPr="00BF0050">
              <w:rPr>
                <w:b/>
                <w:bCs/>
              </w:rPr>
              <w:t xml:space="preserve">Цены на нефть </w:t>
            </w:r>
            <w:proofErr w:type="spellStart"/>
            <w:r w:rsidRPr="00BF0050">
              <w:rPr>
                <w:b/>
                <w:bCs/>
              </w:rPr>
              <w:t>Urals</w:t>
            </w:r>
            <w:proofErr w:type="spellEnd"/>
            <w:r w:rsidRPr="00BF0050">
              <w:rPr>
                <w:b/>
                <w:bCs/>
              </w:rPr>
              <w:t xml:space="preserve"> (мировые),</w:t>
            </w:r>
            <w:r w:rsidRPr="00BF0050">
              <w:t xml:space="preserve"> </w:t>
            </w:r>
            <w:r w:rsidRPr="00BF0050">
              <w:rPr>
                <w:b/>
              </w:rPr>
              <w:t>долл./</w:t>
            </w:r>
            <w:proofErr w:type="spellStart"/>
            <w:r w:rsidRPr="00BF0050">
              <w:rPr>
                <w:b/>
              </w:rPr>
              <w:t>барр</w:t>
            </w:r>
            <w:proofErr w:type="spellEnd"/>
            <w:r w:rsidRPr="00BF0050">
              <w:rPr>
                <w:b/>
              </w:rPr>
              <w:t>.</w:t>
            </w:r>
          </w:p>
        </w:tc>
      </w:tr>
      <w:tr w:rsidR="006E345F" w:rsidRPr="00BF0050" w:rsidTr="008A11BF">
        <w:trPr>
          <w:jc w:val="center"/>
        </w:trPr>
        <w:tc>
          <w:tcPr>
            <w:tcW w:w="1380" w:type="pct"/>
            <w:tcBorders>
              <w:top w:val="dotted" w:sz="4" w:space="0" w:color="auto"/>
              <w:bottom w:val="dotted" w:sz="4" w:space="0" w:color="auto"/>
            </w:tcBorders>
            <w:vAlign w:val="center"/>
          </w:tcPr>
          <w:p w:rsidR="006E345F" w:rsidRPr="00BF0050" w:rsidRDefault="00250D8E" w:rsidP="00AF0233">
            <w:pPr>
              <w:spacing w:before="20" w:after="20" w:line="240" w:lineRule="auto"/>
              <w:ind w:firstLine="142"/>
              <w:jc w:val="center"/>
              <w:rPr>
                <w:bCs/>
                <w:lang w:val="en-US"/>
              </w:rPr>
            </w:pPr>
            <w:r w:rsidRPr="00BF0050">
              <w:rPr>
                <w:bCs/>
              </w:rPr>
              <w:t>б</w:t>
            </w:r>
            <w:r w:rsidR="006E345F" w:rsidRPr="00BF0050">
              <w:rPr>
                <w:bCs/>
              </w:rPr>
              <w:t>азовый</w:t>
            </w:r>
          </w:p>
        </w:tc>
        <w:tc>
          <w:tcPr>
            <w:tcW w:w="717" w:type="pct"/>
            <w:vMerge w:val="restart"/>
            <w:vAlign w:val="center"/>
          </w:tcPr>
          <w:p w:rsidR="006E345F" w:rsidRPr="00BF0050" w:rsidRDefault="006E345F" w:rsidP="00AF0233">
            <w:pPr>
              <w:spacing w:before="20" w:after="20" w:line="240" w:lineRule="auto"/>
              <w:ind w:firstLine="136"/>
              <w:jc w:val="center"/>
              <w:rPr>
                <w:b/>
                <w:bCs/>
              </w:rPr>
            </w:pPr>
            <w:r w:rsidRPr="00BF0050">
              <w:t>51,2</w:t>
            </w:r>
          </w:p>
        </w:tc>
        <w:tc>
          <w:tcPr>
            <w:tcW w:w="719" w:type="pct"/>
            <w:tcBorders>
              <w:top w:val="dotted" w:sz="4" w:space="0" w:color="auto"/>
              <w:bottom w:val="dotted" w:sz="4" w:space="0" w:color="auto"/>
              <w:right w:val="dotted" w:sz="4" w:space="0" w:color="auto"/>
            </w:tcBorders>
            <w:vAlign w:val="center"/>
          </w:tcPr>
          <w:p w:rsidR="006E345F" w:rsidRPr="00BF0050" w:rsidRDefault="006E345F" w:rsidP="00AF0233">
            <w:pPr>
              <w:spacing w:before="20" w:after="20" w:line="240" w:lineRule="auto"/>
              <w:ind w:firstLine="10"/>
              <w:jc w:val="center"/>
            </w:pPr>
            <w:r w:rsidRPr="00BF0050">
              <w:t>40</w:t>
            </w:r>
          </w:p>
        </w:tc>
        <w:tc>
          <w:tcPr>
            <w:tcW w:w="729" w:type="pct"/>
            <w:tcBorders>
              <w:top w:val="dotted" w:sz="4" w:space="0" w:color="auto"/>
              <w:left w:val="dotted" w:sz="4" w:space="0" w:color="auto"/>
              <w:bottom w:val="dotted" w:sz="4" w:space="0" w:color="auto"/>
              <w:right w:val="dotted" w:sz="4" w:space="0" w:color="auto"/>
            </w:tcBorders>
            <w:vAlign w:val="center"/>
          </w:tcPr>
          <w:p w:rsidR="006E345F" w:rsidRPr="00BF0050" w:rsidRDefault="008D0586" w:rsidP="00D7626A">
            <w:pPr>
              <w:spacing w:before="20" w:after="20" w:line="240" w:lineRule="auto"/>
              <w:ind w:firstLine="10"/>
              <w:jc w:val="center"/>
            </w:pPr>
            <w:r w:rsidRPr="00BF0050">
              <w:t>40</w:t>
            </w:r>
          </w:p>
        </w:tc>
        <w:tc>
          <w:tcPr>
            <w:tcW w:w="719" w:type="pct"/>
            <w:tcBorders>
              <w:top w:val="dotted" w:sz="4" w:space="0" w:color="auto"/>
              <w:left w:val="dotted" w:sz="4" w:space="0" w:color="auto"/>
              <w:bottom w:val="dotted" w:sz="4" w:space="0" w:color="auto"/>
              <w:right w:val="dotted" w:sz="4" w:space="0" w:color="auto"/>
            </w:tcBorders>
            <w:vAlign w:val="center"/>
          </w:tcPr>
          <w:p w:rsidR="006E345F" w:rsidRPr="00BF0050" w:rsidRDefault="008D0586" w:rsidP="00AF0233">
            <w:pPr>
              <w:spacing w:before="20" w:after="20" w:line="240" w:lineRule="auto"/>
              <w:ind w:firstLine="10"/>
              <w:jc w:val="center"/>
            </w:pPr>
            <w:r w:rsidRPr="00BF0050">
              <w:t>40</w:t>
            </w:r>
          </w:p>
        </w:tc>
        <w:tc>
          <w:tcPr>
            <w:tcW w:w="736" w:type="pct"/>
            <w:tcBorders>
              <w:top w:val="dotted" w:sz="4" w:space="0" w:color="auto"/>
              <w:left w:val="dotted" w:sz="4" w:space="0" w:color="auto"/>
              <w:bottom w:val="dotted" w:sz="4" w:space="0" w:color="auto"/>
            </w:tcBorders>
            <w:vAlign w:val="center"/>
          </w:tcPr>
          <w:p w:rsidR="006E345F" w:rsidRPr="00BF0050" w:rsidRDefault="008D0586" w:rsidP="00AF0233">
            <w:pPr>
              <w:spacing w:before="20" w:after="20" w:line="240" w:lineRule="auto"/>
              <w:ind w:firstLine="10"/>
              <w:jc w:val="center"/>
            </w:pPr>
            <w:r w:rsidRPr="00BF0050">
              <w:t>40</w:t>
            </w:r>
          </w:p>
        </w:tc>
      </w:tr>
      <w:tr w:rsidR="006E345F" w:rsidRPr="00BF0050" w:rsidTr="008A11BF">
        <w:trPr>
          <w:jc w:val="center"/>
        </w:trPr>
        <w:tc>
          <w:tcPr>
            <w:tcW w:w="1380" w:type="pct"/>
            <w:tcBorders>
              <w:top w:val="dotted" w:sz="4" w:space="0" w:color="auto"/>
              <w:bottom w:val="dotted" w:sz="4" w:space="0" w:color="auto"/>
            </w:tcBorders>
            <w:vAlign w:val="center"/>
          </w:tcPr>
          <w:p w:rsidR="006E345F" w:rsidRPr="00BF0050" w:rsidRDefault="00250D8E" w:rsidP="00250D8E">
            <w:pPr>
              <w:spacing w:before="20" w:after="20" w:line="240" w:lineRule="auto"/>
              <w:ind w:firstLine="142"/>
              <w:jc w:val="center"/>
              <w:rPr>
                <w:bCs/>
              </w:rPr>
            </w:pPr>
            <w:r w:rsidRPr="00BF0050">
              <w:rPr>
                <w:bCs/>
              </w:rPr>
              <w:t>к</w:t>
            </w:r>
            <w:r w:rsidR="006E345F" w:rsidRPr="00BF0050">
              <w:rPr>
                <w:bCs/>
              </w:rPr>
              <w:t>онсервативный</w:t>
            </w:r>
          </w:p>
        </w:tc>
        <w:tc>
          <w:tcPr>
            <w:tcW w:w="717" w:type="pct"/>
            <w:vMerge/>
            <w:vAlign w:val="center"/>
          </w:tcPr>
          <w:p w:rsidR="006E345F" w:rsidRPr="00BF0050" w:rsidRDefault="006E345F" w:rsidP="00AF0233">
            <w:pPr>
              <w:spacing w:before="20" w:after="20" w:line="240" w:lineRule="auto"/>
              <w:ind w:firstLine="136"/>
              <w:jc w:val="center"/>
            </w:pPr>
          </w:p>
        </w:tc>
        <w:tc>
          <w:tcPr>
            <w:tcW w:w="719" w:type="pct"/>
            <w:tcBorders>
              <w:top w:val="dotted" w:sz="4" w:space="0" w:color="auto"/>
              <w:bottom w:val="dotted" w:sz="4" w:space="0" w:color="auto"/>
              <w:right w:val="dotted" w:sz="4" w:space="0" w:color="auto"/>
            </w:tcBorders>
            <w:vAlign w:val="center"/>
          </w:tcPr>
          <w:p w:rsidR="006E345F" w:rsidRPr="00BF0050" w:rsidRDefault="006E345F" w:rsidP="00AF0233">
            <w:pPr>
              <w:spacing w:before="20" w:after="20" w:line="240" w:lineRule="auto"/>
              <w:ind w:firstLine="10"/>
              <w:jc w:val="center"/>
            </w:pPr>
            <w:r w:rsidRPr="00BF0050">
              <w:t>25</w:t>
            </w:r>
          </w:p>
        </w:tc>
        <w:tc>
          <w:tcPr>
            <w:tcW w:w="729" w:type="pct"/>
            <w:tcBorders>
              <w:top w:val="dotted" w:sz="4" w:space="0" w:color="auto"/>
              <w:left w:val="dotted" w:sz="4" w:space="0" w:color="auto"/>
              <w:bottom w:val="dotted" w:sz="4" w:space="0" w:color="auto"/>
              <w:right w:val="dotted" w:sz="4" w:space="0" w:color="auto"/>
            </w:tcBorders>
            <w:vAlign w:val="center"/>
          </w:tcPr>
          <w:p w:rsidR="006E345F" w:rsidRPr="00BF0050" w:rsidRDefault="00EE3BDD" w:rsidP="00AF0233">
            <w:pPr>
              <w:spacing w:before="20" w:after="20" w:line="240" w:lineRule="auto"/>
              <w:ind w:firstLine="10"/>
              <w:jc w:val="center"/>
            </w:pPr>
            <w:r w:rsidRPr="00BF0050">
              <w:t>25</w:t>
            </w:r>
          </w:p>
        </w:tc>
        <w:tc>
          <w:tcPr>
            <w:tcW w:w="719" w:type="pct"/>
            <w:tcBorders>
              <w:top w:val="dotted" w:sz="4" w:space="0" w:color="auto"/>
              <w:left w:val="dotted" w:sz="4" w:space="0" w:color="auto"/>
              <w:bottom w:val="dotted" w:sz="4" w:space="0" w:color="auto"/>
              <w:right w:val="dotted" w:sz="4" w:space="0" w:color="auto"/>
            </w:tcBorders>
            <w:vAlign w:val="center"/>
          </w:tcPr>
          <w:p w:rsidR="006E345F" w:rsidRPr="00BF0050" w:rsidRDefault="00EE3BDD" w:rsidP="00AF0233">
            <w:pPr>
              <w:spacing w:before="20" w:after="20" w:line="240" w:lineRule="auto"/>
              <w:ind w:firstLine="10"/>
              <w:jc w:val="center"/>
            </w:pPr>
            <w:r w:rsidRPr="00BF0050">
              <w:t>25</w:t>
            </w:r>
          </w:p>
        </w:tc>
        <w:tc>
          <w:tcPr>
            <w:tcW w:w="736" w:type="pct"/>
            <w:tcBorders>
              <w:top w:val="dotted" w:sz="4" w:space="0" w:color="auto"/>
              <w:left w:val="dotted" w:sz="4" w:space="0" w:color="auto"/>
              <w:bottom w:val="dotted" w:sz="4" w:space="0" w:color="auto"/>
            </w:tcBorders>
            <w:vAlign w:val="center"/>
          </w:tcPr>
          <w:p w:rsidR="006E345F" w:rsidRPr="00BF0050" w:rsidRDefault="00EE3BDD" w:rsidP="00AF0233">
            <w:pPr>
              <w:spacing w:before="20" w:after="20" w:line="240" w:lineRule="auto"/>
              <w:ind w:firstLine="10"/>
              <w:jc w:val="center"/>
            </w:pPr>
            <w:r w:rsidRPr="00BF0050">
              <w:t>25</w:t>
            </w:r>
          </w:p>
        </w:tc>
      </w:tr>
      <w:tr w:rsidR="008D0586" w:rsidRPr="00BF0050" w:rsidTr="008A11BF">
        <w:trPr>
          <w:jc w:val="center"/>
        </w:trPr>
        <w:tc>
          <w:tcPr>
            <w:tcW w:w="1380" w:type="pct"/>
            <w:tcBorders>
              <w:top w:val="dotted" w:sz="4" w:space="0" w:color="auto"/>
              <w:bottom w:val="single" w:sz="4" w:space="0" w:color="auto"/>
            </w:tcBorders>
            <w:vAlign w:val="center"/>
          </w:tcPr>
          <w:p w:rsidR="008D0586" w:rsidRPr="00BF0050" w:rsidRDefault="008D0586" w:rsidP="00AF0233">
            <w:pPr>
              <w:spacing w:before="20" w:after="20" w:line="240" w:lineRule="auto"/>
              <w:ind w:firstLine="142"/>
              <w:jc w:val="center"/>
              <w:rPr>
                <w:bCs/>
              </w:rPr>
            </w:pPr>
            <w:r w:rsidRPr="00BF0050">
              <w:rPr>
                <w:bCs/>
              </w:rPr>
              <w:t>целевой</w:t>
            </w:r>
          </w:p>
        </w:tc>
        <w:tc>
          <w:tcPr>
            <w:tcW w:w="717" w:type="pct"/>
            <w:vMerge/>
            <w:tcBorders>
              <w:bottom w:val="single" w:sz="4" w:space="0" w:color="auto"/>
            </w:tcBorders>
            <w:vAlign w:val="center"/>
          </w:tcPr>
          <w:p w:rsidR="008D0586" w:rsidRPr="00BF0050" w:rsidRDefault="008D0586" w:rsidP="00AF0233">
            <w:pPr>
              <w:spacing w:before="20" w:after="20" w:line="240" w:lineRule="auto"/>
              <w:ind w:firstLine="136"/>
              <w:jc w:val="center"/>
            </w:pPr>
          </w:p>
        </w:tc>
        <w:tc>
          <w:tcPr>
            <w:tcW w:w="719" w:type="pct"/>
            <w:tcBorders>
              <w:top w:val="dotted" w:sz="4" w:space="0" w:color="auto"/>
              <w:bottom w:val="single"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40</w:t>
            </w:r>
          </w:p>
        </w:tc>
        <w:tc>
          <w:tcPr>
            <w:tcW w:w="729" w:type="pct"/>
            <w:tcBorders>
              <w:top w:val="dotted" w:sz="4" w:space="0" w:color="auto"/>
              <w:left w:val="dotted" w:sz="4" w:space="0" w:color="auto"/>
              <w:bottom w:val="single"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40</w:t>
            </w:r>
          </w:p>
        </w:tc>
        <w:tc>
          <w:tcPr>
            <w:tcW w:w="719" w:type="pct"/>
            <w:tcBorders>
              <w:top w:val="dotted" w:sz="4" w:space="0" w:color="auto"/>
              <w:left w:val="dotted" w:sz="4" w:space="0" w:color="auto"/>
              <w:bottom w:val="single"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40</w:t>
            </w:r>
          </w:p>
        </w:tc>
        <w:tc>
          <w:tcPr>
            <w:tcW w:w="736" w:type="pct"/>
            <w:tcBorders>
              <w:top w:val="dotted" w:sz="4" w:space="0" w:color="auto"/>
              <w:left w:val="dotted" w:sz="4" w:space="0" w:color="auto"/>
              <w:bottom w:val="single" w:sz="4" w:space="0" w:color="auto"/>
            </w:tcBorders>
            <w:vAlign w:val="center"/>
          </w:tcPr>
          <w:p w:rsidR="008D0586" w:rsidRPr="00BF0050" w:rsidRDefault="008D0586" w:rsidP="00AF0233">
            <w:pPr>
              <w:spacing w:before="20" w:after="20" w:line="240" w:lineRule="auto"/>
              <w:ind w:firstLine="10"/>
              <w:jc w:val="center"/>
            </w:pPr>
            <w:r w:rsidRPr="00BF0050">
              <w:t>40</w:t>
            </w:r>
          </w:p>
        </w:tc>
      </w:tr>
      <w:tr w:rsidR="001C5704" w:rsidRPr="00BF0050" w:rsidTr="008A11BF">
        <w:trPr>
          <w:jc w:val="center"/>
        </w:trPr>
        <w:tc>
          <w:tcPr>
            <w:tcW w:w="5000" w:type="pct"/>
            <w:gridSpan w:val="6"/>
            <w:tcBorders>
              <w:top w:val="single" w:sz="4" w:space="0" w:color="auto"/>
              <w:bottom w:val="single" w:sz="4" w:space="0" w:color="auto"/>
            </w:tcBorders>
            <w:vAlign w:val="center"/>
          </w:tcPr>
          <w:p w:rsidR="001C5704" w:rsidRPr="00BF0050" w:rsidRDefault="001C5704" w:rsidP="00A8555B">
            <w:pPr>
              <w:spacing w:before="20" w:after="20" w:line="240" w:lineRule="auto"/>
              <w:ind w:firstLine="142"/>
              <w:rPr>
                <w:b/>
              </w:rPr>
            </w:pPr>
            <w:r w:rsidRPr="00BF0050">
              <w:rPr>
                <w:b/>
              </w:rPr>
              <w:t>Индекс потребительских цен, на конец года</w:t>
            </w:r>
          </w:p>
        </w:tc>
      </w:tr>
      <w:tr w:rsidR="006B75D7" w:rsidRPr="00BF0050" w:rsidTr="008A11BF">
        <w:trPr>
          <w:jc w:val="center"/>
        </w:trPr>
        <w:tc>
          <w:tcPr>
            <w:tcW w:w="1380" w:type="pct"/>
            <w:tcBorders>
              <w:top w:val="single" w:sz="4" w:space="0" w:color="auto"/>
              <w:bottom w:val="dotted" w:sz="4" w:space="0" w:color="auto"/>
              <w:right w:val="dotted" w:sz="4" w:space="0" w:color="auto"/>
            </w:tcBorders>
            <w:vAlign w:val="center"/>
          </w:tcPr>
          <w:p w:rsidR="006B75D7" w:rsidRPr="00BF0050" w:rsidRDefault="006B75D7" w:rsidP="006B75D7">
            <w:pPr>
              <w:spacing w:before="20" w:after="20" w:line="240" w:lineRule="auto"/>
              <w:ind w:firstLine="142"/>
              <w:jc w:val="center"/>
              <w:rPr>
                <w:bCs/>
                <w:lang w:val="en-US"/>
              </w:rPr>
            </w:pPr>
            <w:r w:rsidRPr="00BF0050">
              <w:rPr>
                <w:bCs/>
              </w:rPr>
              <w:t>базовый</w:t>
            </w:r>
          </w:p>
        </w:tc>
        <w:tc>
          <w:tcPr>
            <w:tcW w:w="717" w:type="pct"/>
            <w:vMerge w:val="restart"/>
            <w:tcBorders>
              <w:top w:val="single" w:sz="4" w:space="0" w:color="auto"/>
              <w:left w:val="dotted" w:sz="4" w:space="0" w:color="auto"/>
              <w:right w:val="dotted" w:sz="4" w:space="0" w:color="auto"/>
            </w:tcBorders>
            <w:vAlign w:val="center"/>
          </w:tcPr>
          <w:p w:rsidR="006B75D7" w:rsidRPr="00BF0050" w:rsidRDefault="006B75D7" w:rsidP="00AF0233">
            <w:pPr>
              <w:spacing w:before="20" w:after="20" w:line="240" w:lineRule="auto"/>
              <w:ind w:firstLine="136"/>
              <w:jc w:val="center"/>
            </w:pPr>
            <w:r w:rsidRPr="00BF0050">
              <w:t>12,9</w:t>
            </w:r>
          </w:p>
        </w:tc>
        <w:tc>
          <w:tcPr>
            <w:tcW w:w="719" w:type="pct"/>
            <w:tcBorders>
              <w:top w:val="single" w:sz="4" w:space="0" w:color="auto"/>
              <w:left w:val="dotted" w:sz="4" w:space="0" w:color="auto"/>
              <w:bottom w:val="dotted" w:sz="4" w:space="0" w:color="auto"/>
              <w:right w:val="dotted" w:sz="4" w:space="0" w:color="auto"/>
            </w:tcBorders>
            <w:vAlign w:val="center"/>
          </w:tcPr>
          <w:p w:rsidR="006B75D7" w:rsidRPr="00BF0050" w:rsidRDefault="008D0586" w:rsidP="00AF0233">
            <w:pPr>
              <w:spacing w:before="20" w:after="20" w:line="240" w:lineRule="auto"/>
              <w:ind w:firstLine="10"/>
              <w:jc w:val="center"/>
            </w:pPr>
            <w:r w:rsidRPr="00BF0050">
              <w:t>6,5</w:t>
            </w:r>
          </w:p>
        </w:tc>
        <w:tc>
          <w:tcPr>
            <w:tcW w:w="729" w:type="pct"/>
            <w:tcBorders>
              <w:top w:val="single" w:sz="4" w:space="0" w:color="auto"/>
              <w:left w:val="dotted" w:sz="4" w:space="0" w:color="auto"/>
              <w:bottom w:val="dotted" w:sz="4" w:space="0" w:color="auto"/>
              <w:right w:val="dotted" w:sz="4" w:space="0" w:color="auto"/>
            </w:tcBorders>
            <w:vAlign w:val="center"/>
          </w:tcPr>
          <w:p w:rsidR="006B75D7" w:rsidRPr="00BF0050" w:rsidRDefault="008D0586" w:rsidP="00AF0233">
            <w:pPr>
              <w:spacing w:before="20" w:after="20" w:line="240" w:lineRule="auto"/>
              <w:ind w:firstLine="10"/>
              <w:jc w:val="center"/>
            </w:pPr>
            <w:r w:rsidRPr="00BF0050">
              <w:t>4,9</w:t>
            </w:r>
          </w:p>
        </w:tc>
        <w:tc>
          <w:tcPr>
            <w:tcW w:w="719" w:type="pct"/>
            <w:tcBorders>
              <w:top w:val="single" w:sz="4" w:space="0" w:color="auto"/>
              <w:left w:val="dotted" w:sz="4" w:space="0" w:color="auto"/>
              <w:bottom w:val="dotted" w:sz="4" w:space="0" w:color="auto"/>
              <w:right w:val="dotted" w:sz="4" w:space="0" w:color="auto"/>
            </w:tcBorders>
            <w:vAlign w:val="center"/>
          </w:tcPr>
          <w:p w:rsidR="006B75D7" w:rsidRPr="00BF0050" w:rsidRDefault="008D0586" w:rsidP="00AF0233">
            <w:pPr>
              <w:spacing w:before="20" w:after="20" w:line="240" w:lineRule="auto"/>
              <w:ind w:firstLine="10"/>
              <w:jc w:val="center"/>
            </w:pPr>
            <w:r w:rsidRPr="00BF0050">
              <w:t>4,5</w:t>
            </w:r>
          </w:p>
        </w:tc>
        <w:tc>
          <w:tcPr>
            <w:tcW w:w="736" w:type="pct"/>
            <w:tcBorders>
              <w:top w:val="single" w:sz="4" w:space="0" w:color="auto"/>
              <w:left w:val="dotted" w:sz="4" w:space="0" w:color="auto"/>
              <w:bottom w:val="dotted" w:sz="4" w:space="0" w:color="auto"/>
            </w:tcBorders>
            <w:vAlign w:val="center"/>
          </w:tcPr>
          <w:p w:rsidR="006B75D7" w:rsidRPr="00BF0050" w:rsidRDefault="008D0586" w:rsidP="006B75D7">
            <w:pPr>
              <w:spacing w:before="20" w:after="20" w:line="240" w:lineRule="auto"/>
              <w:ind w:firstLine="10"/>
              <w:jc w:val="center"/>
            </w:pPr>
            <w:r w:rsidRPr="00BF0050">
              <w:t>4</w:t>
            </w:r>
            <w:r w:rsidR="006B75D7" w:rsidRPr="00BF0050">
              <w:t>,0</w:t>
            </w:r>
          </w:p>
        </w:tc>
      </w:tr>
      <w:tr w:rsidR="006B75D7" w:rsidRPr="00BF0050" w:rsidTr="008A11BF">
        <w:trPr>
          <w:jc w:val="center"/>
        </w:trPr>
        <w:tc>
          <w:tcPr>
            <w:tcW w:w="1380" w:type="pct"/>
            <w:tcBorders>
              <w:top w:val="dotted" w:sz="4" w:space="0" w:color="auto"/>
              <w:bottom w:val="dotted" w:sz="4" w:space="0" w:color="auto"/>
              <w:right w:val="dotted" w:sz="4" w:space="0" w:color="auto"/>
            </w:tcBorders>
            <w:vAlign w:val="center"/>
          </w:tcPr>
          <w:p w:rsidR="006B75D7" w:rsidRPr="00BF0050" w:rsidRDefault="006B75D7" w:rsidP="006B75D7">
            <w:pPr>
              <w:spacing w:before="20" w:after="20" w:line="240" w:lineRule="auto"/>
              <w:ind w:firstLine="142"/>
              <w:jc w:val="center"/>
              <w:rPr>
                <w:bCs/>
              </w:rPr>
            </w:pPr>
            <w:r w:rsidRPr="00BF0050">
              <w:rPr>
                <w:bCs/>
              </w:rPr>
              <w:t>консервативный</w:t>
            </w:r>
          </w:p>
        </w:tc>
        <w:tc>
          <w:tcPr>
            <w:tcW w:w="717" w:type="pct"/>
            <w:vMerge/>
            <w:tcBorders>
              <w:left w:val="dotted" w:sz="4" w:space="0" w:color="auto"/>
              <w:right w:val="dotted" w:sz="4" w:space="0" w:color="auto"/>
            </w:tcBorders>
            <w:vAlign w:val="center"/>
          </w:tcPr>
          <w:p w:rsidR="006B75D7" w:rsidRPr="00BF0050" w:rsidRDefault="006B75D7" w:rsidP="00AF0233">
            <w:pPr>
              <w:spacing w:before="20" w:after="20" w:line="240" w:lineRule="auto"/>
              <w:ind w:firstLine="136"/>
              <w:jc w:val="center"/>
            </w:pPr>
          </w:p>
        </w:tc>
        <w:tc>
          <w:tcPr>
            <w:tcW w:w="719" w:type="pct"/>
            <w:tcBorders>
              <w:top w:val="dotted" w:sz="4" w:space="0" w:color="auto"/>
              <w:left w:val="dotted" w:sz="4" w:space="0" w:color="auto"/>
              <w:bottom w:val="dotted" w:sz="4" w:space="0" w:color="auto"/>
              <w:right w:val="dotted" w:sz="4" w:space="0" w:color="auto"/>
            </w:tcBorders>
            <w:vAlign w:val="center"/>
          </w:tcPr>
          <w:p w:rsidR="006B75D7" w:rsidRPr="00BF0050" w:rsidRDefault="006B75D7" w:rsidP="00AF0233">
            <w:pPr>
              <w:spacing w:before="20" w:after="20" w:line="240" w:lineRule="auto"/>
              <w:ind w:firstLine="10"/>
              <w:jc w:val="center"/>
            </w:pPr>
            <w:r w:rsidRPr="00BF0050">
              <w:t>9,0</w:t>
            </w:r>
          </w:p>
        </w:tc>
        <w:tc>
          <w:tcPr>
            <w:tcW w:w="729" w:type="pct"/>
            <w:tcBorders>
              <w:top w:val="dotted" w:sz="4" w:space="0" w:color="auto"/>
              <w:left w:val="dotted" w:sz="4" w:space="0" w:color="auto"/>
              <w:bottom w:val="dotted" w:sz="4" w:space="0" w:color="auto"/>
              <w:right w:val="dotted" w:sz="4" w:space="0" w:color="auto"/>
            </w:tcBorders>
            <w:vAlign w:val="center"/>
          </w:tcPr>
          <w:p w:rsidR="006B75D7" w:rsidRPr="00BF0050" w:rsidRDefault="00CA0BE1" w:rsidP="00AF0233">
            <w:pPr>
              <w:spacing w:before="20" w:after="20" w:line="240" w:lineRule="auto"/>
              <w:ind w:firstLine="10"/>
              <w:jc w:val="center"/>
            </w:pPr>
            <w:r w:rsidRPr="00BF0050">
              <w:t>6,0</w:t>
            </w:r>
          </w:p>
        </w:tc>
        <w:tc>
          <w:tcPr>
            <w:tcW w:w="719" w:type="pct"/>
            <w:tcBorders>
              <w:top w:val="dotted" w:sz="4" w:space="0" w:color="auto"/>
              <w:left w:val="dotted" w:sz="4" w:space="0" w:color="auto"/>
              <w:bottom w:val="dotted" w:sz="4" w:space="0" w:color="auto"/>
              <w:right w:val="dotted" w:sz="4" w:space="0" w:color="auto"/>
            </w:tcBorders>
            <w:vAlign w:val="center"/>
          </w:tcPr>
          <w:p w:rsidR="006B75D7" w:rsidRPr="00BF0050" w:rsidRDefault="00CA0BE1" w:rsidP="00AF0233">
            <w:pPr>
              <w:spacing w:before="20" w:after="20" w:line="240" w:lineRule="auto"/>
              <w:ind w:firstLine="10"/>
              <w:jc w:val="center"/>
            </w:pPr>
            <w:r w:rsidRPr="00BF0050">
              <w:t>5,5</w:t>
            </w:r>
          </w:p>
        </w:tc>
        <w:tc>
          <w:tcPr>
            <w:tcW w:w="736" w:type="pct"/>
            <w:tcBorders>
              <w:top w:val="dotted" w:sz="4" w:space="0" w:color="auto"/>
              <w:left w:val="dotted" w:sz="4" w:space="0" w:color="auto"/>
              <w:bottom w:val="dotted" w:sz="4" w:space="0" w:color="auto"/>
            </w:tcBorders>
            <w:vAlign w:val="center"/>
          </w:tcPr>
          <w:p w:rsidR="006B75D7" w:rsidRPr="00BF0050" w:rsidRDefault="006B75D7" w:rsidP="00AF0233">
            <w:pPr>
              <w:spacing w:before="20" w:after="20" w:line="240" w:lineRule="auto"/>
              <w:ind w:firstLine="10"/>
              <w:jc w:val="center"/>
            </w:pPr>
            <w:r w:rsidRPr="00BF0050">
              <w:t>5,1</w:t>
            </w:r>
          </w:p>
        </w:tc>
      </w:tr>
      <w:tr w:rsidR="006B75D7" w:rsidRPr="00BF0050" w:rsidTr="008A11BF">
        <w:trPr>
          <w:jc w:val="center"/>
        </w:trPr>
        <w:tc>
          <w:tcPr>
            <w:tcW w:w="1380" w:type="pct"/>
            <w:tcBorders>
              <w:top w:val="dotted" w:sz="4" w:space="0" w:color="auto"/>
              <w:bottom w:val="dotted" w:sz="4" w:space="0" w:color="auto"/>
              <w:right w:val="dotted" w:sz="4" w:space="0" w:color="auto"/>
            </w:tcBorders>
            <w:vAlign w:val="center"/>
          </w:tcPr>
          <w:p w:rsidR="006B75D7" w:rsidRPr="00BF0050" w:rsidRDefault="006B75D7" w:rsidP="006B75D7">
            <w:pPr>
              <w:spacing w:before="20" w:after="20" w:line="240" w:lineRule="auto"/>
              <w:ind w:firstLine="142"/>
              <w:jc w:val="center"/>
              <w:rPr>
                <w:bCs/>
              </w:rPr>
            </w:pPr>
            <w:r w:rsidRPr="00BF0050">
              <w:rPr>
                <w:bCs/>
              </w:rPr>
              <w:t>целевой</w:t>
            </w:r>
          </w:p>
        </w:tc>
        <w:tc>
          <w:tcPr>
            <w:tcW w:w="717" w:type="pct"/>
            <w:vMerge/>
            <w:tcBorders>
              <w:left w:val="dotted" w:sz="4" w:space="0" w:color="auto"/>
              <w:right w:val="dotted" w:sz="4" w:space="0" w:color="auto"/>
            </w:tcBorders>
            <w:vAlign w:val="center"/>
          </w:tcPr>
          <w:p w:rsidR="006B75D7" w:rsidRPr="00BF0050" w:rsidRDefault="006B75D7" w:rsidP="00AF0233">
            <w:pPr>
              <w:spacing w:before="20" w:after="20" w:line="240" w:lineRule="auto"/>
              <w:ind w:firstLine="136"/>
              <w:jc w:val="center"/>
            </w:pPr>
          </w:p>
        </w:tc>
        <w:tc>
          <w:tcPr>
            <w:tcW w:w="719" w:type="pct"/>
            <w:tcBorders>
              <w:top w:val="dotted" w:sz="4" w:space="0" w:color="auto"/>
              <w:left w:val="dotted" w:sz="4" w:space="0" w:color="auto"/>
              <w:right w:val="dotted" w:sz="4" w:space="0" w:color="auto"/>
            </w:tcBorders>
            <w:vAlign w:val="center"/>
          </w:tcPr>
          <w:p w:rsidR="006B75D7" w:rsidRPr="00BF0050" w:rsidRDefault="00806F00" w:rsidP="00D7626A">
            <w:pPr>
              <w:spacing w:before="20" w:after="20" w:line="240" w:lineRule="auto"/>
              <w:ind w:firstLine="10"/>
              <w:jc w:val="center"/>
            </w:pPr>
            <w:r w:rsidRPr="00BF0050">
              <w:t>6,</w:t>
            </w:r>
            <w:r w:rsidR="008D0586" w:rsidRPr="00BF0050">
              <w:t>5</w:t>
            </w:r>
          </w:p>
        </w:tc>
        <w:tc>
          <w:tcPr>
            <w:tcW w:w="729" w:type="pct"/>
            <w:tcBorders>
              <w:top w:val="dotted" w:sz="4" w:space="0" w:color="auto"/>
              <w:left w:val="dotted" w:sz="4" w:space="0" w:color="auto"/>
              <w:right w:val="dotted" w:sz="4" w:space="0" w:color="auto"/>
            </w:tcBorders>
            <w:vAlign w:val="center"/>
          </w:tcPr>
          <w:p w:rsidR="006B75D7" w:rsidRPr="00BF0050" w:rsidRDefault="006B75D7" w:rsidP="00AF0233">
            <w:pPr>
              <w:spacing w:before="20" w:after="20" w:line="240" w:lineRule="auto"/>
              <w:ind w:firstLine="10"/>
              <w:jc w:val="center"/>
            </w:pPr>
            <w:r w:rsidRPr="00BF0050">
              <w:t>4,0</w:t>
            </w:r>
          </w:p>
        </w:tc>
        <w:tc>
          <w:tcPr>
            <w:tcW w:w="719" w:type="pct"/>
            <w:tcBorders>
              <w:top w:val="dotted" w:sz="4" w:space="0" w:color="auto"/>
              <w:left w:val="dotted" w:sz="4" w:space="0" w:color="auto"/>
              <w:right w:val="dotted" w:sz="4" w:space="0" w:color="auto"/>
            </w:tcBorders>
            <w:vAlign w:val="center"/>
          </w:tcPr>
          <w:p w:rsidR="006B75D7" w:rsidRPr="00BF0050" w:rsidRDefault="006B75D7" w:rsidP="00AF0233">
            <w:pPr>
              <w:spacing w:before="20" w:after="20" w:line="240" w:lineRule="auto"/>
              <w:ind w:firstLine="10"/>
              <w:jc w:val="center"/>
            </w:pPr>
            <w:r w:rsidRPr="00BF0050">
              <w:t>4,0</w:t>
            </w:r>
          </w:p>
        </w:tc>
        <w:tc>
          <w:tcPr>
            <w:tcW w:w="736" w:type="pct"/>
            <w:tcBorders>
              <w:top w:val="dotted" w:sz="4" w:space="0" w:color="auto"/>
              <w:left w:val="dotted" w:sz="4" w:space="0" w:color="auto"/>
            </w:tcBorders>
            <w:vAlign w:val="center"/>
          </w:tcPr>
          <w:p w:rsidR="006B75D7" w:rsidRPr="00BF0050" w:rsidRDefault="006B75D7" w:rsidP="00AF0233">
            <w:pPr>
              <w:spacing w:before="20" w:after="20" w:line="240" w:lineRule="auto"/>
              <w:ind w:firstLine="10"/>
              <w:jc w:val="center"/>
            </w:pPr>
            <w:r w:rsidRPr="00BF0050">
              <w:t>4,0</w:t>
            </w:r>
          </w:p>
        </w:tc>
      </w:tr>
      <w:tr w:rsidR="006E345F" w:rsidRPr="00BF0050" w:rsidTr="008A11BF">
        <w:trPr>
          <w:jc w:val="center"/>
        </w:trPr>
        <w:tc>
          <w:tcPr>
            <w:tcW w:w="5000" w:type="pct"/>
            <w:gridSpan w:val="6"/>
          </w:tcPr>
          <w:p w:rsidR="006E345F" w:rsidRPr="00BF0050" w:rsidRDefault="006E345F" w:rsidP="00250D8E">
            <w:pPr>
              <w:spacing w:before="20" w:after="20" w:line="240" w:lineRule="auto"/>
              <w:ind w:firstLine="142"/>
              <w:rPr>
                <w:b/>
                <w:bCs/>
                <w:color w:val="FF0000"/>
              </w:rPr>
            </w:pPr>
            <w:r w:rsidRPr="00BF0050">
              <w:rPr>
                <w:b/>
                <w:bCs/>
              </w:rPr>
              <w:t>Валовой внутренний продукт, темп роста %</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lang w:val="en-US"/>
              </w:rPr>
            </w:pPr>
            <w:r w:rsidRPr="00BF0050">
              <w:rPr>
                <w:bCs/>
              </w:rPr>
              <w:t>базовый</w:t>
            </w:r>
          </w:p>
        </w:tc>
        <w:tc>
          <w:tcPr>
            <w:tcW w:w="717" w:type="pct"/>
            <w:vMerge w:val="restart"/>
            <w:vAlign w:val="center"/>
          </w:tcPr>
          <w:p w:rsidR="00250D8E" w:rsidRPr="00BF0050" w:rsidRDefault="00250D8E" w:rsidP="00250D8E">
            <w:pPr>
              <w:spacing w:before="20" w:after="20" w:line="240" w:lineRule="auto"/>
              <w:ind w:firstLine="0"/>
              <w:jc w:val="center"/>
            </w:pPr>
            <w:r w:rsidRPr="00BF0050">
              <w:t>96,3</w:t>
            </w:r>
          </w:p>
        </w:tc>
        <w:tc>
          <w:tcPr>
            <w:tcW w:w="719" w:type="pct"/>
            <w:tcBorders>
              <w:top w:val="dotted" w:sz="4" w:space="0" w:color="auto"/>
              <w:bottom w:val="dotted" w:sz="4" w:space="0" w:color="auto"/>
              <w:right w:val="dotted" w:sz="4" w:space="0" w:color="auto"/>
            </w:tcBorders>
            <w:vAlign w:val="center"/>
          </w:tcPr>
          <w:p w:rsidR="00250D8E" w:rsidRPr="00BF0050" w:rsidRDefault="00250D8E" w:rsidP="00EE3BDD">
            <w:pPr>
              <w:spacing w:before="20" w:after="20" w:line="240" w:lineRule="auto"/>
              <w:ind w:firstLine="10"/>
              <w:jc w:val="center"/>
            </w:pPr>
            <w:r w:rsidRPr="00BF0050">
              <w:t>99,</w:t>
            </w:r>
            <w:r w:rsidR="00EE3BDD" w:rsidRPr="00BF0050">
              <w:t>8</w:t>
            </w:r>
          </w:p>
        </w:tc>
        <w:tc>
          <w:tcPr>
            <w:tcW w:w="729" w:type="pct"/>
            <w:tcBorders>
              <w:top w:val="dotted" w:sz="4" w:space="0" w:color="auto"/>
              <w:left w:val="dotted" w:sz="4" w:space="0" w:color="auto"/>
              <w:bottom w:val="dotted" w:sz="4" w:space="0" w:color="auto"/>
              <w:right w:val="dotted" w:sz="4" w:space="0" w:color="auto"/>
            </w:tcBorders>
            <w:vAlign w:val="center"/>
          </w:tcPr>
          <w:p w:rsidR="00250D8E" w:rsidRPr="00BF0050" w:rsidRDefault="00250D8E" w:rsidP="00EE3BDD">
            <w:pPr>
              <w:spacing w:before="20" w:after="20" w:line="240" w:lineRule="auto"/>
              <w:ind w:firstLine="10"/>
              <w:jc w:val="center"/>
            </w:pPr>
            <w:r w:rsidRPr="00BF0050">
              <w:t>10</w:t>
            </w:r>
            <w:r w:rsidR="00EE3BDD" w:rsidRPr="00BF0050">
              <w:t>0</w:t>
            </w:r>
            <w:r w:rsidRPr="00BF0050">
              <w:t>,</w:t>
            </w:r>
            <w:r w:rsidR="00EE3BDD" w:rsidRPr="00BF0050">
              <w:t>8</w:t>
            </w:r>
          </w:p>
        </w:tc>
        <w:tc>
          <w:tcPr>
            <w:tcW w:w="719" w:type="pct"/>
            <w:tcBorders>
              <w:top w:val="dotted" w:sz="4" w:space="0" w:color="auto"/>
              <w:left w:val="dotted" w:sz="4" w:space="0" w:color="auto"/>
              <w:bottom w:val="dotted" w:sz="4" w:space="0" w:color="auto"/>
              <w:right w:val="dotted" w:sz="4" w:space="0" w:color="auto"/>
            </w:tcBorders>
            <w:vAlign w:val="center"/>
          </w:tcPr>
          <w:p w:rsidR="00250D8E" w:rsidRPr="00BF0050" w:rsidRDefault="00EE3BDD" w:rsidP="00EE3BDD">
            <w:pPr>
              <w:spacing w:before="20" w:after="20" w:line="240" w:lineRule="auto"/>
              <w:ind w:firstLine="10"/>
              <w:jc w:val="center"/>
            </w:pPr>
            <w:r w:rsidRPr="00BF0050">
              <w:t>101</w:t>
            </w:r>
            <w:r w:rsidR="00250D8E" w:rsidRPr="00BF0050">
              <w:t>,</w:t>
            </w:r>
            <w:r w:rsidRPr="00BF0050">
              <w:t>8</w:t>
            </w:r>
          </w:p>
        </w:tc>
        <w:tc>
          <w:tcPr>
            <w:tcW w:w="736" w:type="pct"/>
            <w:tcBorders>
              <w:top w:val="dotted" w:sz="4" w:space="0" w:color="auto"/>
              <w:left w:val="dotted" w:sz="4" w:space="0" w:color="auto"/>
              <w:bottom w:val="dotted" w:sz="4" w:space="0" w:color="auto"/>
            </w:tcBorders>
            <w:vAlign w:val="center"/>
          </w:tcPr>
          <w:p w:rsidR="00250D8E" w:rsidRPr="00BF0050" w:rsidRDefault="00250D8E" w:rsidP="00EE3BDD">
            <w:pPr>
              <w:spacing w:before="20" w:after="20" w:line="240" w:lineRule="auto"/>
              <w:ind w:firstLine="10"/>
              <w:jc w:val="center"/>
            </w:pPr>
            <w:r w:rsidRPr="00BF0050">
              <w:t>102,</w:t>
            </w:r>
            <w:r w:rsidR="00EE3BDD" w:rsidRPr="00BF0050">
              <w:t>2</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консервативный</w:t>
            </w:r>
          </w:p>
        </w:tc>
        <w:tc>
          <w:tcPr>
            <w:tcW w:w="717" w:type="pct"/>
            <w:vMerge/>
          </w:tcPr>
          <w:p w:rsidR="00250D8E" w:rsidRPr="00BF0050" w:rsidRDefault="00250D8E" w:rsidP="00250D8E">
            <w:pPr>
              <w:spacing w:before="20" w:after="20" w:line="240" w:lineRule="auto"/>
              <w:ind w:firstLine="0"/>
              <w:jc w:val="center"/>
              <w:rPr>
                <w:b/>
                <w:bCs/>
                <w:color w:val="FF0000"/>
              </w:rPr>
            </w:pPr>
          </w:p>
        </w:tc>
        <w:tc>
          <w:tcPr>
            <w:tcW w:w="719" w:type="pct"/>
            <w:tcBorders>
              <w:top w:val="dotted" w:sz="4" w:space="0" w:color="auto"/>
              <w:bottom w:val="dotted" w:sz="4" w:space="0" w:color="auto"/>
              <w:right w:val="dotted" w:sz="4" w:space="0" w:color="auto"/>
            </w:tcBorders>
            <w:vAlign w:val="center"/>
          </w:tcPr>
          <w:p w:rsidR="00250D8E" w:rsidRPr="00BF0050" w:rsidRDefault="00250D8E" w:rsidP="00AF0233">
            <w:pPr>
              <w:spacing w:before="20" w:after="20" w:line="240" w:lineRule="auto"/>
              <w:ind w:firstLine="10"/>
              <w:jc w:val="center"/>
            </w:pPr>
            <w:r w:rsidRPr="00BF0050">
              <w:t>97,9</w:t>
            </w:r>
          </w:p>
        </w:tc>
        <w:tc>
          <w:tcPr>
            <w:tcW w:w="729" w:type="pct"/>
            <w:tcBorders>
              <w:top w:val="dotted" w:sz="4" w:space="0" w:color="auto"/>
              <w:left w:val="dotted" w:sz="4" w:space="0" w:color="auto"/>
              <w:bottom w:val="dotted" w:sz="4" w:space="0" w:color="auto"/>
              <w:right w:val="dotted" w:sz="4" w:space="0" w:color="auto"/>
            </w:tcBorders>
            <w:vAlign w:val="center"/>
          </w:tcPr>
          <w:p w:rsidR="00250D8E" w:rsidRPr="00BF0050" w:rsidRDefault="00CA0BE1" w:rsidP="00AF0233">
            <w:pPr>
              <w:spacing w:before="20" w:after="20" w:line="240" w:lineRule="auto"/>
              <w:ind w:firstLine="10"/>
              <w:jc w:val="center"/>
            </w:pPr>
            <w:r w:rsidRPr="00BF0050">
              <w:t>99,6</w:t>
            </w:r>
          </w:p>
        </w:tc>
        <w:tc>
          <w:tcPr>
            <w:tcW w:w="719" w:type="pct"/>
            <w:tcBorders>
              <w:top w:val="dotted" w:sz="4" w:space="0" w:color="auto"/>
              <w:left w:val="dotted" w:sz="4" w:space="0" w:color="auto"/>
              <w:bottom w:val="dotted" w:sz="4" w:space="0" w:color="auto"/>
              <w:right w:val="dotted" w:sz="4" w:space="0" w:color="auto"/>
            </w:tcBorders>
            <w:vAlign w:val="center"/>
          </w:tcPr>
          <w:p w:rsidR="00250D8E" w:rsidRPr="00BF0050" w:rsidRDefault="00CA0BE1" w:rsidP="00AF0233">
            <w:pPr>
              <w:spacing w:before="20" w:after="20" w:line="240" w:lineRule="auto"/>
              <w:ind w:firstLine="10"/>
              <w:jc w:val="center"/>
            </w:pPr>
            <w:r w:rsidRPr="00BF0050">
              <w:t>100,7</w:t>
            </w:r>
          </w:p>
        </w:tc>
        <w:tc>
          <w:tcPr>
            <w:tcW w:w="736" w:type="pct"/>
            <w:tcBorders>
              <w:top w:val="dotted" w:sz="4" w:space="0" w:color="auto"/>
              <w:left w:val="dotted" w:sz="4" w:space="0" w:color="auto"/>
              <w:bottom w:val="dotted" w:sz="4" w:space="0" w:color="auto"/>
            </w:tcBorders>
            <w:vAlign w:val="center"/>
          </w:tcPr>
          <w:p w:rsidR="00250D8E" w:rsidRPr="00BF0050" w:rsidRDefault="00CA0BE1" w:rsidP="00AF0233">
            <w:pPr>
              <w:spacing w:before="20" w:after="20" w:line="240" w:lineRule="auto"/>
              <w:ind w:firstLine="10"/>
              <w:jc w:val="center"/>
            </w:pPr>
            <w:r w:rsidRPr="00BF0050">
              <w:t>101,6</w:t>
            </w:r>
          </w:p>
        </w:tc>
      </w:tr>
      <w:tr w:rsidR="00B65903" w:rsidRPr="00BF0050" w:rsidTr="008A11BF">
        <w:trPr>
          <w:jc w:val="center"/>
        </w:trPr>
        <w:tc>
          <w:tcPr>
            <w:tcW w:w="1380" w:type="pct"/>
            <w:tcBorders>
              <w:top w:val="dotted" w:sz="4" w:space="0" w:color="auto"/>
              <w:bottom w:val="dotted" w:sz="4" w:space="0" w:color="auto"/>
            </w:tcBorders>
            <w:vAlign w:val="center"/>
          </w:tcPr>
          <w:p w:rsidR="00B65903" w:rsidRPr="00BF0050" w:rsidRDefault="00B65903" w:rsidP="006B75D7">
            <w:pPr>
              <w:spacing w:before="20" w:after="20" w:line="240" w:lineRule="auto"/>
              <w:ind w:firstLine="142"/>
              <w:jc w:val="center"/>
              <w:rPr>
                <w:bCs/>
              </w:rPr>
            </w:pPr>
            <w:r w:rsidRPr="00BF0050">
              <w:rPr>
                <w:bCs/>
              </w:rPr>
              <w:t>целевой</w:t>
            </w:r>
          </w:p>
        </w:tc>
        <w:tc>
          <w:tcPr>
            <w:tcW w:w="717" w:type="pct"/>
            <w:vMerge/>
          </w:tcPr>
          <w:p w:rsidR="00B65903" w:rsidRPr="00BF0050" w:rsidRDefault="00B65903" w:rsidP="00250D8E">
            <w:pPr>
              <w:spacing w:before="20" w:after="20" w:line="240" w:lineRule="auto"/>
              <w:ind w:firstLine="0"/>
              <w:jc w:val="center"/>
              <w:rPr>
                <w:b/>
                <w:bCs/>
                <w:color w:val="FF0000"/>
              </w:rPr>
            </w:pPr>
          </w:p>
        </w:tc>
        <w:tc>
          <w:tcPr>
            <w:tcW w:w="719" w:type="pct"/>
            <w:tcBorders>
              <w:top w:val="dotted" w:sz="4" w:space="0" w:color="auto"/>
              <w:bottom w:val="dotted" w:sz="4" w:space="0" w:color="auto"/>
              <w:right w:val="dotted" w:sz="4" w:space="0" w:color="auto"/>
            </w:tcBorders>
            <w:vAlign w:val="center"/>
          </w:tcPr>
          <w:p w:rsidR="00B65903" w:rsidRPr="00BF0050" w:rsidRDefault="00B65903" w:rsidP="00AF0233">
            <w:pPr>
              <w:spacing w:before="20" w:after="20" w:line="240" w:lineRule="auto"/>
              <w:ind w:firstLine="10"/>
              <w:jc w:val="center"/>
            </w:pPr>
            <w:r w:rsidRPr="00BF0050">
              <w:t>99,</w:t>
            </w:r>
            <w:r w:rsidR="00EE3BDD" w:rsidRPr="00BF0050">
              <w:t>8</w:t>
            </w:r>
          </w:p>
        </w:tc>
        <w:tc>
          <w:tcPr>
            <w:tcW w:w="729" w:type="pct"/>
            <w:tcBorders>
              <w:top w:val="dotted" w:sz="4" w:space="0" w:color="auto"/>
              <w:left w:val="dotted" w:sz="4" w:space="0" w:color="auto"/>
              <w:bottom w:val="dotted" w:sz="4" w:space="0" w:color="auto"/>
              <w:right w:val="dotted" w:sz="4" w:space="0" w:color="auto"/>
            </w:tcBorders>
          </w:tcPr>
          <w:p w:rsidR="00B65903" w:rsidRPr="00BF0050" w:rsidRDefault="00EE3BDD" w:rsidP="00EE3BDD">
            <w:pPr>
              <w:spacing w:before="20" w:after="20" w:line="240" w:lineRule="auto"/>
              <w:ind w:firstLine="10"/>
              <w:jc w:val="center"/>
            </w:pPr>
            <w:r w:rsidRPr="00BF0050">
              <w:t>100</w:t>
            </w:r>
            <w:r w:rsidR="00B65903" w:rsidRPr="00BF0050">
              <w:t>,</w:t>
            </w:r>
            <w:r w:rsidRPr="00BF0050">
              <w:t>4</w:t>
            </w:r>
          </w:p>
        </w:tc>
        <w:tc>
          <w:tcPr>
            <w:tcW w:w="719" w:type="pct"/>
            <w:tcBorders>
              <w:top w:val="dotted" w:sz="4" w:space="0" w:color="auto"/>
              <w:left w:val="dotted" w:sz="4" w:space="0" w:color="auto"/>
              <w:bottom w:val="dotted" w:sz="4" w:space="0" w:color="auto"/>
              <w:right w:val="dotted" w:sz="4" w:space="0" w:color="auto"/>
            </w:tcBorders>
          </w:tcPr>
          <w:p w:rsidR="00B65903" w:rsidRPr="00BF0050" w:rsidRDefault="00EE3BDD" w:rsidP="00EE3BDD">
            <w:pPr>
              <w:spacing w:before="20" w:after="20" w:line="240" w:lineRule="auto"/>
              <w:ind w:firstLine="10"/>
              <w:jc w:val="center"/>
            </w:pPr>
            <w:r w:rsidRPr="00BF0050">
              <w:t>102</w:t>
            </w:r>
            <w:r w:rsidR="00B65903" w:rsidRPr="00BF0050">
              <w:t>,</w:t>
            </w:r>
            <w:r w:rsidRPr="00BF0050">
              <w:t>9</w:t>
            </w:r>
          </w:p>
        </w:tc>
        <w:tc>
          <w:tcPr>
            <w:tcW w:w="736" w:type="pct"/>
            <w:tcBorders>
              <w:top w:val="dotted" w:sz="4" w:space="0" w:color="auto"/>
              <w:left w:val="dotted" w:sz="4" w:space="0" w:color="auto"/>
              <w:bottom w:val="dotted" w:sz="4" w:space="0" w:color="auto"/>
            </w:tcBorders>
            <w:vAlign w:val="center"/>
          </w:tcPr>
          <w:p w:rsidR="00B65903" w:rsidRPr="00BF0050" w:rsidRDefault="00B65903" w:rsidP="00AF0233">
            <w:pPr>
              <w:spacing w:before="20" w:after="20" w:line="240" w:lineRule="auto"/>
              <w:ind w:firstLine="10"/>
              <w:jc w:val="center"/>
            </w:pPr>
            <w:r w:rsidRPr="00BF0050">
              <w:t>104,5</w:t>
            </w:r>
          </w:p>
        </w:tc>
      </w:tr>
      <w:tr w:rsidR="006E345F" w:rsidRPr="00BF0050" w:rsidTr="008A11BF">
        <w:trPr>
          <w:jc w:val="center"/>
        </w:trPr>
        <w:tc>
          <w:tcPr>
            <w:tcW w:w="5000" w:type="pct"/>
            <w:gridSpan w:val="6"/>
          </w:tcPr>
          <w:p w:rsidR="006E345F" w:rsidRPr="00BF0050" w:rsidRDefault="006E345F" w:rsidP="00250D8E">
            <w:pPr>
              <w:spacing w:before="20" w:after="20" w:line="240" w:lineRule="auto"/>
              <w:ind w:firstLine="142"/>
              <w:rPr>
                <w:b/>
                <w:bCs/>
                <w:color w:val="FF0000"/>
              </w:rPr>
            </w:pPr>
            <w:r w:rsidRPr="00BF0050">
              <w:rPr>
                <w:b/>
                <w:bCs/>
              </w:rPr>
              <w:t>Инвестиции в основной капитал, %</w:t>
            </w:r>
          </w:p>
        </w:tc>
      </w:tr>
      <w:tr w:rsidR="008D0586" w:rsidRPr="00BF0050" w:rsidTr="0019491B">
        <w:trPr>
          <w:jc w:val="center"/>
        </w:trPr>
        <w:tc>
          <w:tcPr>
            <w:tcW w:w="1380" w:type="pct"/>
            <w:tcBorders>
              <w:top w:val="dotted" w:sz="4" w:space="0" w:color="auto"/>
              <w:bottom w:val="dotted" w:sz="4" w:space="0" w:color="auto"/>
            </w:tcBorders>
            <w:vAlign w:val="center"/>
          </w:tcPr>
          <w:p w:rsidR="008D0586" w:rsidRPr="00BF0050" w:rsidRDefault="008D0586" w:rsidP="006B75D7">
            <w:pPr>
              <w:spacing w:before="20" w:after="20" w:line="240" w:lineRule="auto"/>
              <w:ind w:firstLine="142"/>
              <w:jc w:val="center"/>
              <w:rPr>
                <w:bCs/>
                <w:lang w:val="en-US"/>
              </w:rPr>
            </w:pPr>
            <w:r w:rsidRPr="00BF0050">
              <w:rPr>
                <w:bCs/>
              </w:rPr>
              <w:t>базовый</w:t>
            </w:r>
          </w:p>
        </w:tc>
        <w:tc>
          <w:tcPr>
            <w:tcW w:w="717" w:type="pct"/>
            <w:vMerge w:val="restart"/>
            <w:vAlign w:val="center"/>
          </w:tcPr>
          <w:p w:rsidR="008D0586" w:rsidRPr="00BF0050" w:rsidRDefault="008D0586" w:rsidP="00250D8E">
            <w:pPr>
              <w:spacing w:before="20" w:after="20" w:line="240" w:lineRule="auto"/>
              <w:ind w:firstLine="0"/>
              <w:jc w:val="center"/>
              <w:rPr>
                <w:b/>
                <w:bCs/>
                <w:color w:val="FF0000"/>
              </w:rPr>
            </w:pPr>
            <w:r w:rsidRPr="00BF0050">
              <w:t>91,6</w:t>
            </w:r>
          </w:p>
        </w:tc>
        <w:tc>
          <w:tcPr>
            <w:tcW w:w="719" w:type="pct"/>
            <w:tcBorders>
              <w:top w:val="dotted" w:sz="4" w:space="0" w:color="auto"/>
              <w:bottom w:val="dotted"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96,9</w:t>
            </w:r>
          </w:p>
        </w:tc>
        <w:tc>
          <w:tcPr>
            <w:tcW w:w="729" w:type="pct"/>
            <w:tcBorders>
              <w:top w:val="dotted" w:sz="4" w:space="0" w:color="auto"/>
              <w:left w:val="dotted" w:sz="4" w:space="0" w:color="auto"/>
              <w:bottom w:val="dotted"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100,8</w:t>
            </w:r>
          </w:p>
        </w:tc>
        <w:tc>
          <w:tcPr>
            <w:tcW w:w="719" w:type="pct"/>
            <w:tcBorders>
              <w:top w:val="dotted" w:sz="4" w:space="0" w:color="auto"/>
              <w:left w:val="dotted" w:sz="4" w:space="0" w:color="auto"/>
              <w:bottom w:val="dotted"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103,0</w:t>
            </w:r>
          </w:p>
        </w:tc>
        <w:tc>
          <w:tcPr>
            <w:tcW w:w="736" w:type="pct"/>
            <w:tcBorders>
              <w:top w:val="dotted" w:sz="4" w:space="0" w:color="auto"/>
              <w:left w:val="dotted" w:sz="4" w:space="0" w:color="auto"/>
              <w:bottom w:val="dotted" w:sz="4" w:space="0" w:color="auto"/>
            </w:tcBorders>
            <w:vAlign w:val="center"/>
          </w:tcPr>
          <w:p w:rsidR="008D0586" w:rsidRPr="00BF0050" w:rsidRDefault="008D0586" w:rsidP="00AF0233">
            <w:pPr>
              <w:spacing w:before="20" w:after="20" w:line="240" w:lineRule="auto"/>
              <w:ind w:firstLine="10"/>
              <w:jc w:val="center"/>
            </w:pPr>
            <w:r w:rsidRPr="00BF0050">
              <w:t>104,2</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консервативный</w:t>
            </w:r>
          </w:p>
        </w:tc>
        <w:tc>
          <w:tcPr>
            <w:tcW w:w="717" w:type="pct"/>
            <w:vMerge/>
            <w:vAlign w:val="center"/>
          </w:tcPr>
          <w:p w:rsidR="00250D8E" w:rsidRPr="00BF0050" w:rsidRDefault="00250D8E" w:rsidP="00250D8E">
            <w:pPr>
              <w:spacing w:before="20" w:after="20" w:line="240" w:lineRule="auto"/>
              <w:ind w:firstLine="0"/>
              <w:jc w:val="center"/>
            </w:pPr>
          </w:p>
        </w:tc>
        <w:tc>
          <w:tcPr>
            <w:tcW w:w="719" w:type="pct"/>
            <w:tcBorders>
              <w:top w:val="dotted" w:sz="4" w:space="0" w:color="auto"/>
              <w:bottom w:val="dotted" w:sz="4" w:space="0" w:color="auto"/>
              <w:right w:val="dotted" w:sz="4" w:space="0" w:color="auto"/>
            </w:tcBorders>
            <w:vAlign w:val="bottom"/>
          </w:tcPr>
          <w:p w:rsidR="00250D8E" w:rsidRPr="00BF0050" w:rsidRDefault="00250D8E" w:rsidP="00AF0233">
            <w:pPr>
              <w:spacing w:before="20" w:after="20" w:line="240" w:lineRule="auto"/>
              <w:ind w:firstLine="10"/>
              <w:jc w:val="center"/>
            </w:pPr>
            <w:r w:rsidRPr="00BF0050">
              <w:t>90,6</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8D0586" w:rsidP="00AF0233">
            <w:pPr>
              <w:spacing w:before="20" w:after="20" w:line="240" w:lineRule="auto"/>
              <w:ind w:firstLine="10"/>
              <w:jc w:val="center"/>
            </w:pPr>
            <w:r w:rsidRPr="00BF0050">
              <w:t>98,3</w:t>
            </w:r>
          </w:p>
        </w:tc>
        <w:tc>
          <w:tcPr>
            <w:tcW w:w="719" w:type="pct"/>
            <w:tcBorders>
              <w:top w:val="dotted" w:sz="4" w:space="0" w:color="auto"/>
              <w:left w:val="dotted" w:sz="4" w:space="0" w:color="auto"/>
              <w:bottom w:val="dotted" w:sz="4" w:space="0" w:color="auto"/>
              <w:right w:val="dotted" w:sz="4" w:space="0" w:color="auto"/>
            </w:tcBorders>
            <w:vAlign w:val="bottom"/>
          </w:tcPr>
          <w:p w:rsidR="00250D8E" w:rsidRPr="00BF0050" w:rsidRDefault="00250D8E" w:rsidP="00D7626A">
            <w:pPr>
              <w:spacing w:before="20" w:after="20" w:line="240" w:lineRule="auto"/>
              <w:ind w:firstLine="10"/>
              <w:jc w:val="center"/>
            </w:pPr>
            <w:r w:rsidRPr="00BF0050">
              <w:t>10</w:t>
            </w:r>
            <w:r w:rsidR="008D0586" w:rsidRPr="00BF0050">
              <w:t>0</w:t>
            </w:r>
            <w:r w:rsidRPr="00BF0050">
              <w:t>,6</w:t>
            </w:r>
          </w:p>
        </w:tc>
        <w:tc>
          <w:tcPr>
            <w:tcW w:w="736" w:type="pct"/>
            <w:tcBorders>
              <w:top w:val="dotted" w:sz="4" w:space="0" w:color="auto"/>
              <w:left w:val="dotted" w:sz="4" w:space="0" w:color="auto"/>
              <w:bottom w:val="dotted" w:sz="4" w:space="0" w:color="auto"/>
            </w:tcBorders>
            <w:vAlign w:val="bottom"/>
          </w:tcPr>
          <w:p w:rsidR="00250D8E" w:rsidRPr="00BF0050" w:rsidRDefault="00250D8E" w:rsidP="00EE3BDD">
            <w:pPr>
              <w:spacing w:before="20" w:after="20" w:line="240" w:lineRule="auto"/>
              <w:ind w:firstLine="10"/>
              <w:jc w:val="center"/>
            </w:pPr>
            <w:r w:rsidRPr="00BF0050">
              <w:t>102</w:t>
            </w:r>
            <w:r w:rsidR="008D0586" w:rsidRPr="00BF0050">
              <w:t>,7</w:t>
            </w:r>
          </w:p>
        </w:tc>
      </w:tr>
      <w:tr w:rsidR="008D0586" w:rsidRPr="00BF0050" w:rsidTr="0019491B">
        <w:trPr>
          <w:jc w:val="center"/>
        </w:trPr>
        <w:tc>
          <w:tcPr>
            <w:tcW w:w="1380" w:type="pct"/>
            <w:tcBorders>
              <w:top w:val="dotted" w:sz="4" w:space="0" w:color="auto"/>
              <w:bottom w:val="dotted" w:sz="4" w:space="0" w:color="auto"/>
            </w:tcBorders>
            <w:vAlign w:val="center"/>
          </w:tcPr>
          <w:p w:rsidR="008D0586" w:rsidRPr="00BF0050" w:rsidRDefault="008D0586" w:rsidP="006B75D7">
            <w:pPr>
              <w:spacing w:before="20" w:after="20" w:line="240" w:lineRule="auto"/>
              <w:ind w:firstLine="142"/>
              <w:jc w:val="center"/>
              <w:rPr>
                <w:bCs/>
              </w:rPr>
            </w:pPr>
            <w:r w:rsidRPr="00BF0050">
              <w:rPr>
                <w:bCs/>
              </w:rPr>
              <w:t>целевой</w:t>
            </w:r>
          </w:p>
        </w:tc>
        <w:tc>
          <w:tcPr>
            <w:tcW w:w="717" w:type="pct"/>
            <w:vMerge/>
          </w:tcPr>
          <w:p w:rsidR="008D0586" w:rsidRPr="00BF0050" w:rsidRDefault="008D0586" w:rsidP="00250D8E">
            <w:pPr>
              <w:spacing w:before="20" w:after="20" w:line="240" w:lineRule="auto"/>
              <w:ind w:firstLine="0"/>
              <w:jc w:val="center"/>
              <w:rPr>
                <w:b/>
                <w:bCs/>
                <w:color w:val="FF0000"/>
              </w:rPr>
            </w:pPr>
          </w:p>
        </w:tc>
        <w:tc>
          <w:tcPr>
            <w:tcW w:w="719" w:type="pct"/>
            <w:tcBorders>
              <w:top w:val="dotted" w:sz="4" w:space="0" w:color="auto"/>
              <w:bottom w:val="dotted"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96,9</w:t>
            </w:r>
          </w:p>
        </w:tc>
        <w:tc>
          <w:tcPr>
            <w:tcW w:w="729" w:type="pct"/>
            <w:tcBorders>
              <w:top w:val="dotted" w:sz="4" w:space="0" w:color="auto"/>
              <w:left w:val="dotted" w:sz="4" w:space="0" w:color="auto"/>
              <w:bottom w:val="dotted" w:sz="4" w:space="0" w:color="auto"/>
              <w:right w:val="dotted" w:sz="4" w:space="0" w:color="auto"/>
            </w:tcBorders>
            <w:vAlign w:val="center"/>
          </w:tcPr>
          <w:p w:rsidR="008D0586" w:rsidRPr="00BF0050" w:rsidRDefault="008D0586" w:rsidP="009251A6">
            <w:pPr>
              <w:spacing w:before="20" w:after="20" w:line="240" w:lineRule="auto"/>
              <w:ind w:firstLine="10"/>
              <w:jc w:val="center"/>
            </w:pPr>
            <w:r w:rsidRPr="00BF0050">
              <w:t>103,8</w:t>
            </w:r>
          </w:p>
        </w:tc>
        <w:tc>
          <w:tcPr>
            <w:tcW w:w="719" w:type="pct"/>
            <w:tcBorders>
              <w:top w:val="dotted" w:sz="4" w:space="0" w:color="auto"/>
              <w:left w:val="dotted" w:sz="4" w:space="0" w:color="auto"/>
              <w:bottom w:val="dotted" w:sz="4" w:space="0" w:color="auto"/>
              <w:right w:val="dotted" w:sz="4" w:space="0" w:color="auto"/>
            </w:tcBorders>
            <w:vAlign w:val="center"/>
          </w:tcPr>
          <w:p w:rsidR="008D0586" w:rsidRPr="00BF0050" w:rsidRDefault="008D0586" w:rsidP="00AF0233">
            <w:pPr>
              <w:spacing w:before="20" w:after="20" w:line="240" w:lineRule="auto"/>
              <w:ind w:firstLine="10"/>
              <w:jc w:val="center"/>
            </w:pPr>
            <w:r w:rsidRPr="00BF0050">
              <w:t>105,3</w:t>
            </w:r>
          </w:p>
        </w:tc>
        <w:tc>
          <w:tcPr>
            <w:tcW w:w="736" w:type="pct"/>
            <w:tcBorders>
              <w:top w:val="dotted" w:sz="4" w:space="0" w:color="auto"/>
              <w:left w:val="dotted" w:sz="4" w:space="0" w:color="auto"/>
              <w:bottom w:val="dotted" w:sz="4" w:space="0" w:color="auto"/>
            </w:tcBorders>
            <w:vAlign w:val="center"/>
          </w:tcPr>
          <w:p w:rsidR="008D0586" w:rsidRPr="00BF0050" w:rsidRDefault="008D0586" w:rsidP="00AF0233">
            <w:pPr>
              <w:spacing w:before="20" w:after="20" w:line="240" w:lineRule="auto"/>
              <w:ind w:firstLine="10"/>
              <w:jc w:val="center"/>
            </w:pPr>
            <w:r w:rsidRPr="00BF0050">
              <w:t>107,1</w:t>
            </w:r>
          </w:p>
        </w:tc>
      </w:tr>
      <w:tr w:rsidR="006E345F" w:rsidRPr="00BF0050" w:rsidTr="008A11BF">
        <w:trPr>
          <w:jc w:val="center"/>
        </w:trPr>
        <w:tc>
          <w:tcPr>
            <w:tcW w:w="5000" w:type="pct"/>
            <w:gridSpan w:val="6"/>
            <w:tcBorders>
              <w:top w:val="single" w:sz="4" w:space="0" w:color="auto"/>
              <w:bottom w:val="single" w:sz="4" w:space="0" w:color="auto"/>
            </w:tcBorders>
            <w:vAlign w:val="center"/>
          </w:tcPr>
          <w:p w:rsidR="006E345F" w:rsidRPr="00BF0050" w:rsidRDefault="006E345F" w:rsidP="00250D8E">
            <w:pPr>
              <w:spacing w:before="20" w:after="20" w:line="240" w:lineRule="auto"/>
              <w:ind w:firstLine="142"/>
            </w:pPr>
            <w:r w:rsidRPr="00BF0050">
              <w:rPr>
                <w:b/>
                <w:bCs/>
              </w:rPr>
              <w:t>Промышленность, %</w:t>
            </w:r>
          </w:p>
        </w:tc>
      </w:tr>
      <w:tr w:rsidR="00250D8E" w:rsidRPr="00BF0050" w:rsidTr="008A11BF">
        <w:trPr>
          <w:jc w:val="center"/>
        </w:trPr>
        <w:tc>
          <w:tcPr>
            <w:tcW w:w="1380" w:type="pct"/>
            <w:tcBorders>
              <w:top w:val="single" w:sz="4" w:space="0" w:color="auto"/>
              <w:bottom w:val="dotted" w:sz="4" w:space="0" w:color="auto"/>
            </w:tcBorders>
            <w:vAlign w:val="center"/>
          </w:tcPr>
          <w:p w:rsidR="00250D8E" w:rsidRPr="00BF0050" w:rsidRDefault="00250D8E" w:rsidP="006B75D7">
            <w:pPr>
              <w:spacing w:before="20" w:after="20" w:line="240" w:lineRule="auto"/>
              <w:ind w:firstLine="142"/>
              <w:jc w:val="center"/>
              <w:rPr>
                <w:bCs/>
                <w:lang w:val="en-US"/>
              </w:rPr>
            </w:pPr>
            <w:r w:rsidRPr="00BF0050">
              <w:rPr>
                <w:bCs/>
              </w:rPr>
              <w:t>базовый</w:t>
            </w:r>
          </w:p>
        </w:tc>
        <w:tc>
          <w:tcPr>
            <w:tcW w:w="717" w:type="pct"/>
            <w:vMerge w:val="restart"/>
            <w:tcBorders>
              <w:top w:val="single" w:sz="4" w:space="0" w:color="auto"/>
            </w:tcBorders>
            <w:vAlign w:val="center"/>
          </w:tcPr>
          <w:p w:rsidR="00250D8E" w:rsidRPr="00BF0050" w:rsidRDefault="00250D8E" w:rsidP="00250D8E">
            <w:pPr>
              <w:spacing w:before="20" w:after="20" w:line="240" w:lineRule="auto"/>
              <w:ind w:firstLine="0"/>
              <w:jc w:val="center"/>
              <w:rPr>
                <w:b/>
                <w:bCs/>
                <w:color w:val="FF0000"/>
              </w:rPr>
            </w:pPr>
            <w:r w:rsidRPr="00BF0050">
              <w:t>96,6</w:t>
            </w:r>
          </w:p>
        </w:tc>
        <w:tc>
          <w:tcPr>
            <w:tcW w:w="719" w:type="pct"/>
            <w:tcBorders>
              <w:top w:val="single" w:sz="4" w:space="0" w:color="auto"/>
              <w:bottom w:val="dotted" w:sz="4" w:space="0" w:color="auto"/>
              <w:right w:val="dotted" w:sz="4" w:space="0" w:color="auto"/>
            </w:tcBorders>
            <w:vAlign w:val="bottom"/>
          </w:tcPr>
          <w:p w:rsidR="00250D8E" w:rsidRPr="00BF0050" w:rsidRDefault="002A4882" w:rsidP="00AF0233">
            <w:pPr>
              <w:spacing w:before="20" w:after="20" w:line="240" w:lineRule="auto"/>
              <w:ind w:firstLine="10"/>
              <w:jc w:val="center"/>
            </w:pPr>
            <w:r w:rsidRPr="00BF0050">
              <w:t>100,0</w:t>
            </w:r>
          </w:p>
        </w:tc>
        <w:tc>
          <w:tcPr>
            <w:tcW w:w="729" w:type="pct"/>
            <w:tcBorders>
              <w:top w:val="single" w:sz="4" w:space="0" w:color="auto"/>
              <w:left w:val="dotted" w:sz="4" w:space="0" w:color="auto"/>
              <w:bottom w:val="dotted" w:sz="4" w:space="0" w:color="auto"/>
              <w:right w:val="dotted" w:sz="4" w:space="0" w:color="auto"/>
            </w:tcBorders>
            <w:vAlign w:val="bottom"/>
          </w:tcPr>
          <w:p w:rsidR="00250D8E" w:rsidRPr="00BF0050" w:rsidRDefault="00250D8E" w:rsidP="00D7626A">
            <w:pPr>
              <w:spacing w:before="20" w:after="20" w:line="240" w:lineRule="auto"/>
              <w:ind w:firstLine="10"/>
              <w:jc w:val="center"/>
            </w:pPr>
            <w:r w:rsidRPr="00BF0050">
              <w:t>101,</w:t>
            </w:r>
            <w:r w:rsidR="002A4882" w:rsidRPr="00BF0050">
              <w:t>1</w:t>
            </w:r>
          </w:p>
        </w:tc>
        <w:tc>
          <w:tcPr>
            <w:tcW w:w="719" w:type="pct"/>
            <w:tcBorders>
              <w:top w:val="single" w:sz="4" w:space="0" w:color="auto"/>
              <w:left w:val="dotted" w:sz="4" w:space="0" w:color="auto"/>
              <w:bottom w:val="dotted" w:sz="4" w:space="0" w:color="auto"/>
              <w:right w:val="dotted" w:sz="4" w:space="0" w:color="auto"/>
            </w:tcBorders>
          </w:tcPr>
          <w:p w:rsidR="00250D8E" w:rsidRPr="00BF0050" w:rsidRDefault="00250D8E" w:rsidP="00EE3BDD">
            <w:pPr>
              <w:spacing w:before="20" w:after="20" w:line="240" w:lineRule="auto"/>
              <w:ind w:firstLine="10"/>
              <w:jc w:val="center"/>
            </w:pPr>
            <w:r w:rsidRPr="00BF0050">
              <w:t>101,</w:t>
            </w:r>
            <w:r w:rsidR="002A4882" w:rsidRPr="00BF0050">
              <w:t>7</w:t>
            </w:r>
          </w:p>
        </w:tc>
        <w:tc>
          <w:tcPr>
            <w:tcW w:w="736" w:type="pct"/>
            <w:tcBorders>
              <w:top w:val="single" w:sz="4" w:space="0" w:color="auto"/>
              <w:left w:val="dotted" w:sz="4" w:space="0" w:color="auto"/>
              <w:bottom w:val="dotted" w:sz="4" w:space="0" w:color="auto"/>
            </w:tcBorders>
          </w:tcPr>
          <w:p w:rsidR="00250D8E" w:rsidRPr="00BF0050" w:rsidRDefault="00250D8E" w:rsidP="00EE3BDD">
            <w:pPr>
              <w:spacing w:before="20" w:after="20" w:line="240" w:lineRule="auto"/>
              <w:ind w:firstLine="10"/>
              <w:jc w:val="center"/>
            </w:pPr>
            <w:r w:rsidRPr="00BF0050">
              <w:t>102,</w:t>
            </w:r>
            <w:r w:rsidR="002A4882" w:rsidRPr="00BF0050">
              <w:t>1</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консервативный</w:t>
            </w:r>
          </w:p>
        </w:tc>
        <w:tc>
          <w:tcPr>
            <w:tcW w:w="717" w:type="pct"/>
            <w:vMerge/>
          </w:tcPr>
          <w:p w:rsidR="00250D8E" w:rsidRPr="00BF0050" w:rsidRDefault="00250D8E" w:rsidP="00AF0233">
            <w:pPr>
              <w:spacing w:before="20" w:after="20" w:line="240" w:lineRule="auto"/>
              <w:jc w:val="center"/>
              <w:rPr>
                <w:b/>
                <w:bCs/>
                <w:color w:val="FF0000"/>
              </w:rPr>
            </w:pPr>
          </w:p>
        </w:tc>
        <w:tc>
          <w:tcPr>
            <w:tcW w:w="719" w:type="pct"/>
            <w:tcBorders>
              <w:top w:val="dotted" w:sz="4" w:space="0" w:color="auto"/>
              <w:bottom w:val="dotted" w:sz="4" w:space="0" w:color="auto"/>
              <w:right w:val="dotted" w:sz="4" w:space="0" w:color="auto"/>
            </w:tcBorders>
            <w:vAlign w:val="bottom"/>
          </w:tcPr>
          <w:p w:rsidR="00250D8E" w:rsidRPr="00BF0050" w:rsidRDefault="00250D8E" w:rsidP="00AF0233">
            <w:pPr>
              <w:spacing w:before="20" w:after="20" w:line="240" w:lineRule="auto"/>
              <w:ind w:firstLine="10"/>
              <w:jc w:val="center"/>
            </w:pPr>
            <w:r w:rsidRPr="00BF0050">
              <w:t>98,4</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250D8E" w:rsidP="00D7626A">
            <w:pPr>
              <w:spacing w:before="20" w:after="20" w:line="240" w:lineRule="auto"/>
              <w:ind w:firstLine="10"/>
              <w:jc w:val="center"/>
            </w:pPr>
            <w:r w:rsidRPr="00BF0050">
              <w:t>100,</w:t>
            </w:r>
            <w:r w:rsidR="002A4882" w:rsidRPr="00BF0050">
              <w:t>1</w:t>
            </w:r>
          </w:p>
        </w:tc>
        <w:tc>
          <w:tcPr>
            <w:tcW w:w="719" w:type="pct"/>
            <w:tcBorders>
              <w:top w:val="dotted" w:sz="4" w:space="0" w:color="auto"/>
              <w:left w:val="dotted" w:sz="4" w:space="0" w:color="auto"/>
              <w:bottom w:val="dotted" w:sz="4" w:space="0" w:color="auto"/>
              <w:right w:val="dotted" w:sz="4" w:space="0" w:color="auto"/>
            </w:tcBorders>
          </w:tcPr>
          <w:p w:rsidR="00250D8E" w:rsidRPr="00BF0050" w:rsidRDefault="00250D8E" w:rsidP="00EE3BDD">
            <w:pPr>
              <w:spacing w:before="20" w:after="20" w:line="240" w:lineRule="auto"/>
              <w:ind w:firstLine="10"/>
              <w:jc w:val="center"/>
            </w:pPr>
            <w:r w:rsidRPr="00BF0050">
              <w:t>10</w:t>
            </w:r>
            <w:r w:rsidR="002A4882" w:rsidRPr="00BF0050">
              <w:t>0</w:t>
            </w:r>
            <w:r w:rsidRPr="00BF0050">
              <w:t>,</w:t>
            </w:r>
            <w:r w:rsidR="002A4882" w:rsidRPr="00BF0050">
              <w:t>7</w:t>
            </w:r>
          </w:p>
        </w:tc>
        <w:tc>
          <w:tcPr>
            <w:tcW w:w="736" w:type="pct"/>
            <w:tcBorders>
              <w:top w:val="dotted" w:sz="4" w:space="0" w:color="auto"/>
              <w:left w:val="dotted" w:sz="4" w:space="0" w:color="auto"/>
              <w:bottom w:val="dotted" w:sz="4" w:space="0" w:color="auto"/>
            </w:tcBorders>
          </w:tcPr>
          <w:p w:rsidR="00250D8E" w:rsidRPr="00BF0050" w:rsidRDefault="00250D8E" w:rsidP="00EE3BDD">
            <w:pPr>
              <w:spacing w:before="20" w:after="20" w:line="240" w:lineRule="auto"/>
              <w:ind w:firstLine="10"/>
              <w:jc w:val="center"/>
            </w:pPr>
            <w:r w:rsidRPr="00BF0050">
              <w:t>101,</w:t>
            </w:r>
            <w:r w:rsidR="002A4882" w:rsidRPr="00BF0050">
              <w:t>3</w:t>
            </w:r>
          </w:p>
        </w:tc>
      </w:tr>
      <w:tr w:rsidR="00250D8E" w:rsidRPr="00BF0050" w:rsidTr="008A11BF">
        <w:trPr>
          <w:jc w:val="center"/>
        </w:trPr>
        <w:tc>
          <w:tcPr>
            <w:tcW w:w="1380" w:type="pct"/>
            <w:tcBorders>
              <w:top w:val="dotted" w:sz="4" w:space="0" w:color="auto"/>
              <w:bottom w:val="single"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целевой</w:t>
            </w:r>
          </w:p>
        </w:tc>
        <w:tc>
          <w:tcPr>
            <w:tcW w:w="717" w:type="pct"/>
            <w:vMerge/>
            <w:tcBorders>
              <w:bottom w:val="single" w:sz="4" w:space="0" w:color="auto"/>
            </w:tcBorders>
          </w:tcPr>
          <w:p w:rsidR="00250D8E" w:rsidRPr="00BF0050" w:rsidRDefault="00250D8E" w:rsidP="00AF0233">
            <w:pPr>
              <w:spacing w:before="20" w:after="20" w:line="240" w:lineRule="auto"/>
              <w:jc w:val="center"/>
              <w:rPr>
                <w:b/>
                <w:bCs/>
                <w:color w:val="FF0000"/>
              </w:rPr>
            </w:pPr>
          </w:p>
        </w:tc>
        <w:tc>
          <w:tcPr>
            <w:tcW w:w="719" w:type="pct"/>
            <w:tcBorders>
              <w:top w:val="dotted" w:sz="4" w:space="0" w:color="auto"/>
              <w:bottom w:val="single" w:sz="4" w:space="0" w:color="auto"/>
              <w:right w:val="dotted" w:sz="4" w:space="0" w:color="auto"/>
            </w:tcBorders>
            <w:vAlign w:val="bottom"/>
          </w:tcPr>
          <w:p w:rsidR="00250D8E" w:rsidRPr="00BF0050" w:rsidRDefault="002A4882" w:rsidP="00AF0233">
            <w:pPr>
              <w:spacing w:before="20" w:after="20" w:line="240" w:lineRule="auto"/>
              <w:ind w:firstLine="10"/>
              <w:jc w:val="center"/>
            </w:pPr>
            <w:r w:rsidRPr="00BF0050">
              <w:t>100,0</w:t>
            </w:r>
          </w:p>
        </w:tc>
        <w:tc>
          <w:tcPr>
            <w:tcW w:w="729" w:type="pct"/>
            <w:tcBorders>
              <w:top w:val="dotted" w:sz="4" w:space="0" w:color="auto"/>
              <w:left w:val="dotted" w:sz="4" w:space="0" w:color="auto"/>
              <w:bottom w:val="single" w:sz="4" w:space="0" w:color="auto"/>
              <w:right w:val="dotted" w:sz="4" w:space="0" w:color="auto"/>
            </w:tcBorders>
            <w:vAlign w:val="bottom"/>
          </w:tcPr>
          <w:p w:rsidR="00250D8E" w:rsidRPr="00BF0050" w:rsidRDefault="00B65903" w:rsidP="00160147">
            <w:pPr>
              <w:spacing w:before="20" w:after="20" w:line="240" w:lineRule="auto"/>
              <w:ind w:firstLine="10"/>
              <w:jc w:val="center"/>
            </w:pPr>
            <w:r w:rsidRPr="00BF0050">
              <w:t>101</w:t>
            </w:r>
            <w:r w:rsidR="00250D8E" w:rsidRPr="00BF0050">
              <w:t>,</w:t>
            </w:r>
            <w:r w:rsidR="00160147" w:rsidRPr="00BF0050">
              <w:t>7</w:t>
            </w:r>
          </w:p>
        </w:tc>
        <w:tc>
          <w:tcPr>
            <w:tcW w:w="719" w:type="pct"/>
            <w:tcBorders>
              <w:top w:val="dotted" w:sz="4" w:space="0" w:color="auto"/>
              <w:left w:val="dotted" w:sz="4" w:space="0" w:color="auto"/>
              <w:bottom w:val="single" w:sz="4" w:space="0" w:color="auto"/>
              <w:right w:val="dotted" w:sz="4" w:space="0" w:color="auto"/>
            </w:tcBorders>
          </w:tcPr>
          <w:p w:rsidR="00250D8E" w:rsidRPr="00BF0050" w:rsidRDefault="00250D8E" w:rsidP="00D7626A">
            <w:pPr>
              <w:spacing w:before="20" w:after="20" w:line="240" w:lineRule="auto"/>
              <w:ind w:firstLine="10"/>
              <w:jc w:val="center"/>
            </w:pPr>
            <w:r w:rsidRPr="00BF0050">
              <w:t>102,</w:t>
            </w:r>
            <w:r w:rsidR="002A4882" w:rsidRPr="00BF0050">
              <w:t>6</w:t>
            </w:r>
          </w:p>
        </w:tc>
        <w:tc>
          <w:tcPr>
            <w:tcW w:w="736" w:type="pct"/>
            <w:tcBorders>
              <w:top w:val="dotted" w:sz="4" w:space="0" w:color="auto"/>
              <w:left w:val="dotted" w:sz="4" w:space="0" w:color="auto"/>
              <w:bottom w:val="single" w:sz="4" w:space="0" w:color="auto"/>
            </w:tcBorders>
          </w:tcPr>
          <w:p w:rsidR="00250D8E" w:rsidRPr="00BF0050" w:rsidRDefault="00250D8E" w:rsidP="00EE3BDD">
            <w:pPr>
              <w:spacing w:before="20" w:after="20" w:line="240" w:lineRule="auto"/>
              <w:ind w:firstLine="10"/>
              <w:jc w:val="center"/>
            </w:pPr>
            <w:r w:rsidRPr="00BF0050">
              <w:t>103,</w:t>
            </w:r>
            <w:r w:rsidR="002A4882" w:rsidRPr="00BF0050">
              <w:t>2</w:t>
            </w:r>
          </w:p>
        </w:tc>
      </w:tr>
      <w:tr w:rsidR="00A8555B" w:rsidRPr="00BF0050" w:rsidTr="008A11BF">
        <w:trPr>
          <w:jc w:val="center"/>
        </w:trPr>
        <w:tc>
          <w:tcPr>
            <w:tcW w:w="5000" w:type="pct"/>
            <w:gridSpan w:val="6"/>
            <w:tcBorders>
              <w:top w:val="dotted" w:sz="4" w:space="0" w:color="auto"/>
              <w:bottom w:val="single" w:sz="4" w:space="0" w:color="auto"/>
            </w:tcBorders>
            <w:vAlign w:val="center"/>
          </w:tcPr>
          <w:p w:rsidR="00A8555B" w:rsidRPr="00BF0050" w:rsidRDefault="00A8555B" w:rsidP="00A8555B">
            <w:pPr>
              <w:spacing w:before="20" w:after="20" w:line="240" w:lineRule="auto"/>
              <w:ind w:firstLine="11"/>
              <w:rPr>
                <w:b/>
              </w:rPr>
            </w:pPr>
            <w:r w:rsidRPr="00BF0050">
              <w:rPr>
                <w:b/>
              </w:rPr>
              <w:t>Реальные располагаемые доходы населения, %</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lang w:val="en-US"/>
              </w:rPr>
            </w:pPr>
            <w:r w:rsidRPr="00BF0050">
              <w:rPr>
                <w:bCs/>
              </w:rPr>
              <w:t>базовый</w:t>
            </w:r>
          </w:p>
        </w:tc>
        <w:tc>
          <w:tcPr>
            <w:tcW w:w="717" w:type="pct"/>
            <w:vMerge w:val="restart"/>
            <w:vAlign w:val="center"/>
          </w:tcPr>
          <w:p w:rsidR="00250D8E" w:rsidRPr="00BF0050" w:rsidRDefault="00EE3BDD" w:rsidP="00EE3BDD">
            <w:pPr>
              <w:spacing w:before="20" w:after="20" w:line="240" w:lineRule="auto"/>
              <w:ind w:firstLine="0"/>
              <w:jc w:val="center"/>
              <w:rPr>
                <w:b/>
                <w:bCs/>
                <w:color w:val="FF0000"/>
              </w:rPr>
            </w:pPr>
            <w:r w:rsidRPr="00BF0050">
              <w:t>95</w:t>
            </w:r>
            <w:r w:rsidR="006B75D7" w:rsidRPr="00BF0050">
              <w:t>,</w:t>
            </w:r>
            <w:r w:rsidRPr="00BF0050">
              <w:t>7</w:t>
            </w:r>
          </w:p>
        </w:tc>
        <w:tc>
          <w:tcPr>
            <w:tcW w:w="719" w:type="pct"/>
            <w:tcBorders>
              <w:top w:val="dotted" w:sz="4" w:space="0" w:color="auto"/>
              <w:bottom w:val="dotted" w:sz="4" w:space="0" w:color="auto"/>
              <w:right w:val="dotted" w:sz="4" w:space="0" w:color="auto"/>
            </w:tcBorders>
            <w:vAlign w:val="bottom"/>
          </w:tcPr>
          <w:p w:rsidR="00250D8E" w:rsidRPr="00BF0050" w:rsidRDefault="00EE3BDD" w:rsidP="00EE3BDD">
            <w:pPr>
              <w:spacing w:before="20" w:after="20" w:line="240" w:lineRule="auto"/>
              <w:ind w:firstLine="10"/>
              <w:jc w:val="center"/>
            </w:pPr>
            <w:r w:rsidRPr="00BF0050">
              <w:t>97</w:t>
            </w:r>
            <w:r w:rsidR="00F94BE7" w:rsidRPr="00BF0050">
              <w:t>,</w:t>
            </w:r>
            <w:r w:rsidRPr="00BF0050">
              <w:t>2</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F94BE7" w:rsidP="00EE3BDD">
            <w:pPr>
              <w:spacing w:before="20" w:after="20" w:line="240" w:lineRule="auto"/>
              <w:ind w:firstLine="10"/>
              <w:jc w:val="center"/>
            </w:pPr>
            <w:r w:rsidRPr="00BF0050">
              <w:t>10</w:t>
            </w:r>
            <w:r w:rsidR="00EE3BDD" w:rsidRPr="00BF0050">
              <w:t>0</w:t>
            </w:r>
            <w:r w:rsidRPr="00BF0050">
              <w:t>,</w:t>
            </w:r>
            <w:r w:rsidR="00EE3BDD" w:rsidRPr="00BF0050">
              <w:t>7</w:t>
            </w:r>
          </w:p>
        </w:tc>
        <w:tc>
          <w:tcPr>
            <w:tcW w:w="719" w:type="pct"/>
            <w:tcBorders>
              <w:top w:val="dotted" w:sz="4" w:space="0" w:color="auto"/>
              <w:left w:val="dotted" w:sz="4" w:space="0" w:color="auto"/>
              <w:bottom w:val="dotted" w:sz="4" w:space="0" w:color="auto"/>
              <w:right w:val="dotted" w:sz="4" w:space="0" w:color="auto"/>
            </w:tcBorders>
          </w:tcPr>
          <w:p w:rsidR="00250D8E" w:rsidRPr="00BF0050" w:rsidRDefault="00F94BE7" w:rsidP="00AF0233">
            <w:pPr>
              <w:spacing w:before="20" w:after="20" w:line="240" w:lineRule="auto"/>
              <w:ind w:firstLine="10"/>
              <w:jc w:val="center"/>
            </w:pPr>
            <w:r w:rsidRPr="00BF0050">
              <w:t>101,</w:t>
            </w:r>
            <w:r w:rsidR="00EE3BDD" w:rsidRPr="00BF0050">
              <w:t>0</w:t>
            </w:r>
          </w:p>
        </w:tc>
        <w:tc>
          <w:tcPr>
            <w:tcW w:w="736" w:type="pct"/>
            <w:tcBorders>
              <w:top w:val="dotted" w:sz="4" w:space="0" w:color="auto"/>
              <w:left w:val="dotted" w:sz="4" w:space="0" w:color="auto"/>
              <w:bottom w:val="dotted" w:sz="4" w:space="0" w:color="auto"/>
            </w:tcBorders>
          </w:tcPr>
          <w:p w:rsidR="00250D8E" w:rsidRPr="00BF0050" w:rsidRDefault="00F94BE7" w:rsidP="00EE3BDD">
            <w:pPr>
              <w:spacing w:before="20" w:after="20" w:line="240" w:lineRule="auto"/>
              <w:ind w:firstLine="10"/>
              <w:jc w:val="center"/>
            </w:pPr>
            <w:r w:rsidRPr="00BF0050">
              <w:t>101,</w:t>
            </w:r>
            <w:r w:rsidR="00EE3BDD" w:rsidRPr="00BF0050">
              <w:t>1</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консервативный</w:t>
            </w:r>
          </w:p>
        </w:tc>
        <w:tc>
          <w:tcPr>
            <w:tcW w:w="717" w:type="pct"/>
            <w:vMerge/>
          </w:tcPr>
          <w:p w:rsidR="00250D8E" w:rsidRPr="00BF0050" w:rsidRDefault="00250D8E" w:rsidP="00AF0233">
            <w:pPr>
              <w:spacing w:before="20" w:after="20" w:line="240" w:lineRule="auto"/>
              <w:jc w:val="center"/>
              <w:rPr>
                <w:b/>
                <w:bCs/>
                <w:color w:val="FF0000"/>
              </w:rPr>
            </w:pPr>
          </w:p>
        </w:tc>
        <w:tc>
          <w:tcPr>
            <w:tcW w:w="719" w:type="pct"/>
            <w:tcBorders>
              <w:top w:val="dotted" w:sz="4" w:space="0" w:color="auto"/>
              <w:bottom w:val="dotted" w:sz="4" w:space="0" w:color="auto"/>
              <w:right w:val="dotted" w:sz="4" w:space="0" w:color="auto"/>
            </w:tcBorders>
            <w:vAlign w:val="bottom"/>
          </w:tcPr>
          <w:p w:rsidR="00250D8E" w:rsidRPr="00BF0050" w:rsidRDefault="00F94BE7" w:rsidP="00F00EB9">
            <w:pPr>
              <w:spacing w:before="20" w:after="20" w:line="240" w:lineRule="auto"/>
              <w:ind w:firstLine="10"/>
              <w:jc w:val="center"/>
            </w:pPr>
            <w:r w:rsidRPr="00BF0050">
              <w:t>9</w:t>
            </w:r>
            <w:r w:rsidR="00C7224C" w:rsidRPr="00BF0050">
              <w:t>5,0</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F94BE7" w:rsidP="00AE7961">
            <w:pPr>
              <w:spacing w:before="20" w:after="20" w:line="240" w:lineRule="auto"/>
              <w:ind w:firstLine="10"/>
              <w:jc w:val="center"/>
            </w:pPr>
            <w:r w:rsidRPr="00BF0050">
              <w:t>9</w:t>
            </w:r>
            <w:r w:rsidR="00C7224C" w:rsidRPr="00BF0050">
              <w:t>8</w:t>
            </w:r>
            <w:r w:rsidRPr="00BF0050">
              <w:t>,6</w:t>
            </w:r>
          </w:p>
        </w:tc>
        <w:tc>
          <w:tcPr>
            <w:tcW w:w="719" w:type="pct"/>
            <w:tcBorders>
              <w:top w:val="dotted" w:sz="4" w:space="0" w:color="auto"/>
              <w:left w:val="dotted" w:sz="4" w:space="0" w:color="auto"/>
              <w:bottom w:val="dotted" w:sz="4" w:space="0" w:color="auto"/>
              <w:right w:val="dotted" w:sz="4" w:space="0" w:color="auto"/>
            </w:tcBorders>
          </w:tcPr>
          <w:p w:rsidR="00250D8E" w:rsidRPr="00BF0050" w:rsidRDefault="00C7224C" w:rsidP="00AF0233">
            <w:pPr>
              <w:spacing w:before="20" w:after="20" w:line="240" w:lineRule="auto"/>
              <w:ind w:firstLine="10"/>
              <w:jc w:val="center"/>
            </w:pPr>
            <w:r w:rsidRPr="00BF0050">
              <w:t>99</w:t>
            </w:r>
            <w:r w:rsidR="00F94BE7" w:rsidRPr="00BF0050">
              <w:t>,9</w:t>
            </w:r>
          </w:p>
        </w:tc>
        <w:tc>
          <w:tcPr>
            <w:tcW w:w="736" w:type="pct"/>
            <w:tcBorders>
              <w:top w:val="dotted" w:sz="4" w:space="0" w:color="auto"/>
              <w:left w:val="dotted" w:sz="4" w:space="0" w:color="auto"/>
              <w:bottom w:val="dotted" w:sz="4" w:space="0" w:color="auto"/>
            </w:tcBorders>
          </w:tcPr>
          <w:p w:rsidR="00250D8E" w:rsidRPr="00BF0050" w:rsidRDefault="00F94BE7" w:rsidP="00F00EB9">
            <w:pPr>
              <w:spacing w:before="20" w:after="20" w:line="240" w:lineRule="auto"/>
              <w:ind w:firstLine="10"/>
              <w:jc w:val="center"/>
            </w:pPr>
            <w:r w:rsidRPr="00BF0050">
              <w:t>100,</w:t>
            </w:r>
            <w:r w:rsidR="00C7224C" w:rsidRPr="00BF0050">
              <w:t>4</w:t>
            </w:r>
          </w:p>
        </w:tc>
      </w:tr>
      <w:tr w:rsidR="00250D8E" w:rsidRPr="00BF0050" w:rsidTr="008A11BF">
        <w:trPr>
          <w:jc w:val="center"/>
        </w:trPr>
        <w:tc>
          <w:tcPr>
            <w:tcW w:w="1380" w:type="pct"/>
            <w:tcBorders>
              <w:top w:val="dotted" w:sz="4" w:space="0" w:color="auto"/>
              <w:bottom w:val="single"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целевой</w:t>
            </w:r>
          </w:p>
        </w:tc>
        <w:tc>
          <w:tcPr>
            <w:tcW w:w="717" w:type="pct"/>
            <w:vMerge/>
            <w:tcBorders>
              <w:bottom w:val="single" w:sz="4" w:space="0" w:color="auto"/>
            </w:tcBorders>
          </w:tcPr>
          <w:p w:rsidR="00250D8E" w:rsidRPr="00BF0050" w:rsidRDefault="00250D8E" w:rsidP="00AF0233">
            <w:pPr>
              <w:spacing w:before="20" w:after="20" w:line="240" w:lineRule="auto"/>
              <w:jc w:val="center"/>
              <w:rPr>
                <w:b/>
                <w:bCs/>
                <w:color w:val="FF0000"/>
              </w:rPr>
            </w:pPr>
          </w:p>
        </w:tc>
        <w:tc>
          <w:tcPr>
            <w:tcW w:w="719" w:type="pct"/>
            <w:tcBorders>
              <w:top w:val="dotted" w:sz="4" w:space="0" w:color="auto"/>
              <w:bottom w:val="single" w:sz="4" w:space="0" w:color="auto"/>
              <w:right w:val="dotted" w:sz="4" w:space="0" w:color="auto"/>
            </w:tcBorders>
            <w:vAlign w:val="bottom"/>
          </w:tcPr>
          <w:p w:rsidR="00250D8E" w:rsidRPr="00BF0050" w:rsidRDefault="00EE3BDD" w:rsidP="00EE3BDD">
            <w:pPr>
              <w:spacing w:before="20" w:after="20" w:line="240" w:lineRule="auto"/>
              <w:ind w:firstLine="10"/>
              <w:jc w:val="center"/>
            </w:pPr>
            <w:r w:rsidRPr="00BF0050">
              <w:t>97</w:t>
            </w:r>
            <w:r w:rsidR="00F94BE7" w:rsidRPr="00BF0050">
              <w:t>,</w:t>
            </w:r>
            <w:r w:rsidRPr="00BF0050">
              <w:t>2</w:t>
            </w:r>
          </w:p>
        </w:tc>
        <w:tc>
          <w:tcPr>
            <w:tcW w:w="729" w:type="pct"/>
            <w:tcBorders>
              <w:top w:val="dotted" w:sz="4" w:space="0" w:color="auto"/>
              <w:left w:val="dotted" w:sz="4" w:space="0" w:color="auto"/>
              <w:bottom w:val="single" w:sz="4" w:space="0" w:color="auto"/>
              <w:right w:val="dotted" w:sz="4" w:space="0" w:color="auto"/>
            </w:tcBorders>
            <w:vAlign w:val="bottom"/>
          </w:tcPr>
          <w:p w:rsidR="00250D8E" w:rsidRPr="00BF0050" w:rsidRDefault="00806F00" w:rsidP="00F00EB9">
            <w:pPr>
              <w:spacing w:before="20" w:after="20" w:line="240" w:lineRule="auto"/>
              <w:ind w:firstLine="10"/>
              <w:jc w:val="center"/>
            </w:pPr>
            <w:r w:rsidRPr="00BF0050">
              <w:t>99,</w:t>
            </w:r>
            <w:r w:rsidR="00C7224C" w:rsidRPr="00BF0050">
              <w:t>7</w:t>
            </w:r>
          </w:p>
        </w:tc>
        <w:tc>
          <w:tcPr>
            <w:tcW w:w="719" w:type="pct"/>
            <w:tcBorders>
              <w:top w:val="dotted" w:sz="4" w:space="0" w:color="auto"/>
              <w:left w:val="dotted" w:sz="4" w:space="0" w:color="auto"/>
              <w:bottom w:val="single" w:sz="4" w:space="0" w:color="auto"/>
              <w:right w:val="dotted" w:sz="4" w:space="0" w:color="auto"/>
            </w:tcBorders>
          </w:tcPr>
          <w:p w:rsidR="00250D8E" w:rsidRPr="00BF0050" w:rsidRDefault="00F94BE7" w:rsidP="00AE7961">
            <w:pPr>
              <w:spacing w:before="20" w:after="20" w:line="240" w:lineRule="auto"/>
              <w:ind w:firstLine="10"/>
              <w:jc w:val="center"/>
            </w:pPr>
            <w:r w:rsidRPr="00BF0050">
              <w:t>10</w:t>
            </w:r>
            <w:r w:rsidR="00C7224C" w:rsidRPr="00BF0050">
              <w:t>1</w:t>
            </w:r>
            <w:r w:rsidRPr="00BF0050">
              <w:t>,</w:t>
            </w:r>
            <w:r w:rsidR="00C7224C" w:rsidRPr="00BF0050">
              <w:t>0</w:t>
            </w:r>
          </w:p>
        </w:tc>
        <w:tc>
          <w:tcPr>
            <w:tcW w:w="736" w:type="pct"/>
            <w:tcBorders>
              <w:top w:val="dotted" w:sz="4" w:space="0" w:color="auto"/>
              <w:left w:val="dotted" w:sz="4" w:space="0" w:color="auto"/>
              <w:bottom w:val="single" w:sz="4" w:space="0" w:color="auto"/>
            </w:tcBorders>
          </w:tcPr>
          <w:p w:rsidR="00250D8E" w:rsidRPr="00BF0050" w:rsidRDefault="00F94BE7" w:rsidP="0019491B">
            <w:pPr>
              <w:spacing w:before="20" w:after="20" w:line="240" w:lineRule="auto"/>
              <w:ind w:firstLine="10"/>
              <w:jc w:val="center"/>
            </w:pPr>
            <w:r w:rsidRPr="00BF0050">
              <w:t>102,</w:t>
            </w:r>
            <w:r w:rsidR="00C7224C" w:rsidRPr="00BF0050">
              <w:t>7</w:t>
            </w:r>
          </w:p>
        </w:tc>
      </w:tr>
      <w:tr w:rsidR="00CF126B" w:rsidRPr="00BF0050" w:rsidTr="008A11BF">
        <w:trPr>
          <w:jc w:val="center"/>
        </w:trPr>
        <w:tc>
          <w:tcPr>
            <w:tcW w:w="5000" w:type="pct"/>
            <w:gridSpan w:val="6"/>
            <w:tcBorders>
              <w:top w:val="dotted" w:sz="4" w:space="0" w:color="auto"/>
              <w:bottom w:val="single" w:sz="4" w:space="0" w:color="auto"/>
            </w:tcBorders>
            <w:vAlign w:val="center"/>
          </w:tcPr>
          <w:p w:rsidR="00CF126B" w:rsidRPr="00BF0050" w:rsidRDefault="00250D8E" w:rsidP="00250D8E">
            <w:pPr>
              <w:spacing w:before="20" w:after="20" w:line="240" w:lineRule="auto"/>
              <w:ind w:firstLine="10"/>
            </w:pPr>
            <w:r w:rsidRPr="00BF0050">
              <w:rPr>
                <w:b/>
                <w:bCs/>
              </w:rPr>
              <w:t>Реальная заработная плата, %</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lang w:val="en-US"/>
              </w:rPr>
            </w:pPr>
            <w:r w:rsidRPr="00BF0050">
              <w:rPr>
                <w:bCs/>
              </w:rPr>
              <w:t>базовый</w:t>
            </w:r>
          </w:p>
        </w:tc>
        <w:tc>
          <w:tcPr>
            <w:tcW w:w="717" w:type="pct"/>
            <w:vMerge w:val="restart"/>
            <w:vAlign w:val="center"/>
          </w:tcPr>
          <w:p w:rsidR="00250D8E" w:rsidRPr="00BF0050" w:rsidRDefault="00F94BE7" w:rsidP="00F94BE7">
            <w:pPr>
              <w:spacing w:before="20" w:after="20" w:line="240" w:lineRule="auto"/>
              <w:ind w:hanging="43"/>
              <w:jc w:val="center"/>
              <w:rPr>
                <w:bCs/>
                <w:color w:val="FF0000"/>
              </w:rPr>
            </w:pPr>
            <w:r w:rsidRPr="00BF0050">
              <w:rPr>
                <w:bCs/>
                <w:color w:val="000000" w:themeColor="text1"/>
              </w:rPr>
              <w:t>90,7</w:t>
            </w:r>
          </w:p>
        </w:tc>
        <w:tc>
          <w:tcPr>
            <w:tcW w:w="719" w:type="pct"/>
            <w:tcBorders>
              <w:top w:val="dotted" w:sz="4" w:space="0" w:color="auto"/>
              <w:bottom w:val="dotted" w:sz="4" w:space="0" w:color="auto"/>
              <w:right w:val="dotted" w:sz="4" w:space="0" w:color="auto"/>
            </w:tcBorders>
            <w:vAlign w:val="bottom"/>
          </w:tcPr>
          <w:p w:rsidR="00250D8E" w:rsidRPr="00BF0050" w:rsidRDefault="00EE3BDD" w:rsidP="00EE3BDD">
            <w:pPr>
              <w:spacing w:before="20" w:after="20" w:line="240" w:lineRule="auto"/>
              <w:ind w:firstLine="10"/>
              <w:jc w:val="center"/>
            </w:pPr>
            <w:r w:rsidRPr="00BF0050">
              <w:t>98</w:t>
            </w:r>
            <w:r w:rsidR="00F94BE7" w:rsidRPr="00BF0050">
              <w:t>,</w:t>
            </w:r>
            <w:r w:rsidRPr="00BF0050">
              <w:t>5</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F94BE7" w:rsidP="00EE3BDD">
            <w:pPr>
              <w:spacing w:before="20" w:after="20" w:line="240" w:lineRule="auto"/>
              <w:ind w:firstLine="10"/>
              <w:jc w:val="center"/>
            </w:pPr>
            <w:r w:rsidRPr="00BF0050">
              <w:t>101,</w:t>
            </w:r>
            <w:r w:rsidR="00EE3BDD" w:rsidRPr="00BF0050">
              <w:t>2</w:t>
            </w:r>
          </w:p>
        </w:tc>
        <w:tc>
          <w:tcPr>
            <w:tcW w:w="719" w:type="pct"/>
            <w:tcBorders>
              <w:top w:val="dotted" w:sz="4" w:space="0" w:color="auto"/>
              <w:left w:val="dotted" w:sz="4" w:space="0" w:color="auto"/>
              <w:bottom w:val="dotted" w:sz="4" w:space="0" w:color="auto"/>
              <w:right w:val="dotted" w:sz="4" w:space="0" w:color="auto"/>
            </w:tcBorders>
          </w:tcPr>
          <w:p w:rsidR="00250D8E" w:rsidRPr="00BF0050" w:rsidRDefault="00EE3BDD" w:rsidP="00EE3BDD">
            <w:pPr>
              <w:spacing w:before="20" w:after="20" w:line="240" w:lineRule="auto"/>
              <w:ind w:firstLine="10"/>
              <w:jc w:val="center"/>
            </w:pPr>
            <w:r w:rsidRPr="00BF0050">
              <w:t>101,3</w:t>
            </w:r>
          </w:p>
        </w:tc>
        <w:tc>
          <w:tcPr>
            <w:tcW w:w="736" w:type="pct"/>
            <w:tcBorders>
              <w:top w:val="dotted" w:sz="4" w:space="0" w:color="auto"/>
              <w:left w:val="dotted" w:sz="4" w:space="0" w:color="auto"/>
              <w:bottom w:val="dotted" w:sz="4" w:space="0" w:color="auto"/>
            </w:tcBorders>
          </w:tcPr>
          <w:p w:rsidR="00250D8E" w:rsidRPr="00BF0050" w:rsidRDefault="00EE3BDD" w:rsidP="00AF0233">
            <w:pPr>
              <w:spacing w:before="20" w:after="20" w:line="240" w:lineRule="auto"/>
              <w:ind w:firstLine="10"/>
              <w:jc w:val="center"/>
            </w:pPr>
            <w:r w:rsidRPr="00BF0050">
              <w:t>101,3</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консервативный</w:t>
            </w:r>
          </w:p>
        </w:tc>
        <w:tc>
          <w:tcPr>
            <w:tcW w:w="717" w:type="pct"/>
            <w:vMerge/>
          </w:tcPr>
          <w:p w:rsidR="00250D8E" w:rsidRPr="00BF0050" w:rsidRDefault="00250D8E" w:rsidP="00AF0233">
            <w:pPr>
              <w:spacing w:before="20" w:after="20" w:line="240" w:lineRule="auto"/>
              <w:jc w:val="center"/>
              <w:rPr>
                <w:b/>
                <w:bCs/>
                <w:color w:val="FF0000"/>
              </w:rPr>
            </w:pPr>
          </w:p>
        </w:tc>
        <w:tc>
          <w:tcPr>
            <w:tcW w:w="719" w:type="pct"/>
            <w:tcBorders>
              <w:top w:val="dotted" w:sz="4" w:space="0" w:color="auto"/>
              <w:bottom w:val="dotted" w:sz="4" w:space="0" w:color="auto"/>
              <w:right w:val="dotted" w:sz="4" w:space="0" w:color="auto"/>
            </w:tcBorders>
            <w:vAlign w:val="bottom"/>
          </w:tcPr>
          <w:p w:rsidR="00250D8E" w:rsidRPr="00BF0050" w:rsidRDefault="00571DDB" w:rsidP="00F00EB9">
            <w:pPr>
              <w:spacing w:before="20" w:after="20" w:line="240" w:lineRule="auto"/>
              <w:ind w:firstLine="10"/>
              <w:jc w:val="center"/>
            </w:pPr>
            <w:r w:rsidRPr="00BF0050">
              <w:t>96</w:t>
            </w:r>
            <w:r w:rsidR="00F94BE7" w:rsidRPr="00BF0050">
              <w:t>,</w:t>
            </w:r>
            <w:r w:rsidRPr="00BF0050">
              <w:t>1</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571DDB" w:rsidP="00AF0233">
            <w:pPr>
              <w:spacing w:before="20" w:after="20" w:line="240" w:lineRule="auto"/>
              <w:ind w:firstLine="10"/>
              <w:jc w:val="center"/>
            </w:pPr>
            <w:r w:rsidRPr="00BF0050">
              <w:t>99,0</w:t>
            </w:r>
          </w:p>
        </w:tc>
        <w:tc>
          <w:tcPr>
            <w:tcW w:w="719" w:type="pct"/>
            <w:tcBorders>
              <w:top w:val="dotted" w:sz="4" w:space="0" w:color="auto"/>
              <w:left w:val="dotted" w:sz="4" w:space="0" w:color="auto"/>
              <w:bottom w:val="dotted" w:sz="4" w:space="0" w:color="auto"/>
              <w:right w:val="dotted" w:sz="4" w:space="0" w:color="auto"/>
            </w:tcBorders>
          </w:tcPr>
          <w:p w:rsidR="00250D8E" w:rsidRPr="00BF0050" w:rsidRDefault="00F94BE7" w:rsidP="00AF0233">
            <w:pPr>
              <w:spacing w:before="20" w:after="20" w:line="240" w:lineRule="auto"/>
              <w:ind w:firstLine="10"/>
              <w:jc w:val="center"/>
            </w:pPr>
            <w:r w:rsidRPr="00BF0050">
              <w:t>10</w:t>
            </w:r>
            <w:r w:rsidR="00571DDB" w:rsidRPr="00BF0050">
              <w:t>0,</w:t>
            </w:r>
            <w:r w:rsidRPr="00BF0050">
              <w:t>1</w:t>
            </w:r>
          </w:p>
        </w:tc>
        <w:tc>
          <w:tcPr>
            <w:tcW w:w="736" w:type="pct"/>
            <w:tcBorders>
              <w:top w:val="dotted" w:sz="4" w:space="0" w:color="auto"/>
              <w:left w:val="dotted" w:sz="4" w:space="0" w:color="auto"/>
              <w:bottom w:val="dotted" w:sz="4" w:space="0" w:color="auto"/>
            </w:tcBorders>
          </w:tcPr>
          <w:p w:rsidR="00250D8E" w:rsidRPr="00BF0050" w:rsidRDefault="00F94BE7" w:rsidP="00F00EB9">
            <w:pPr>
              <w:spacing w:before="20" w:after="20" w:line="240" w:lineRule="auto"/>
              <w:ind w:firstLine="10"/>
              <w:jc w:val="center"/>
            </w:pPr>
            <w:r w:rsidRPr="00BF0050">
              <w:t>100</w:t>
            </w:r>
            <w:r w:rsidR="00571DDB" w:rsidRPr="00BF0050">
              <w:t>,5</w:t>
            </w:r>
          </w:p>
        </w:tc>
      </w:tr>
      <w:tr w:rsidR="00250D8E" w:rsidRPr="00BF0050" w:rsidTr="008A11BF">
        <w:trPr>
          <w:jc w:val="center"/>
        </w:trPr>
        <w:tc>
          <w:tcPr>
            <w:tcW w:w="1380" w:type="pct"/>
            <w:tcBorders>
              <w:top w:val="dotted" w:sz="4" w:space="0" w:color="auto"/>
              <w:bottom w:val="single"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целевой</w:t>
            </w:r>
          </w:p>
        </w:tc>
        <w:tc>
          <w:tcPr>
            <w:tcW w:w="717" w:type="pct"/>
            <w:vMerge/>
            <w:tcBorders>
              <w:bottom w:val="single" w:sz="4" w:space="0" w:color="auto"/>
            </w:tcBorders>
          </w:tcPr>
          <w:p w:rsidR="00250D8E" w:rsidRPr="00BF0050" w:rsidRDefault="00250D8E" w:rsidP="00AF0233">
            <w:pPr>
              <w:spacing w:before="20" w:after="20" w:line="240" w:lineRule="auto"/>
              <w:jc w:val="center"/>
              <w:rPr>
                <w:b/>
                <w:bCs/>
                <w:color w:val="FF0000"/>
              </w:rPr>
            </w:pPr>
          </w:p>
        </w:tc>
        <w:tc>
          <w:tcPr>
            <w:tcW w:w="719" w:type="pct"/>
            <w:tcBorders>
              <w:top w:val="dotted" w:sz="4" w:space="0" w:color="auto"/>
              <w:bottom w:val="single" w:sz="4" w:space="0" w:color="auto"/>
              <w:right w:val="dotted" w:sz="4" w:space="0" w:color="auto"/>
            </w:tcBorders>
            <w:vAlign w:val="bottom"/>
          </w:tcPr>
          <w:p w:rsidR="00250D8E" w:rsidRPr="00BF0050" w:rsidRDefault="00F94BE7" w:rsidP="00EE3BDD">
            <w:pPr>
              <w:spacing w:before="20" w:after="20" w:line="240" w:lineRule="auto"/>
              <w:ind w:firstLine="10"/>
              <w:jc w:val="center"/>
            </w:pPr>
            <w:r w:rsidRPr="00BF0050">
              <w:t>9</w:t>
            </w:r>
            <w:r w:rsidR="00EE3BDD" w:rsidRPr="00BF0050">
              <w:t>8</w:t>
            </w:r>
            <w:r w:rsidRPr="00BF0050">
              <w:t>,</w:t>
            </w:r>
            <w:r w:rsidR="00EE3BDD" w:rsidRPr="00BF0050">
              <w:t>5</w:t>
            </w:r>
          </w:p>
        </w:tc>
        <w:tc>
          <w:tcPr>
            <w:tcW w:w="729" w:type="pct"/>
            <w:tcBorders>
              <w:top w:val="dotted" w:sz="4" w:space="0" w:color="auto"/>
              <w:left w:val="dotted" w:sz="4" w:space="0" w:color="auto"/>
              <w:bottom w:val="single" w:sz="4" w:space="0" w:color="auto"/>
              <w:right w:val="dotted" w:sz="4" w:space="0" w:color="auto"/>
            </w:tcBorders>
            <w:vAlign w:val="bottom"/>
          </w:tcPr>
          <w:p w:rsidR="00250D8E" w:rsidRPr="00BF0050" w:rsidRDefault="002C0E6B" w:rsidP="00AF0233">
            <w:pPr>
              <w:spacing w:before="20" w:after="20" w:line="240" w:lineRule="auto"/>
              <w:ind w:firstLine="10"/>
              <w:jc w:val="center"/>
            </w:pPr>
            <w:r w:rsidRPr="00BF0050">
              <w:t>99,8</w:t>
            </w:r>
          </w:p>
        </w:tc>
        <w:tc>
          <w:tcPr>
            <w:tcW w:w="719" w:type="pct"/>
            <w:tcBorders>
              <w:top w:val="dotted" w:sz="4" w:space="0" w:color="auto"/>
              <w:left w:val="dotted" w:sz="4" w:space="0" w:color="auto"/>
              <w:bottom w:val="single" w:sz="4" w:space="0" w:color="auto"/>
              <w:right w:val="dotted" w:sz="4" w:space="0" w:color="auto"/>
            </w:tcBorders>
          </w:tcPr>
          <w:p w:rsidR="00250D8E" w:rsidRPr="00BF0050" w:rsidRDefault="00EE3BDD" w:rsidP="00AF0233">
            <w:pPr>
              <w:spacing w:before="20" w:after="20" w:line="240" w:lineRule="auto"/>
              <w:ind w:firstLine="10"/>
              <w:jc w:val="center"/>
            </w:pPr>
            <w:r w:rsidRPr="00BF0050">
              <w:t>101,5</w:t>
            </w:r>
          </w:p>
        </w:tc>
        <w:tc>
          <w:tcPr>
            <w:tcW w:w="736" w:type="pct"/>
            <w:tcBorders>
              <w:top w:val="dotted" w:sz="4" w:space="0" w:color="auto"/>
              <w:left w:val="dotted" w:sz="4" w:space="0" w:color="auto"/>
              <w:bottom w:val="single" w:sz="4" w:space="0" w:color="auto"/>
            </w:tcBorders>
          </w:tcPr>
          <w:p w:rsidR="00250D8E" w:rsidRPr="00BF0050" w:rsidRDefault="00F94BE7" w:rsidP="00AF0233">
            <w:pPr>
              <w:spacing w:before="20" w:after="20" w:line="240" w:lineRule="auto"/>
              <w:ind w:firstLine="10"/>
              <w:jc w:val="center"/>
            </w:pPr>
            <w:r w:rsidRPr="00BF0050">
              <w:t>103,</w:t>
            </w:r>
            <w:r w:rsidR="002C0E6B" w:rsidRPr="00BF0050">
              <w:t>6</w:t>
            </w:r>
          </w:p>
        </w:tc>
      </w:tr>
      <w:tr w:rsidR="006E345F" w:rsidRPr="00BF0050" w:rsidTr="008A11BF">
        <w:trPr>
          <w:jc w:val="center"/>
        </w:trPr>
        <w:tc>
          <w:tcPr>
            <w:tcW w:w="5000" w:type="pct"/>
            <w:gridSpan w:val="6"/>
            <w:tcBorders>
              <w:top w:val="single" w:sz="4" w:space="0" w:color="auto"/>
            </w:tcBorders>
          </w:tcPr>
          <w:p w:rsidR="006E345F" w:rsidRPr="00BF0050" w:rsidRDefault="006E345F" w:rsidP="00AF0233">
            <w:pPr>
              <w:spacing w:before="20" w:after="20" w:line="240" w:lineRule="auto"/>
              <w:ind w:firstLine="142"/>
              <w:rPr>
                <w:b/>
                <w:bCs/>
                <w:color w:val="FF0000"/>
              </w:rPr>
            </w:pPr>
            <w:r w:rsidRPr="00BF0050">
              <w:rPr>
                <w:b/>
                <w:bCs/>
              </w:rPr>
              <w:t>Оборот розничной торговли, %</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lang w:val="en-US"/>
              </w:rPr>
            </w:pPr>
            <w:r w:rsidRPr="00BF0050">
              <w:rPr>
                <w:bCs/>
              </w:rPr>
              <w:t>базовый</w:t>
            </w:r>
          </w:p>
        </w:tc>
        <w:tc>
          <w:tcPr>
            <w:tcW w:w="717" w:type="pct"/>
            <w:vMerge w:val="restart"/>
            <w:vAlign w:val="center"/>
          </w:tcPr>
          <w:p w:rsidR="00250D8E" w:rsidRPr="00BF0050" w:rsidRDefault="00250D8E" w:rsidP="00BF6937">
            <w:pPr>
              <w:spacing w:before="20" w:after="20" w:line="240" w:lineRule="auto"/>
              <w:ind w:firstLine="0"/>
              <w:jc w:val="center"/>
              <w:rPr>
                <w:b/>
                <w:bCs/>
                <w:color w:val="FF0000"/>
              </w:rPr>
            </w:pPr>
            <w:r w:rsidRPr="00BF0050">
              <w:t>90,0</w:t>
            </w:r>
          </w:p>
        </w:tc>
        <w:tc>
          <w:tcPr>
            <w:tcW w:w="719" w:type="pct"/>
            <w:tcBorders>
              <w:top w:val="dotted" w:sz="4" w:space="0" w:color="auto"/>
              <w:bottom w:val="dotted" w:sz="4" w:space="0" w:color="auto"/>
              <w:right w:val="dotted" w:sz="4" w:space="0" w:color="auto"/>
            </w:tcBorders>
            <w:vAlign w:val="bottom"/>
          </w:tcPr>
          <w:p w:rsidR="00250D8E" w:rsidRPr="00BF0050" w:rsidRDefault="00250D8E" w:rsidP="00F00EB9">
            <w:pPr>
              <w:spacing w:before="20" w:after="20" w:line="240" w:lineRule="auto"/>
              <w:ind w:firstLine="10"/>
              <w:jc w:val="center"/>
            </w:pPr>
            <w:r w:rsidRPr="00BF0050">
              <w:t>97</w:t>
            </w:r>
            <w:r w:rsidR="00032B83" w:rsidRPr="00BF0050">
              <w:t>,3</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250D8E" w:rsidP="00AF0233">
            <w:pPr>
              <w:spacing w:before="20" w:after="20" w:line="240" w:lineRule="auto"/>
              <w:ind w:firstLine="10"/>
              <w:jc w:val="center"/>
            </w:pPr>
            <w:r w:rsidRPr="00BF0050">
              <w:t>101,</w:t>
            </w:r>
            <w:r w:rsidR="00032B83" w:rsidRPr="00BF0050">
              <w:t>1</w:t>
            </w:r>
          </w:p>
        </w:tc>
        <w:tc>
          <w:tcPr>
            <w:tcW w:w="719" w:type="pct"/>
            <w:tcBorders>
              <w:top w:val="dotted" w:sz="4" w:space="0" w:color="auto"/>
              <w:left w:val="dotted" w:sz="4" w:space="0" w:color="auto"/>
              <w:bottom w:val="dotted" w:sz="4" w:space="0" w:color="auto"/>
              <w:right w:val="dotted" w:sz="4" w:space="0" w:color="auto"/>
            </w:tcBorders>
            <w:vAlign w:val="bottom"/>
          </w:tcPr>
          <w:p w:rsidR="00250D8E" w:rsidRPr="00BF0050" w:rsidRDefault="00250D8E" w:rsidP="00F00EB9">
            <w:pPr>
              <w:spacing w:before="20" w:after="20" w:line="240" w:lineRule="auto"/>
              <w:ind w:firstLine="10"/>
              <w:jc w:val="center"/>
            </w:pPr>
            <w:r w:rsidRPr="00BF0050">
              <w:t>10</w:t>
            </w:r>
            <w:r w:rsidR="00032B83" w:rsidRPr="00BF0050">
              <w:t>2</w:t>
            </w:r>
            <w:r w:rsidRPr="00BF0050">
              <w:t>,</w:t>
            </w:r>
            <w:r w:rsidR="00032B83" w:rsidRPr="00BF0050">
              <w:t>6</w:t>
            </w:r>
          </w:p>
        </w:tc>
        <w:tc>
          <w:tcPr>
            <w:tcW w:w="736" w:type="pct"/>
            <w:tcBorders>
              <w:top w:val="dotted" w:sz="4" w:space="0" w:color="auto"/>
              <w:left w:val="dotted" w:sz="4" w:space="0" w:color="auto"/>
              <w:bottom w:val="dotted" w:sz="4" w:space="0" w:color="auto"/>
            </w:tcBorders>
            <w:vAlign w:val="bottom"/>
          </w:tcPr>
          <w:p w:rsidR="00250D8E" w:rsidRPr="00BF0050" w:rsidRDefault="00250D8E" w:rsidP="00AF0233">
            <w:pPr>
              <w:spacing w:before="20" w:after="20" w:line="240" w:lineRule="auto"/>
              <w:ind w:firstLine="10"/>
              <w:jc w:val="center"/>
            </w:pPr>
            <w:r w:rsidRPr="00BF0050">
              <w:t>103,</w:t>
            </w:r>
            <w:r w:rsidR="00032B83" w:rsidRPr="00BF0050">
              <w:t>3</w:t>
            </w:r>
          </w:p>
        </w:tc>
      </w:tr>
      <w:tr w:rsidR="00250D8E" w:rsidRPr="00BF0050" w:rsidTr="008A11BF">
        <w:trPr>
          <w:jc w:val="center"/>
        </w:trPr>
        <w:tc>
          <w:tcPr>
            <w:tcW w:w="1380" w:type="pct"/>
            <w:tcBorders>
              <w:top w:val="dotted" w:sz="4" w:space="0" w:color="auto"/>
              <w:bottom w:val="dotted"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консервативный</w:t>
            </w:r>
          </w:p>
        </w:tc>
        <w:tc>
          <w:tcPr>
            <w:tcW w:w="717" w:type="pct"/>
            <w:vMerge/>
            <w:vAlign w:val="center"/>
          </w:tcPr>
          <w:p w:rsidR="00250D8E" w:rsidRPr="00BF0050" w:rsidRDefault="00250D8E" w:rsidP="00AF0233">
            <w:pPr>
              <w:spacing w:before="20" w:after="20" w:line="240" w:lineRule="auto"/>
              <w:ind w:firstLine="136"/>
              <w:jc w:val="center"/>
            </w:pPr>
          </w:p>
        </w:tc>
        <w:tc>
          <w:tcPr>
            <w:tcW w:w="719" w:type="pct"/>
            <w:tcBorders>
              <w:top w:val="dotted" w:sz="4" w:space="0" w:color="auto"/>
              <w:bottom w:val="dotted" w:sz="4" w:space="0" w:color="auto"/>
              <w:right w:val="dotted" w:sz="4" w:space="0" w:color="auto"/>
            </w:tcBorders>
            <w:vAlign w:val="bottom"/>
          </w:tcPr>
          <w:p w:rsidR="00250D8E" w:rsidRPr="00BF0050" w:rsidRDefault="00250D8E" w:rsidP="00F00EB9">
            <w:pPr>
              <w:spacing w:before="20" w:after="20" w:line="240" w:lineRule="auto"/>
              <w:ind w:firstLine="10"/>
              <w:jc w:val="center"/>
            </w:pPr>
            <w:r w:rsidRPr="00BF0050">
              <w:t>9</w:t>
            </w:r>
            <w:r w:rsidR="00C7224C" w:rsidRPr="00BF0050">
              <w:t>5,1</w:t>
            </w:r>
          </w:p>
        </w:tc>
        <w:tc>
          <w:tcPr>
            <w:tcW w:w="729" w:type="pct"/>
            <w:tcBorders>
              <w:top w:val="dotted" w:sz="4" w:space="0" w:color="auto"/>
              <w:left w:val="dotted" w:sz="4" w:space="0" w:color="auto"/>
              <w:bottom w:val="dotted" w:sz="4" w:space="0" w:color="auto"/>
              <w:right w:val="dotted" w:sz="4" w:space="0" w:color="auto"/>
            </w:tcBorders>
            <w:vAlign w:val="bottom"/>
          </w:tcPr>
          <w:p w:rsidR="00250D8E" w:rsidRPr="00BF0050" w:rsidRDefault="00C7224C" w:rsidP="00AE7961">
            <w:pPr>
              <w:spacing w:before="20" w:after="20" w:line="240" w:lineRule="auto"/>
              <w:ind w:firstLine="10"/>
              <w:jc w:val="center"/>
            </w:pPr>
            <w:r w:rsidRPr="00BF0050">
              <w:t>99</w:t>
            </w:r>
            <w:r w:rsidR="00250D8E" w:rsidRPr="00BF0050">
              <w:t>,</w:t>
            </w:r>
            <w:r w:rsidRPr="00BF0050">
              <w:t>5</w:t>
            </w:r>
          </w:p>
        </w:tc>
        <w:tc>
          <w:tcPr>
            <w:tcW w:w="719" w:type="pct"/>
            <w:tcBorders>
              <w:top w:val="dotted" w:sz="4" w:space="0" w:color="auto"/>
              <w:left w:val="dotted" w:sz="4" w:space="0" w:color="auto"/>
              <w:bottom w:val="dotted" w:sz="4" w:space="0" w:color="auto"/>
              <w:right w:val="dotted" w:sz="4" w:space="0" w:color="auto"/>
            </w:tcBorders>
            <w:vAlign w:val="bottom"/>
          </w:tcPr>
          <w:p w:rsidR="00250D8E" w:rsidRPr="00BF0050" w:rsidRDefault="00250D8E" w:rsidP="0019491B">
            <w:pPr>
              <w:spacing w:before="20" w:after="20" w:line="240" w:lineRule="auto"/>
              <w:ind w:firstLine="10"/>
              <w:jc w:val="center"/>
            </w:pPr>
            <w:r w:rsidRPr="00BF0050">
              <w:t>10</w:t>
            </w:r>
            <w:r w:rsidR="00C7224C" w:rsidRPr="00BF0050">
              <w:t>0</w:t>
            </w:r>
            <w:r w:rsidRPr="00BF0050">
              <w:t>,</w:t>
            </w:r>
            <w:r w:rsidR="00C7224C" w:rsidRPr="00BF0050">
              <w:t>5</w:t>
            </w:r>
          </w:p>
        </w:tc>
        <w:tc>
          <w:tcPr>
            <w:tcW w:w="736" w:type="pct"/>
            <w:tcBorders>
              <w:top w:val="dotted" w:sz="4" w:space="0" w:color="auto"/>
              <w:left w:val="dotted" w:sz="4" w:space="0" w:color="auto"/>
              <w:bottom w:val="dotted" w:sz="4" w:space="0" w:color="auto"/>
            </w:tcBorders>
            <w:vAlign w:val="bottom"/>
          </w:tcPr>
          <w:p w:rsidR="00250D8E" w:rsidRPr="00BF0050" w:rsidRDefault="00C7224C" w:rsidP="0019491B">
            <w:pPr>
              <w:spacing w:before="20" w:after="20" w:line="240" w:lineRule="auto"/>
              <w:ind w:firstLine="10"/>
              <w:jc w:val="center"/>
            </w:pPr>
            <w:r w:rsidRPr="00BF0050">
              <w:t>101</w:t>
            </w:r>
            <w:r w:rsidR="00250D8E" w:rsidRPr="00BF0050">
              <w:t>,</w:t>
            </w:r>
            <w:r w:rsidRPr="00BF0050">
              <w:t>7</w:t>
            </w:r>
          </w:p>
        </w:tc>
      </w:tr>
      <w:tr w:rsidR="00250D8E" w:rsidRPr="00BF0050" w:rsidTr="008A11BF">
        <w:trPr>
          <w:jc w:val="center"/>
        </w:trPr>
        <w:tc>
          <w:tcPr>
            <w:tcW w:w="1380" w:type="pct"/>
            <w:tcBorders>
              <w:top w:val="dotted" w:sz="4" w:space="0" w:color="auto"/>
              <w:bottom w:val="single" w:sz="4" w:space="0" w:color="auto"/>
            </w:tcBorders>
            <w:vAlign w:val="center"/>
          </w:tcPr>
          <w:p w:rsidR="00250D8E" w:rsidRPr="00BF0050" w:rsidRDefault="00250D8E" w:rsidP="006B75D7">
            <w:pPr>
              <w:spacing w:before="20" w:after="20" w:line="240" w:lineRule="auto"/>
              <w:ind w:firstLine="142"/>
              <w:jc w:val="center"/>
              <w:rPr>
                <w:bCs/>
              </w:rPr>
            </w:pPr>
            <w:r w:rsidRPr="00BF0050">
              <w:rPr>
                <w:bCs/>
              </w:rPr>
              <w:t>целевой</w:t>
            </w:r>
          </w:p>
        </w:tc>
        <w:tc>
          <w:tcPr>
            <w:tcW w:w="717" w:type="pct"/>
            <w:vMerge/>
            <w:tcBorders>
              <w:bottom w:val="single" w:sz="4" w:space="0" w:color="auto"/>
            </w:tcBorders>
          </w:tcPr>
          <w:p w:rsidR="00250D8E" w:rsidRPr="00BF0050" w:rsidRDefault="00250D8E" w:rsidP="00AF0233">
            <w:pPr>
              <w:spacing w:before="20" w:after="20" w:line="240" w:lineRule="auto"/>
              <w:jc w:val="center"/>
              <w:rPr>
                <w:b/>
                <w:bCs/>
                <w:color w:val="FF0000"/>
              </w:rPr>
            </w:pPr>
          </w:p>
        </w:tc>
        <w:tc>
          <w:tcPr>
            <w:tcW w:w="719" w:type="pct"/>
            <w:tcBorders>
              <w:top w:val="dotted" w:sz="4" w:space="0" w:color="auto"/>
              <w:bottom w:val="single" w:sz="4" w:space="0" w:color="auto"/>
              <w:right w:val="dotted" w:sz="4" w:space="0" w:color="auto"/>
            </w:tcBorders>
            <w:vAlign w:val="bottom"/>
          </w:tcPr>
          <w:p w:rsidR="00250D8E" w:rsidRPr="00BF0050" w:rsidRDefault="00250D8E" w:rsidP="00F00EB9">
            <w:pPr>
              <w:spacing w:before="20" w:after="20" w:line="240" w:lineRule="auto"/>
              <w:ind w:firstLine="10"/>
              <w:jc w:val="center"/>
            </w:pPr>
            <w:r w:rsidRPr="00BF0050">
              <w:t>97</w:t>
            </w:r>
            <w:r w:rsidR="00032B83" w:rsidRPr="00BF0050">
              <w:t>,3</w:t>
            </w:r>
          </w:p>
        </w:tc>
        <w:tc>
          <w:tcPr>
            <w:tcW w:w="729" w:type="pct"/>
            <w:tcBorders>
              <w:top w:val="dotted" w:sz="4" w:space="0" w:color="auto"/>
              <w:left w:val="dotted" w:sz="4" w:space="0" w:color="auto"/>
              <w:bottom w:val="single" w:sz="4" w:space="0" w:color="auto"/>
              <w:right w:val="dotted" w:sz="4" w:space="0" w:color="auto"/>
            </w:tcBorders>
            <w:vAlign w:val="bottom"/>
          </w:tcPr>
          <w:p w:rsidR="00250D8E" w:rsidRPr="00BF0050" w:rsidRDefault="00250D8E" w:rsidP="00AF0233">
            <w:pPr>
              <w:spacing w:before="20" w:after="20" w:line="240" w:lineRule="auto"/>
              <w:ind w:firstLine="10"/>
              <w:jc w:val="center"/>
            </w:pPr>
            <w:r w:rsidRPr="00BF0050">
              <w:t>100,</w:t>
            </w:r>
            <w:r w:rsidR="002C0E6B" w:rsidRPr="00BF0050">
              <w:t>0</w:t>
            </w:r>
          </w:p>
        </w:tc>
        <w:tc>
          <w:tcPr>
            <w:tcW w:w="719" w:type="pct"/>
            <w:tcBorders>
              <w:top w:val="dotted" w:sz="4" w:space="0" w:color="auto"/>
              <w:left w:val="dotted" w:sz="4" w:space="0" w:color="auto"/>
              <w:bottom w:val="single" w:sz="4" w:space="0" w:color="auto"/>
              <w:right w:val="dotted" w:sz="4" w:space="0" w:color="auto"/>
            </w:tcBorders>
            <w:vAlign w:val="bottom"/>
          </w:tcPr>
          <w:p w:rsidR="00250D8E" w:rsidRPr="00BF0050" w:rsidRDefault="00250D8E" w:rsidP="00F00EB9">
            <w:pPr>
              <w:spacing w:before="20" w:after="20" w:line="240" w:lineRule="auto"/>
              <w:ind w:firstLine="10"/>
              <w:jc w:val="center"/>
            </w:pPr>
            <w:r w:rsidRPr="00BF0050">
              <w:t>10</w:t>
            </w:r>
            <w:r w:rsidR="00032B83" w:rsidRPr="00BF0050">
              <w:t>2</w:t>
            </w:r>
            <w:r w:rsidRPr="00BF0050">
              <w:t>,</w:t>
            </w:r>
            <w:r w:rsidR="00C7224C" w:rsidRPr="00BF0050">
              <w:t>5</w:t>
            </w:r>
          </w:p>
        </w:tc>
        <w:tc>
          <w:tcPr>
            <w:tcW w:w="736" w:type="pct"/>
            <w:tcBorders>
              <w:top w:val="dotted" w:sz="4" w:space="0" w:color="auto"/>
              <w:left w:val="dotted" w:sz="4" w:space="0" w:color="auto"/>
              <w:bottom w:val="single" w:sz="4" w:space="0" w:color="auto"/>
            </w:tcBorders>
            <w:vAlign w:val="bottom"/>
          </w:tcPr>
          <w:p w:rsidR="00250D8E" w:rsidRPr="00BF0050" w:rsidRDefault="00250D8E" w:rsidP="00AF0233">
            <w:pPr>
              <w:spacing w:before="20" w:after="20" w:line="240" w:lineRule="auto"/>
              <w:ind w:firstLine="10"/>
              <w:jc w:val="center"/>
            </w:pPr>
            <w:r w:rsidRPr="00BF0050">
              <w:t>105,</w:t>
            </w:r>
            <w:r w:rsidR="00032B83" w:rsidRPr="00BF0050">
              <w:t>5</w:t>
            </w:r>
          </w:p>
        </w:tc>
      </w:tr>
      <w:tr w:rsidR="006E345F" w:rsidRPr="00BF0050" w:rsidTr="008A11BF">
        <w:trPr>
          <w:jc w:val="center"/>
        </w:trPr>
        <w:tc>
          <w:tcPr>
            <w:tcW w:w="5000" w:type="pct"/>
            <w:gridSpan w:val="6"/>
            <w:tcBorders>
              <w:top w:val="single" w:sz="4" w:space="0" w:color="auto"/>
            </w:tcBorders>
          </w:tcPr>
          <w:p w:rsidR="006E345F" w:rsidRPr="00BF0050" w:rsidRDefault="006E345F" w:rsidP="00AF0233">
            <w:pPr>
              <w:spacing w:before="20" w:after="20" w:line="240" w:lineRule="auto"/>
              <w:ind w:firstLine="142"/>
              <w:rPr>
                <w:b/>
                <w:bCs/>
                <w:color w:val="FF0000"/>
              </w:rPr>
            </w:pPr>
            <w:r w:rsidRPr="00BF0050">
              <w:rPr>
                <w:b/>
                <w:bCs/>
              </w:rPr>
              <w:t>Экспорт - всего,  млрд. долл. США</w:t>
            </w:r>
          </w:p>
        </w:tc>
      </w:tr>
      <w:tr w:rsidR="00353AB2" w:rsidRPr="00BF0050" w:rsidTr="008A11BF">
        <w:trPr>
          <w:jc w:val="center"/>
        </w:trPr>
        <w:tc>
          <w:tcPr>
            <w:tcW w:w="1380" w:type="pct"/>
            <w:tcBorders>
              <w:top w:val="dotted" w:sz="4" w:space="0" w:color="auto"/>
              <w:bottom w:val="dotted" w:sz="4" w:space="0" w:color="auto"/>
            </w:tcBorders>
            <w:vAlign w:val="center"/>
          </w:tcPr>
          <w:p w:rsidR="00353AB2" w:rsidRPr="00BF0050" w:rsidRDefault="00353AB2" w:rsidP="006B75D7">
            <w:pPr>
              <w:spacing w:before="20" w:after="20" w:line="240" w:lineRule="auto"/>
              <w:ind w:firstLine="142"/>
              <w:jc w:val="center"/>
              <w:rPr>
                <w:bCs/>
                <w:lang w:val="en-US"/>
              </w:rPr>
            </w:pPr>
            <w:r w:rsidRPr="00BF0050">
              <w:rPr>
                <w:bCs/>
              </w:rPr>
              <w:t>базовый</w:t>
            </w:r>
          </w:p>
        </w:tc>
        <w:tc>
          <w:tcPr>
            <w:tcW w:w="717" w:type="pct"/>
            <w:vMerge w:val="restart"/>
            <w:vAlign w:val="center"/>
          </w:tcPr>
          <w:p w:rsidR="00353AB2" w:rsidRPr="00BF0050" w:rsidRDefault="00032B83" w:rsidP="00F00EB9">
            <w:pPr>
              <w:spacing w:before="20" w:after="20" w:line="240" w:lineRule="auto"/>
              <w:ind w:firstLine="0"/>
              <w:jc w:val="center"/>
              <w:rPr>
                <w:b/>
                <w:bCs/>
              </w:rPr>
            </w:pPr>
            <w:r w:rsidRPr="00BF0050">
              <w:t>341</w:t>
            </w:r>
          </w:p>
        </w:tc>
        <w:tc>
          <w:tcPr>
            <w:tcW w:w="719" w:type="pct"/>
            <w:tcBorders>
              <w:top w:val="dotted" w:sz="4" w:space="0" w:color="auto"/>
              <w:bottom w:val="dotted" w:sz="4" w:space="0" w:color="auto"/>
              <w:right w:val="dotted" w:sz="4" w:space="0" w:color="auto"/>
            </w:tcBorders>
            <w:vAlign w:val="bottom"/>
          </w:tcPr>
          <w:p w:rsidR="00353AB2" w:rsidRPr="00BF0050" w:rsidRDefault="00032B83" w:rsidP="002617AE">
            <w:pPr>
              <w:spacing w:before="20" w:after="20" w:line="240" w:lineRule="auto"/>
              <w:ind w:firstLine="10"/>
              <w:jc w:val="center"/>
            </w:pPr>
            <w:r w:rsidRPr="00BF0050">
              <w:t>288</w:t>
            </w:r>
          </w:p>
        </w:tc>
        <w:tc>
          <w:tcPr>
            <w:tcW w:w="729" w:type="pct"/>
            <w:tcBorders>
              <w:top w:val="dotted" w:sz="4" w:space="0" w:color="auto"/>
              <w:left w:val="dotted" w:sz="4" w:space="0" w:color="auto"/>
              <w:bottom w:val="dotted" w:sz="4" w:space="0" w:color="auto"/>
              <w:right w:val="dotted" w:sz="4" w:space="0" w:color="auto"/>
            </w:tcBorders>
            <w:vAlign w:val="bottom"/>
          </w:tcPr>
          <w:p w:rsidR="00353AB2" w:rsidRPr="00BF0050" w:rsidRDefault="00032B83" w:rsidP="002617AE">
            <w:pPr>
              <w:spacing w:before="20" w:after="20" w:line="240" w:lineRule="auto"/>
              <w:ind w:firstLine="10"/>
              <w:jc w:val="center"/>
            </w:pPr>
            <w:r w:rsidRPr="00BF0050">
              <w:t>294</w:t>
            </w:r>
          </w:p>
        </w:tc>
        <w:tc>
          <w:tcPr>
            <w:tcW w:w="719" w:type="pct"/>
            <w:tcBorders>
              <w:top w:val="dotted" w:sz="4" w:space="0" w:color="auto"/>
              <w:left w:val="dotted" w:sz="4" w:space="0" w:color="auto"/>
              <w:bottom w:val="dotted" w:sz="4" w:space="0" w:color="auto"/>
              <w:right w:val="dotted" w:sz="4" w:space="0" w:color="auto"/>
            </w:tcBorders>
            <w:vAlign w:val="bottom"/>
          </w:tcPr>
          <w:p w:rsidR="00353AB2" w:rsidRPr="00BF0050" w:rsidRDefault="00032B83" w:rsidP="00F00EB9">
            <w:pPr>
              <w:spacing w:before="20" w:after="20" w:line="240" w:lineRule="auto"/>
              <w:ind w:firstLine="10"/>
              <w:jc w:val="center"/>
            </w:pPr>
            <w:r w:rsidRPr="00BF0050">
              <w:t>302</w:t>
            </w:r>
          </w:p>
        </w:tc>
        <w:tc>
          <w:tcPr>
            <w:tcW w:w="736" w:type="pct"/>
            <w:tcBorders>
              <w:top w:val="dotted" w:sz="4" w:space="0" w:color="auto"/>
              <w:left w:val="dotted" w:sz="4" w:space="0" w:color="auto"/>
              <w:bottom w:val="dotted" w:sz="4" w:space="0" w:color="auto"/>
            </w:tcBorders>
            <w:vAlign w:val="bottom"/>
          </w:tcPr>
          <w:p w:rsidR="00353AB2" w:rsidRPr="00BF0050" w:rsidRDefault="00353AB2" w:rsidP="002617AE">
            <w:pPr>
              <w:spacing w:before="20" w:after="20" w:line="240" w:lineRule="auto"/>
              <w:ind w:firstLine="10"/>
              <w:jc w:val="center"/>
            </w:pPr>
            <w:r w:rsidRPr="00BF0050">
              <w:t>3</w:t>
            </w:r>
            <w:r w:rsidR="00032B83" w:rsidRPr="00BF0050">
              <w:t>12</w:t>
            </w:r>
          </w:p>
        </w:tc>
      </w:tr>
      <w:tr w:rsidR="006961CB" w:rsidRPr="00BF0050" w:rsidTr="008A11BF">
        <w:trPr>
          <w:jc w:val="center"/>
        </w:trPr>
        <w:tc>
          <w:tcPr>
            <w:tcW w:w="1380" w:type="pct"/>
            <w:tcBorders>
              <w:top w:val="dotted" w:sz="4" w:space="0" w:color="auto"/>
              <w:bottom w:val="dotted" w:sz="4" w:space="0" w:color="auto"/>
            </w:tcBorders>
            <w:vAlign w:val="center"/>
          </w:tcPr>
          <w:p w:rsidR="006961CB" w:rsidRPr="00BF0050" w:rsidRDefault="006961CB" w:rsidP="006B75D7">
            <w:pPr>
              <w:spacing w:before="20" w:after="20" w:line="240" w:lineRule="auto"/>
              <w:ind w:firstLine="142"/>
              <w:jc w:val="center"/>
              <w:rPr>
                <w:bCs/>
              </w:rPr>
            </w:pPr>
            <w:r w:rsidRPr="00BF0050">
              <w:rPr>
                <w:bCs/>
              </w:rPr>
              <w:t>консервативный</w:t>
            </w:r>
          </w:p>
        </w:tc>
        <w:tc>
          <w:tcPr>
            <w:tcW w:w="717" w:type="pct"/>
            <w:vMerge/>
            <w:vAlign w:val="center"/>
          </w:tcPr>
          <w:p w:rsidR="006961CB" w:rsidRPr="00BF0050" w:rsidRDefault="006961CB" w:rsidP="00AF0233">
            <w:pPr>
              <w:spacing w:before="20" w:after="20" w:line="240" w:lineRule="auto"/>
              <w:jc w:val="center"/>
            </w:pPr>
          </w:p>
        </w:tc>
        <w:tc>
          <w:tcPr>
            <w:tcW w:w="719" w:type="pct"/>
            <w:tcBorders>
              <w:top w:val="dotted" w:sz="4" w:space="0" w:color="auto"/>
              <w:bottom w:val="dotted" w:sz="4" w:space="0" w:color="auto"/>
              <w:right w:val="dotted" w:sz="4" w:space="0" w:color="auto"/>
            </w:tcBorders>
            <w:vAlign w:val="bottom"/>
          </w:tcPr>
          <w:p w:rsidR="006961CB" w:rsidRPr="00BF0050" w:rsidRDefault="006961CB" w:rsidP="002617AE">
            <w:pPr>
              <w:spacing w:before="20" w:after="20" w:line="240" w:lineRule="auto"/>
              <w:ind w:firstLine="10"/>
              <w:jc w:val="center"/>
            </w:pPr>
            <w:r w:rsidRPr="00BF0050">
              <w:t>227</w:t>
            </w:r>
          </w:p>
        </w:tc>
        <w:tc>
          <w:tcPr>
            <w:tcW w:w="729" w:type="pct"/>
            <w:tcBorders>
              <w:top w:val="dotted" w:sz="4" w:space="0" w:color="auto"/>
              <w:left w:val="dotted" w:sz="4" w:space="0" w:color="auto"/>
              <w:bottom w:val="dotted" w:sz="4" w:space="0" w:color="auto"/>
              <w:right w:val="dotted" w:sz="4" w:space="0" w:color="auto"/>
            </w:tcBorders>
            <w:vAlign w:val="bottom"/>
          </w:tcPr>
          <w:p w:rsidR="006961CB" w:rsidRPr="00BF0050" w:rsidRDefault="006961CB" w:rsidP="00F00EB9">
            <w:pPr>
              <w:spacing w:before="20" w:after="20" w:line="240" w:lineRule="auto"/>
              <w:ind w:firstLine="10"/>
              <w:jc w:val="center"/>
            </w:pPr>
            <w:r w:rsidRPr="00BF0050">
              <w:t>220</w:t>
            </w:r>
          </w:p>
        </w:tc>
        <w:tc>
          <w:tcPr>
            <w:tcW w:w="719" w:type="pct"/>
            <w:tcBorders>
              <w:top w:val="dotted" w:sz="4" w:space="0" w:color="auto"/>
              <w:left w:val="dotted" w:sz="4" w:space="0" w:color="auto"/>
              <w:bottom w:val="dotted" w:sz="4" w:space="0" w:color="auto"/>
              <w:right w:val="dotted" w:sz="4" w:space="0" w:color="auto"/>
            </w:tcBorders>
            <w:vAlign w:val="bottom"/>
          </w:tcPr>
          <w:p w:rsidR="006961CB" w:rsidRPr="00BF0050" w:rsidRDefault="006961CB" w:rsidP="002617AE">
            <w:pPr>
              <w:spacing w:before="20" w:after="20" w:line="240" w:lineRule="auto"/>
              <w:ind w:firstLine="10"/>
              <w:jc w:val="center"/>
            </w:pPr>
            <w:r w:rsidRPr="00BF0050">
              <w:t>225</w:t>
            </w:r>
          </w:p>
        </w:tc>
        <w:tc>
          <w:tcPr>
            <w:tcW w:w="736" w:type="pct"/>
            <w:tcBorders>
              <w:top w:val="dotted" w:sz="4" w:space="0" w:color="auto"/>
              <w:left w:val="dotted" w:sz="4" w:space="0" w:color="auto"/>
              <w:bottom w:val="dotted" w:sz="4" w:space="0" w:color="auto"/>
            </w:tcBorders>
            <w:vAlign w:val="bottom"/>
          </w:tcPr>
          <w:p w:rsidR="006961CB" w:rsidRPr="00BF0050" w:rsidRDefault="006961CB" w:rsidP="002617AE">
            <w:pPr>
              <w:spacing w:before="20" w:after="20" w:line="240" w:lineRule="auto"/>
              <w:ind w:firstLine="10"/>
              <w:jc w:val="center"/>
            </w:pPr>
            <w:r w:rsidRPr="00BF0050">
              <w:t>233</w:t>
            </w:r>
          </w:p>
        </w:tc>
      </w:tr>
      <w:tr w:rsidR="00353AB2" w:rsidRPr="00BF0050" w:rsidTr="008A11BF">
        <w:trPr>
          <w:jc w:val="center"/>
        </w:trPr>
        <w:tc>
          <w:tcPr>
            <w:tcW w:w="1380" w:type="pct"/>
            <w:tcBorders>
              <w:top w:val="dotted" w:sz="4" w:space="0" w:color="auto"/>
              <w:bottom w:val="dotted" w:sz="4" w:space="0" w:color="auto"/>
            </w:tcBorders>
            <w:vAlign w:val="center"/>
          </w:tcPr>
          <w:p w:rsidR="00353AB2" w:rsidRPr="00BF0050" w:rsidRDefault="00353AB2" w:rsidP="006B75D7">
            <w:pPr>
              <w:spacing w:before="20" w:after="20" w:line="240" w:lineRule="auto"/>
              <w:ind w:firstLine="142"/>
              <w:jc w:val="center"/>
              <w:rPr>
                <w:bCs/>
              </w:rPr>
            </w:pPr>
            <w:r w:rsidRPr="00BF0050">
              <w:rPr>
                <w:bCs/>
              </w:rPr>
              <w:t>целевой</w:t>
            </w:r>
          </w:p>
        </w:tc>
        <w:tc>
          <w:tcPr>
            <w:tcW w:w="717" w:type="pct"/>
            <w:vMerge/>
          </w:tcPr>
          <w:p w:rsidR="00353AB2" w:rsidRPr="00BF0050" w:rsidRDefault="00353AB2" w:rsidP="00AF0233">
            <w:pPr>
              <w:spacing w:before="20" w:after="20" w:line="240" w:lineRule="auto"/>
              <w:jc w:val="center"/>
              <w:rPr>
                <w:b/>
                <w:bCs/>
              </w:rPr>
            </w:pPr>
          </w:p>
        </w:tc>
        <w:tc>
          <w:tcPr>
            <w:tcW w:w="719" w:type="pct"/>
            <w:tcBorders>
              <w:top w:val="dotted" w:sz="4" w:space="0" w:color="auto"/>
              <w:bottom w:val="dotted" w:sz="4" w:space="0" w:color="auto"/>
              <w:right w:val="dotted" w:sz="4" w:space="0" w:color="auto"/>
            </w:tcBorders>
            <w:vAlign w:val="bottom"/>
          </w:tcPr>
          <w:p w:rsidR="00353AB2" w:rsidRPr="00BF0050" w:rsidRDefault="00353AB2" w:rsidP="002617AE">
            <w:pPr>
              <w:spacing w:before="20" w:after="20" w:line="240" w:lineRule="auto"/>
              <w:ind w:firstLine="10"/>
              <w:jc w:val="center"/>
            </w:pPr>
            <w:r w:rsidRPr="00BF0050">
              <w:t>2</w:t>
            </w:r>
            <w:r w:rsidR="00032B83" w:rsidRPr="00BF0050">
              <w:t>88</w:t>
            </w:r>
          </w:p>
        </w:tc>
        <w:tc>
          <w:tcPr>
            <w:tcW w:w="729" w:type="pct"/>
            <w:tcBorders>
              <w:top w:val="dotted" w:sz="4" w:space="0" w:color="auto"/>
              <w:left w:val="dotted" w:sz="4" w:space="0" w:color="auto"/>
              <w:bottom w:val="dotted" w:sz="4" w:space="0" w:color="auto"/>
              <w:right w:val="dotted" w:sz="4" w:space="0" w:color="auto"/>
            </w:tcBorders>
            <w:shd w:val="clear" w:color="auto" w:fill="auto"/>
            <w:vAlign w:val="bottom"/>
          </w:tcPr>
          <w:p w:rsidR="00353AB2" w:rsidRPr="00BF0050" w:rsidRDefault="00032B83" w:rsidP="002617AE">
            <w:pPr>
              <w:spacing w:before="20" w:after="20" w:line="240" w:lineRule="auto"/>
              <w:ind w:firstLine="10"/>
              <w:jc w:val="center"/>
            </w:pPr>
            <w:r w:rsidRPr="00BF0050">
              <w:t>295</w:t>
            </w:r>
          </w:p>
        </w:tc>
        <w:tc>
          <w:tcPr>
            <w:tcW w:w="719" w:type="pct"/>
            <w:tcBorders>
              <w:top w:val="dotted" w:sz="4" w:space="0" w:color="auto"/>
              <w:left w:val="dotted" w:sz="4" w:space="0" w:color="auto"/>
              <w:bottom w:val="dotted" w:sz="4" w:space="0" w:color="auto"/>
              <w:right w:val="dotted" w:sz="4" w:space="0" w:color="auto"/>
            </w:tcBorders>
            <w:shd w:val="clear" w:color="auto" w:fill="auto"/>
            <w:vAlign w:val="bottom"/>
          </w:tcPr>
          <w:p w:rsidR="00353AB2" w:rsidRPr="00BF0050" w:rsidRDefault="00C1551D" w:rsidP="00B460B2">
            <w:pPr>
              <w:spacing w:before="20" w:after="20" w:line="240" w:lineRule="auto"/>
              <w:ind w:firstLine="10"/>
              <w:jc w:val="center"/>
            </w:pPr>
            <w:r w:rsidRPr="00BF0050">
              <w:t>305</w:t>
            </w:r>
          </w:p>
        </w:tc>
        <w:tc>
          <w:tcPr>
            <w:tcW w:w="736" w:type="pct"/>
            <w:tcBorders>
              <w:top w:val="dotted" w:sz="4" w:space="0" w:color="auto"/>
              <w:left w:val="dotted" w:sz="4" w:space="0" w:color="auto"/>
              <w:bottom w:val="dotted" w:sz="4" w:space="0" w:color="auto"/>
            </w:tcBorders>
            <w:shd w:val="clear" w:color="auto" w:fill="auto"/>
            <w:vAlign w:val="bottom"/>
          </w:tcPr>
          <w:p w:rsidR="00353AB2" w:rsidRPr="00BF0050" w:rsidRDefault="00C1551D" w:rsidP="00B460B2">
            <w:pPr>
              <w:spacing w:before="20" w:after="20" w:line="240" w:lineRule="auto"/>
              <w:ind w:firstLine="10"/>
              <w:jc w:val="center"/>
            </w:pPr>
            <w:r w:rsidRPr="00BF0050">
              <w:t>317</w:t>
            </w:r>
          </w:p>
        </w:tc>
      </w:tr>
      <w:tr w:rsidR="006E345F" w:rsidRPr="00BF0050" w:rsidTr="008A11BF">
        <w:trPr>
          <w:jc w:val="center"/>
        </w:trPr>
        <w:tc>
          <w:tcPr>
            <w:tcW w:w="5000" w:type="pct"/>
            <w:gridSpan w:val="6"/>
          </w:tcPr>
          <w:p w:rsidR="006E345F" w:rsidRPr="00BF0050" w:rsidRDefault="006E345F" w:rsidP="00AF0233">
            <w:pPr>
              <w:spacing w:before="20" w:after="20" w:line="240" w:lineRule="auto"/>
              <w:ind w:firstLine="142"/>
              <w:rPr>
                <w:b/>
                <w:bCs/>
              </w:rPr>
            </w:pPr>
            <w:r w:rsidRPr="00BF0050">
              <w:rPr>
                <w:b/>
                <w:bCs/>
              </w:rPr>
              <w:t>Импорт - всего,  млрд. долл. США</w:t>
            </w:r>
          </w:p>
        </w:tc>
      </w:tr>
      <w:tr w:rsidR="00353AB2" w:rsidRPr="00BF0050" w:rsidTr="008A11BF">
        <w:trPr>
          <w:jc w:val="center"/>
        </w:trPr>
        <w:tc>
          <w:tcPr>
            <w:tcW w:w="1380" w:type="pct"/>
            <w:tcBorders>
              <w:top w:val="dotted" w:sz="4" w:space="0" w:color="auto"/>
              <w:bottom w:val="dotted" w:sz="4" w:space="0" w:color="auto"/>
            </w:tcBorders>
            <w:vAlign w:val="center"/>
          </w:tcPr>
          <w:p w:rsidR="00353AB2" w:rsidRPr="00BF0050" w:rsidRDefault="00353AB2" w:rsidP="006B75D7">
            <w:pPr>
              <w:spacing w:before="20" w:after="20" w:line="240" w:lineRule="auto"/>
              <w:ind w:firstLine="142"/>
              <w:jc w:val="center"/>
              <w:rPr>
                <w:bCs/>
                <w:lang w:val="en-US"/>
              </w:rPr>
            </w:pPr>
            <w:r w:rsidRPr="00BF0050">
              <w:rPr>
                <w:bCs/>
              </w:rPr>
              <w:t>базовый</w:t>
            </w:r>
          </w:p>
        </w:tc>
        <w:tc>
          <w:tcPr>
            <w:tcW w:w="717" w:type="pct"/>
            <w:vMerge w:val="restart"/>
            <w:vAlign w:val="center"/>
          </w:tcPr>
          <w:p w:rsidR="00353AB2" w:rsidRPr="00BF0050" w:rsidRDefault="00C7224C" w:rsidP="00F00EB9">
            <w:pPr>
              <w:spacing w:before="20" w:after="20" w:line="240" w:lineRule="auto"/>
              <w:ind w:firstLine="0"/>
              <w:jc w:val="center"/>
              <w:rPr>
                <w:b/>
                <w:bCs/>
                <w:color w:val="FF0000"/>
              </w:rPr>
            </w:pPr>
            <w:r w:rsidRPr="00BF0050">
              <w:t>193</w:t>
            </w:r>
          </w:p>
        </w:tc>
        <w:tc>
          <w:tcPr>
            <w:tcW w:w="719" w:type="pct"/>
            <w:tcBorders>
              <w:top w:val="dotted" w:sz="4" w:space="0" w:color="auto"/>
              <w:bottom w:val="dotted" w:sz="4" w:space="0" w:color="auto"/>
              <w:right w:val="dotted" w:sz="4" w:space="0" w:color="auto"/>
            </w:tcBorders>
            <w:vAlign w:val="bottom"/>
          </w:tcPr>
          <w:p w:rsidR="00353AB2" w:rsidRPr="00BF0050" w:rsidRDefault="00C7224C" w:rsidP="00AE7961">
            <w:pPr>
              <w:spacing w:before="20" w:after="20" w:line="240" w:lineRule="auto"/>
              <w:ind w:firstLine="10"/>
              <w:jc w:val="center"/>
            </w:pPr>
            <w:r w:rsidRPr="00BF0050">
              <w:t>180</w:t>
            </w:r>
          </w:p>
        </w:tc>
        <w:tc>
          <w:tcPr>
            <w:tcW w:w="729" w:type="pct"/>
            <w:tcBorders>
              <w:top w:val="dotted" w:sz="4" w:space="0" w:color="auto"/>
              <w:left w:val="dotted" w:sz="4" w:space="0" w:color="auto"/>
              <w:bottom w:val="dotted" w:sz="4" w:space="0" w:color="auto"/>
              <w:right w:val="dotted" w:sz="4" w:space="0" w:color="auto"/>
            </w:tcBorders>
            <w:vAlign w:val="bottom"/>
          </w:tcPr>
          <w:p w:rsidR="00353AB2" w:rsidRPr="00BF0050" w:rsidRDefault="00C7224C" w:rsidP="0019491B">
            <w:pPr>
              <w:spacing w:before="20" w:after="20" w:line="240" w:lineRule="auto"/>
              <w:ind w:firstLine="10"/>
              <w:jc w:val="center"/>
            </w:pPr>
            <w:r w:rsidRPr="00BF0050">
              <w:t>187</w:t>
            </w:r>
          </w:p>
        </w:tc>
        <w:tc>
          <w:tcPr>
            <w:tcW w:w="719" w:type="pct"/>
            <w:tcBorders>
              <w:top w:val="dotted" w:sz="4" w:space="0" w:color="auto"/>
              <w:left w:val="dotted" w:sz="4" w:space="0" w:color="auto"/>
              <w:bottom w:val="dotted" w:sz="4" w:space="0" w:color="auto"/>
              <w:right w:val="dotted" w:sz="4" w:space="0" w:color="auto"/>
            </w:tcBorders>
            <w:vAlign w:val="bottom"/>
          </w:tcPr>
          <w:p w:rsidR="00353AB2" w:rsidRPr="00BF0050" w:rsidRDefault="00C7224C" w:rsidP="002617AE">
            <w:pPr>
              <w:spacing w:before="20" w:after="20" w:line="240" w:lineRule="auto"/>
              <w:ind w:firstLine="10"/>
              <w:jc w:val="center"/>
            </w:pPr>
            <w:r w:rsidRPr="00BF0050">
              <w:t>196</w:t>
            </w:r>
          </w:p>
        </w:tc>
        <w:tc>
          <w:tcPr>
            <w:tcW w:w="736" w:type="pct"/>
            <w:tcBorders>
              <w:top w:val="dotted" w:sz="4" w:space="0" w:color="auto"/>
              <w:left w:val="dotted" w:sz="4" w:space="0" w:color="auto"/>
              <w:bottom w:val="dotted" w:sz="4" w:space="0" w:color="auto"/>
            </w:tcBorders>
            <w:vAlign w:val="bottom"/>
          </w:tcPr>
          <w:p w:rsidR="00353AB2" w:rsidRPr="00BF0050" w:rsidRDefault="00C7224C" w:rsidP="00F00EB9">
            <w:pPr>
              <w:spacing w:before="20" w:after="20" w:line="240" w:lineRule="auto"/>
              <w:ind w:firstLine="10"/>
              <w:jc w:val="center"/>
            </w:pPr>
            <w:r w:rsidRPr="00BF0050">
              <w:t>208</w:t>
            </w:r>
          </w:p>
        </w:tc>
      </w:tr>
      <w:tr w:rsidR="006961CB" w:rsidRPr="00BF0050" w:rsidTr="008A11BF">
        <w:trPr>
          <w:jc w:val="center"/>
        </w:trPr>
        <w:tc>
          <w:tcPr>
            <w:tcW w:w="1380" w:type="pct"/>
            <w:tcBorders>
              <w:top w:val="dotted" w:sz="4" w:space="0" w:color="auto"/>
              <w:bottom w:val="dotted" w:sz="4" w:space="0" w:color="auto"/>
            </w:tcBorders>
            <w:vAlign w:val="center"/>
          </w:tcPr>
          <w:p w:rsidR="006961CB" w:rsidRPr="00BF0050" w:rsidRDefault="006961CB" w:rsidP="006B75D7">
            <w:pPr>
              <w:spacing w:before="20" w:after="20" w:line="240" w:lineRule="auto"/>
              <w:ind w:firstLine="142"/>
              <w:jc w:val="center"/>
              <w:rPr>
                <w:bCs/>
              </w:rPr>
            </w:pPr>
            <w:r w:rsidRPr="00BF0050">
              <w:rPr>
                <w:bCs/>
              </w:rPr>
              <w:t>консервативный</w:t>
            </w:r>
          </w:p>
        </w:tc>
        <w:tc>
          <w:tcPr>
            <w:tcW w:w="717" w:type="pct"/>
            <w:vMerge/>
            <w:vAlign w:val="center"/>
          </w:tcPr>
          <w:p w:rsidR="006961CB" w:rsidRPr="00BF0050" w:rsidRDefault="006961CB" w:rsidP="00AF0233">
            <w:pPr>
              <w:spacing w:before="20" w:after="20" w:line="240" w:lineRule="auto"/>
              <w:jc w:val="center"/>
            </w:pPr>
          </w:p>
        </w:tc>
        <w:tc>
          <w:tcPr>
            <w:tcW w:w="719" w:type="pct"/>
            <w:tcBorders>
              <w:top w:val="dotted" w:sz="4" w:space="0" w:color="auto"/>
              <w:bottom w:val="dotted" w:sz="4" w:space="0" w:color="auto"/>
              <w:right w:val="dotted" w:sz="4" w:space="0" w:color="auto"/>
            </w:tcBorders>
            <w:vAlign w:val="bottom"/>
          </w:tcPr>
          <w:p w:rsidR="006961CB" w:rsidRPr="00BF0050" w:rsidRDefault="006961CB" w:rsidP="002617AE">
            <w:pPr>
              <w:spacing w:before="20" w:after="20" w:line="240" w:lineRule="auto"/>
              <w:ind w:firstLine="10"/>
              <w:jc w:val="center"/>
            </w:pPr>
            <w:r w:rsidRPr="00BF0050">
              <w:t>139</w:t>
            </w:r>
          </w:p>
        </w:tc>
        <w:tc>
          <w:tcPr>
            <w:tcW w:w="729" w:type="pct"/>
            <w:tcBorders>
              <w:top w:val="dotted" w:sz="4" w:space="0" w:color="auto"/>
              <w:left w:val="dotted" w:sz="4" w:space="0" w:color="auto"/>
              <w:bottom w:val="dotted" w:sz="4" w:space="0" w:color="auto"/>
              <w:right w:val="dotted" w:sz="4" w:space="0" w:color="auto"/>
            </w:tcBorders>
            <w:vAlign w:val="bottom"/>
          </w:tcPr>
          <w:p w:rsidR="006961CB" w:rsidRPr="00BF0050" w:rsidRDefault="006961CB" w:rsidP="002617AE">
            <w:pPr>
              <w:spacing w:before="20" w:after="20" w:line="240" w:lineRule="auto"/>
              <w:ind w:firstLine="10"/>
              <w:jc w:val="center"/>
            </w:pPr>
            <w:r w:rsidRPr="00BF0050">
              <w:t>146</w:t>
            </w:r>
          </w:p>
        </w:tc>
        <w:tc>
          <w:tcPr>
            <w:tcW w:w="719" w:type="pct"/>
            <w:tcBorders>
              <w:top w:val="dotted" w:sz="4" w:space="0" w:color="auto"/>
              <w:left w:val="dotted" w:sz="4" w:space="0" w:color="auto"/>
              <w:bottom w:val="dotted" w:sz="4" w:space="0" w:color="auto"/>
              <w:right w:val="dotted" w:sz="4" w:space="0" w:color="auto"/>
            </w:tcBorders>
            <w:vAlign w:val="bottom"/>
          </w:tcPr>
          <w:p w:rsidR="006961CB" w:rsidRPr="00BF0050" w:rsidRDefault="006961CB" w:rsidP="002617AE">
            <w:pPr>
              <w:spacing w:before="20" w:after="20" w:line="240" w:lineRule="auto"/>
              <w:ind w:firstLine="10"/>
              <w:jc w:val="center"/>
            </w:pPr>
            <w:r w:rsidRPr="00BF0050">
              <w:t>154</w:t>
            </w:r>
          </w:p>
        </w:tc>
        <w:tc>
          <w:tcPr>
            <w:tcW w:w="736" w:type="pct"/>
            <w:tcBorders>
              <w:top w:val="dotted" w:sz="4" w:space="0" w:color="auto"/>
              <w:left w:val="dotted" w:sz="4" w:space="0" w:color="auto"/>
              <w:bottom w:val="dotted" w:sz="4" w:space="0" w:color="auto"/>
            </w:tcBorders>
            <w:vAlign w:val="bottom"/>
          </w:tcPr>
          <w:p w:rsidR="006961CB" w:rsidRPr="00BF0050" w:rsidRDefault="006961CB" w:rsidP="002617AE">
            <w:pPr>
              <w:spacing w:before="20" w:after="20" w:line="240" w:lineRule="auto"/>
              <w:ind w:firstLine="10"/>
              <w:jc w:val="center"/>
            </w:pPr>
            <w:r w:rsidRPr="00BF0050">
              <w:t>150</w:t>
            </w:r>
          </w:p>
        </w:tc>
      </w:tr>
      <w:tr w:rsidR="00353AB2" w:rsidRPr="00BF0050" w:rsidTr="008A11BF">
        <w:trPr>
          <w:jc w:val="center"/>
        </w:trPr>
        <w:tc>
          <w:tcPr>
            <w:tcW w:w="1380" w:type="pct"/>
            <w:tcBorders>
              <w:top w:val="dotted" w:sz="4" w:space="0" w:color="auto"/>
              <w:bottom w:val="single" w:sz="4" w:space="0" w:color="auto"/>
            </w:tcBorders>
            <w:vAlign w:val="center"/>
          </w:tcPr>
          <w:p w:rsidR="00353AB2" w:rsidRPr="00BF0050" w:rsidRDefault="00353AB2" w:rsidP="006B75D7">
            <w:pPr>
              <w:spacing w:before="20" w:after="20" w:line="240" w:lineRule="auto"/>
              <w:ind w:firstLine="142"/>
              <w:jc w:val="center"/>
              <w:rPr>
                <w:bCs/>
              </w:rPr>
            </w:pPr>
            <w:r w:rsidRPr="00BF0050">
              <w:rPr>
                <w:bCs/>
              </w:rPr>
              <w:t>целевой</w:t>
            </w:r>
          </w:p>
        </w:tc>
        <w:tc>
          <w:tcPr>
            <w:tcW w:w="717" w:type="pct"/>
            <w:vMerge/>
            <w:tcBorders>
              <w:bottom w:val="single" w:sz="4" w:space="0" w:color="auto"/>
            </w:tcBorders>
          </w:tcPr>
          <w:p w:rsidR="00353AB2" w:rsidRPr="00BF0050" w:rsidRDefault="00353AB2" w:rsidP="00AF0233">
            <w:pPr>
              <w:spacing w:before="20" w:after="20" w:line="240" w:lineRule="auto"/>
              <w:jc w:val="center"/>
              <w:rPr>
                <w:b/>
                <w:bCs/>
                <w:color w:val="FF0000"/>
              </w:rPr>
            </w:pPr>
          </w:p>
        </w:tc>
        <w:tc>
          <w:tcPr>
            <w:tcW w:w="719" w:type="pct"/>
            <w:tcBorders>
              <w:top w:val="dotted" w:sz="4" w:space="0" w:color="auto"/>
              <w:bottom w:val="single" w:sz="4" w:space="0" w:color="auto"/>
              <w:right w:val="dotted" w:sz="4" w:space="0" w:color="auto"/>
            </w:tcBorders>
            <w:vAlign w:val="bottom"/>
          </w:tcPr>
          <w:p w:rsidR="00353AB2" w:rsidRPr="00BF0050" w:rsidRDefault="00C7224C" w:rsidP="00F00EB9">
            <w:pPr>
              <w:spacing w:before="20" w:after="20" w:line="240" w:lineRule="auto"/>
              <w:ind w:firstLine="10"/>
              <w:jc w:val="center"/>
            </w:pPr>
            <w:r w:rsidRPr="00BF0050">
              <w:t>180</w:t>
            </w:r>
          </w:p>
        </w:tc>
        <w:tc>
          <w:tcPr>
            <w:tcW w:w="729" w:type="pct"/>
            <w:tcBorders>
              <w:top w:val="dotted" w:sz="4" w:space="0" w:color="auto"/>
              <w:left w:val="dotted" w:sz="4" w:space="0" w:color="auto"/>
              <w:bottom w:val="single" w:sz="4" w:space="0" w:color="auto"/>
              <w:right w:val="dotted" w:sz="4" w:space="0" w:color="auto"/>
            </w:tcBorders>
            <w:vAlign w:val="bottom"/>
          </w:tcPr>
          <w:p w:rsidR="00353AB2" w:rsidRPr="00BF0050" w:rsidRDefault="00C7224C" w:rsidP="00AE7961">
            <w:pPr>
              <w:spacing w:before="20" w:after="20" w:line="240" w:lineRule="auto"/>
              <w:ind w:firstLine="10"/>
              <w:jc w:val="center"/>
            </w:pPr>
            <w:r w:rsidRPr="00BF0050">
              <w:t>186</w:t>
            </w:r>
          </w:p>
        </w:tc>
        <w:tc>
          <w:tcPr>
            <w:tcW w:w="719" w:type="pct"/>
            <w:tcBorders>
              <w:top w:val="dotted" w:sz="4" w:space="0" w:color="auto"/>
              <w:left w:val="dotted" w:sz="4" w:space="0" w:color="auto"/>
              <w:bottom w:val="single" w:sz="4" w:space="0" w:color="auto"/>
              <w:right w:val="dotted" w:sz="4" w:space="0" w:color="auto"/>
            </w:tcBorders>
            <w:vAlign w:val="bottom"/>
          </w:tcPr>
          <w:p w:rsidR="00353AB2" w:rsidRPr="00BF0050" w:rsidRDefault="00C7224C" w:rsidP="002617AE">
            <w:pPr>
              <w:spacing w:before="20" w:after="20" w:line="240" w:lineRule="auto"/>
              <w:ind w:firstLine="10"/>
              <w:jc w:val="center"/>
            </w:pPr>
            <w:r w:rsidRPr="00BF0050">
              <w:t>195</w:t>
            </w:r>
          </w:p>
        </w:tc>
        <w:tc>
          <w:tcPr>
            <w:tcW w:w="736" w:type="pct"/>
            <w:tcBorders>
              <w:top w:val="dotted" w:sz="4" w:space="0" w:color="auto"/>
              <w:left w:val="dotted" w:sz="4" w:space="0" w:color="auto"/>
              <w:bottom w:val="single" w:sz="4" w:space="0" w:color="auto"/>
            </w:tcBorders>
            <w:vAlign w:val="bottom"/>
          </w:tcPr>
          <w:p w:rsidR="00353AB2" w:rsidRPr="00BF0050" w:rsidRDefault="00C7224C" w:rsidP="00F00EB9">
            <w:pPr>
              <w:spacing w:before="20" w:after="20" w:line="240" w:lineRule="auto"/>
              <w:ind w:firstLine="10"/>
              <w:jc w:val="center"/>
            </w:pPr>
            <w:r w:rsidRPr="00BF0050">
              <w:t>212</w:t>
            </w:r>
          </w:p>
        </w:tc>
      </w:tr>
    </w:tbl>
    <w:p w:rsidR="00EB7B1D" w:rsidRPr="00BF0050" w:rsidRDefault="001E6AE7" w:rsidP="008E3EA0">
      <w:pPr>
        <w:pStyle w:val="1"/>
        <w:spacing w:after="240" w:line="360" w:lineRule="exact"/>
        <w:ind w:firstLine="0"/>
        <w:jc w:val="center"/>
        <w:rPr>
          <w:rFonts w:ascii="Times New Roman" w:hAnsi="Times New Roman"/>
          <w:color w:val="000000"/>
          <w:sz w:val="26"/>
          <w:szCs w:val="26"/>
        </w:rPr>
      </w:pPr>
      <w:bookmarkStart w:id="10" w:name="_Toc447812939"/>
      <w:bookmarkStart w:id="11" w:name="_Toc410314483"/>
      <w:r w:rsidRPr="00BF0050">
        <w:rPr>
          <w:rFonts w:ascii="Times New Roman" w:hAnsi="Times New Roman"/>
          <w:color w:val="000000"/>
          <w:sz w:val="26"/>
          <w:szCs w:val="26"/>
        </w:rPr>
        <w:lastRenderedPageBreak/>
        <w:t xml:space="preserve">2. </w:t>
      </w:r>
      <w:r w:rsidR="008E3EA0" w:rsidRPr="00BF0050">
        <w:rPr>
          <w:rFonts w:ascii="Times New Roman" w:hAnsi="Times New Roman"/>
          <w:color w:val="000000"/>
          <w:sz w:val="26"/>
          <w:szCs w:val="26"/>
        </w:rPr>
        <w:t xml:space="preserve"> </w:t>
      </w:r>
      <w:r w:rsidR="00EB7B1D" w:rsidRPr="00BF0050">
        <w:rPr>
          <w:rFonts w:ascii="Times New Roman" w:hAnsi="Times New Roman"/>
          <w:color w:val="000000"/>
          <w:sz w:val="26"/>
          <w:szCs w:val="26"/>
        </w:rPr>
        <w:t>Тенденции развития мировой экономики</w:t>
      </w:r>
      <w:bookmarkEnd w:id="10"/>
      <w:r w:rsidR="00EB7B1D" w:rsidRPr="00BF0050">
        <w:rPr>
          <w:rFonts w:ascii="Times New Roman" w:hAnsi="Times New Roman"/>
          <w:color w:val="000000"/>
          <w:sz w:val="26"/>
          <w:szCs w:val="26"/>
        </w:rPr>
        <w:t xml:space="preserve"> </w:t>
      </w:r>
      <w:r w:rsidRPr="00BF0050">
        <w:rPr>
          <w:rFonts w:ascii="Times New Roman" w:hAnsi="Times New Roman"/>
          <w:color w:val="000000"/>
          <w:sz w:val="26"/>
          <w:szCs w:val="26"/>
        </w:rPr>
        <w:t xml:space="preserve">                                                      </w:t>
      </w:r>
      <w:bookmarkEnd w:id="11"/>
    </w:p>
    <w:p w:rsidR="008E3C3F" w:rsidRPr="00BF0050" w:rsidRDefault="008E3C3F" w:rsidP="00403397">
      <w:pPr>
        <w:spacing w:before="0" w:after="0"/>
        <w:jc w:val="both"/>
        <w:rPr>
          <w:i/>
          <w:sz w:val="26"/>
          <w:szCs w:val="26"/>
        </w:rPr>
      </w:pPr>
      <w:r w:rsidRPr="00BF0050">
        <w:rPr>
          <w:i/>
          <w:sz w:val="26"/>
          <w:szCs w:val="26"/>
        </w:rPr>
        <w:t>Стабилизация экономической активности в условиях возросших рисков и снижения ожиданий среднесрочной динамики роста.</w:t>
      </w:r>
    </w:p>
    <w:p w:rsidR="00A30694" w:rsidRPr="00BF0050" w:rsidRDefault="008E3C3F" w:rsidP="00403397">
      <w:pPr>
        <w:spacing w:before="0" w:after="0"/>
        <w:jc w:val="both"/>
        <w:rPr>
          <w:sz w:val="26"/>
          <w:szCs w:val="26"/>
        </w:rPr>
      </w:pPr>
      <w:r w:rsidRPr="00BF0050">
        <w:rPr>
          <w:sz w:val="26"/>
          <w:szCs w:val="26"/>
        </w:rPr>
        <w:t>Ожидания перелома тенденции снижения темпов экономической динамики и</w:t>
      </w:r>
      <w:r w:rsidR="00830E86" w:rsidRPr="00BF0050">
        <w:rPr>
          <w:sz w:val="26"/>
          <w:szCs w:val="26"/>
        </w:rPr>
        <w:t> </w:t>
      </w:r>
      <w:r w:rsidRPr="00BF0050">
        <w:rPr>
          <w:sz w:val="26"/>
          <w:szCs w:val="26"/>
        </w:rPr>
        <w:t>возврат</w:t>
      </w:r>
      <w:r w:rsidR="005D7865" w:rsidRPr="00BF0050">
        <w:rPr>
          <w:sz w:val="26"/>
          <w:szCs w:val="26"/>
        </w:rPr>
        <w:t>а</w:t>
      </w:r>
      <w:r w:rsidRPr="00BF0050">
        <w:rPr>
          <w:sz w:val="26"/>
          <w:szCs w:val="26"/>
        </w:rPr>
        <w:t xml:space="preserve"> к докризисной траектории роста мировой экономики переносятся на более отдаленную перспективу. После посткризисного восстановления </w:t>
      </w:r>
      <w:r w:rsidR="00170352" w:rsidRPr="00BF0050">
        <w:rPr>
          <w:sz w:val="26"/>
          <w:szCs w:val="26"/>
        </w:rPr>
        <w:t xml:space="preserve">в </w:t>
      </w:r>
      <w:r w:rsidRPr="00BF0050">
        <w:rPr>
          <w:sz w:val="26"/>
          <w:szCs w:val="26"/>
        </w:rPr>
        <w:t xml:space="preserve">2010 </w:t>
      </w:r>
      <w:r w:rsidR="00170352" w:rsidRPr="00BF0050">
        <w:rPr>
          <w:sz w:val="26"/>
          <w:szCs w:val="26"/>
        </w:rPr>
        <w:t xml:space="preserve">году </w:t>
      </w:r>
      <w:r w:rsidR="005D7865" w:rsidRPr="00BF0050">
        <w:rPr>
          <w:sz w:val="26"/>
          <w:szCs w:val="26"/>
        </w:rPr>
        <w:t xml:space="preserve">со среднегодовым </w:t>
      </w:r>
      <w:r w:rsidRPr="00BF0050">
        <w:rPr>
          <w:sz w:val="26"/>
          <w:szCs w:val="26"/>
        </w:rPr>
        <w:t xml:space="preserve">темпом 5,4 % мировая экономика на протяжении пятилетнего периода закрепилась на нисходящей траектории. </w:t>
      </w:r>
      <w:proofErr w:type="gramStart"/>
      <w:r w:rsidRPr="00BF0050">
        <w:rPr>
          <w:sz w:val="26"/>
          <w:szCs w:val="26"/>
        </w:rPr>
        <w:t>В 2015 году рост составил 3,1 % при небольшом ускорении динамики развитых стран</w:t>
      </w:r>
      <w:r w:rsidR="005E50D8" w:rsidRPr="00BF0050">
        <w:rPr>
          <w:sz w:val="26"/>
          <w:szCs w:val="26"/>
        </w:rPr>
        <w:t xml:space="preserve"> –</w:t>
      </w:r>
      <w:r w:rsidRPr="00BF0050">
        <w:rPr>
          <w:sz w:val="26"/>
          <w:szCs w:val="26"/>
        </w:rPr>
        <w:t xml:space="preserve"> с 1,8 % в 2014 году до 1,9 % в 2015 году </w:t>
      </w:r>
      <w:r w:rsidR="005E50D8" w:rsidRPr="00BF0050">
        <w:rPr>
          <w:sz w:val="26"/>
          <w:szCs w:val="26"/>
        </w:rPr>
        <w:t>и </w:t>
      </w:r>
      <w:r w:rsidRPr="00BF0050">
        <w:rPr>
          <w:sz w:val="26"/>
          <w:szCs w:val="26"/>
        </w:rPr>
        <w:t xml:space="preserve">существенном замедлении развивающихся экономик </w:t>
      </w:r>
      <w:r w:rsidR="005E50D8" w:rsidRPr="00BF0050">
        <w:rPr>
          <w:sz w:val="26"/>
          <w:szCs w:val="26"/>
        </w:rPr>
        <w:t xml:space="preserve">– </w:t>
      </w:r>
      <w:r w:rsidRPr="00BF0050">
        <w:rPr>
          <w:sz w:val="26"/>
          <w:szCs w:val="26"/>
        </w:rPr>
        <w:t>с 4,6  до 4,0 процент</w:t>
      </w:r>
      <w:r w:rsidR="00E55C50" w:rsidRPr="00BF0050">
        <w:rPr>
          <w:sz w:val="26"/>
          <w:szCs w:val="26"/>
        </w:rPr>
        <w:t>а</w:t>
      </w:r>
      <w:r w:rsidRPr="00BF0050">
        <w:rPr>
          <w:sz w:val="26"/>
          <w:szCs w:val="26"/>
        </w:rPr>
        <w:t>.</w:t>
      </w:r>
      <w:proofErr w:type="gramEnd"/>
      <w:r w:rsidRPr="00BF0050">
        <w:rPr>
          <w:sz w:val="26"/>
          <w:szCs w:val="26"/>
        </w:rPr>
        <w:t xml:space="preserve"> </w:t>
      </w:r>
      <w:r w:rsidR="00E55C50" w:rsidRPr="00BF0050">
        <w:rPr>
          <w:sz w:val="26"/>
          <w:szCs w:val="26"/>
        </w:rPr>
        <w:t>В</w:t>
      </w:r>
      <w:r w:rsidRPr="00BF0050">
        <w:rPr>
          <w:sz w:val="26"/>
          <w:szCs w:val="26"/>
        </w:rPr>
        <w:t xml:space="preserve">клад </w:t>
      </w:r>
      <w:r w:rsidR="00F27275" w:rsidRPr="00BF0050">
        <w:rPr>
          <w:sz w:val="26"/>
          <w:szCs w:val="26"/>
        </w:rPr>
        <w:t>в </w:t>
      </w:r>
      <w:r w:rsidRPr="00BF0050">
        <w:rPr>
          <w:sz w:val="26"/>
          <w:szCs w:val="26"/>
        </w:rPr>
        <w:t xml:space="preserve">прирост </w:t>
      </w:r>
      <w:r w:rsidR="00E55C50" w:rsidRPr="00BF0050">
        <w:rPr>
          <w:sz w:val="26"/>
          <w:szCs w:val="26"/>
        </w:rPr>
        <w:t xml:space="preserve">мирового выпуска </w:t>
      </w:r>
      <w:r w:rsidRPr="00BF0050">
        <w:rPr>
          <w:sz w:val="26"/>
          <w:szCs w:val="26"/>
        </w:rPr>
        <w:t>развитых экономик в 2016 году возрастет до 1 п. п., развивающихся</w:t>
      </w:r>
      <w:r w:rsidR="00A30694" w:rsidRPr="00BF0050">
        <w:rPr>
          <w:sz w:val="26"/>
          <w:szCs w:val="26"/>
        </w:rPr>
        <w:t xml:space="preserve"> несколько уменьш</w:t>
      </w:r>
      <w:r w:rsidR="00E62785" w:rsidRPr="00BF0050">
        <w:rPr>
          <w:sz w:val="26"/>
          <w:szCs w:val="26"/>
        </w:rPr>
        <w:t>и</w:t>
      </w:r>
      <w:r w:rsidR="00A30694" w:rsidRPr="00BF0050">
        <w:rPr>
          <w:sz w:val="26"/>
          <w:szCs w:val="26"/>
        </w:rPr>
        <w:t>тся – до 2,</w:t>
      </w:r>
      <w:r w:rsidR="00343227" w:rsidRPr="00BF0050">
        <w:rPr>
          <w:sz w:val="26"/>
          <w:szCs w:val="26"/>
        </w:rPr>
        <w:t>2 </w:t>
      </w:r>
      <w:r w:rsidR="00A30694" w:rsidRPr="00BF0050">
        <w:rPr>
          <w:sz w:val="26"/>
          <w:szCs w:val="26"/>
        </w:rPr>
        <w:t>п.</w:t>
      </w:r>
      <w:r w:rsidR="005E50D8" w:rsidRPr="00BF0050">
        <w:rPr>
          <w:sz w:val="26"/>
          <w:szCs w:val="26"/>
        </w:rPr>
        <w:t> </w:t>
      </w:r>
      <w:r w:rsidR="00CD0486" w:rsidRPr="00BF0050">
        <w:rPr>
          <w:sz w:val="26"/>
          <w:szCs w:val="26"/>
        </w:rPr>
        <w:t>п.</w:t>
      </w:r>
      <w:r w:rsidR="00A30694" w:rsidRPr="00BF0050">
        <w:rPr>
          <w:sz w:val="26"/>
          <w:szCs w:val="26"/>
        </w:rPr>
        <w:t xml:space="preserve">, но будет оставаться определяющим (около 2/3 </w:t>
      </w:r>
      <w:r w:rsidR="00E62785" w:rsidRPr="00BF0050">
        <w:rPr>
          <w:sz w:val="26"/>
          <w:szCs w:val="26"/>
        </w:rPr>
        <w:t>при</w:t>
      </w:r>
      <w:r w:rsidR="00A30694" w:rsidRPr="00BF0050">
        <w:rPr>
          <w:sz w:val="26"/>
          <w:szCs w:val="26"/>
        </w:rPr>
        <w:t>роста мировой экономики).</w:t>
      </w:r>
    </w:p>
    <w:p w:rsidR="008E3C3F" w:rsidRPr="00BF0050" w:rsidRDefault="00A30694" w:rsidP="00403397">
      <w:pPr>
        <w:spacing w:before="0" w:after="0"/>
        <w:jc w:val="both"/>
        <w:rPr>
          <w:sz w:val="26"/>
          <w:szCs w:val="26"/>
        </w:rPr>
      </w:pPr>
      <w:r w:rsidRPr="00BF0050">
        <w:rPr>
          <w:sz w:val="26"/>
          <w:szCs w:val="26"/>
        </w:rPr>
        <w:t xml:space="preserve"> </w:t>
      </w:r>
      <w:r w:rsidR="008E3C3F" w:rsidRPr="00BF0050">
        <w:rPr>
          <w:sz w:val="26"/>
          <w:szCs w:val="26"/>
        </w:rPr>
        <w:t xml:space="preserve">До 2019 года сохраняется вероятность ускорения динамики мирового выпуска. Эта возможность превышает вероятность продолжения тенденции снижения темпов. Однако рост мировой экономики за 2015 – 2019 гг. не восстановится до докризисных </w:t>
      </w:r>
      <w:r w:rsidR="00202BB8" w:rsidRPr="00BF0050">
        <w:rPr>
          <w:sz w:val="26"/>
          <w:szCs w:val="26"/>
        </w:rPr>
        <w:t>значений</w:t>
      </w:r>
      <w:r w:rsidR="008E3C3F" w:rsidRPr="00BF0050">
        <w:rPr>
          <w:sz w:val="26"/>
          <w:szCs w:val="26"/>
        </w:rPr>
        <w:t>, а</w:t>
      </w:r>
      <w:r w:rsidR="00830E86" w:rsidRPr="00BF0050">
        <w:rPr>
          <w:sz w:val="26"/>
          <w:szCs w:val="26"/>
        </w:rPr>
        <w:t> </w:t>
      </w:r>
      <w:r w:rsidR="008E3C3F" w:rsidRPr="00BF0050">
        <w:rPr>
          <w:sz w:val="26"/>
          <w:szCs w:val="26"/>
        </w:rPr>
        <w:t>закрепится на среднегодовом уровне 3,4 % по паритету покупательной способности, что заметно ниже среднегодовой динамики в последний десятилетний период, приближавшейся к 5</w:t>
      </w:r>
      <w:r w:rsidR="00202BB8" w:rsidRPr="00BF0050">
        <w:rPr>
          <w:sz w:val="26"/>
          <w:szCs w:val="26"/>
        </w:rPr>
        <w:t>-процент</w:t>
      </w:r>
      <w:r w:rsidR="008E3C3F" w:rsidRPr="00BF0050">
        <w:rPr>
          <w:sz w:val="26"/>
          <w:szCs w:val="26"/>
        </w:rPr>
        <w:t xml:space="preserve">ной траектории роста. Динамика мировой экономики по рыночным обменным курсам, отражая тенденцию масштабной девальвации валют развивающихся стран к резервной валюте, </w:t>
      </w:r>
      <w:r w:rsidR="00202BB8" w:rsidRPr="00BF0050">
        <w:rPr>
          <w:sz w:val="26"/>
          <w:szCs w:val="26"/>
        </w:rPr>
        <w:t xml:space="preserve">в 2015 году </w:t>
      </w:r>
      <w:r w:rsidR="008E3C3F" w:rsidRPr="00BF0050">
        <w:rPr>
          <w:sz w:val="26"/>
          <w:szCs w:val="26"/>
        </w:rPr>
        <w:t xml:space="preserve">была заметно ниже – 2,4 % по сравнению с 3,1 % по паритету покупательной способности. </w:t>
      </w:r>
      <w:r w:rsidR="00CD0486" w:rsidRPr="00BF0050">
        <w:rPr>
          <w:sz w:val="26"/>
          <w:szCs w:val="26"/>
        </w:rPr>
        <w:t xml:space="preserve">В </w:t>
      </w:r>
      <w:r w:rsidR="008E3C3F" w:rsidRPr="00BF0050">
        <w:rPr>
          <w:sz w:val="26"/>
          <w:szCs w:val="26"/>
        </w:rPr>
        <w:t>2015</w:t>
      </w:r>
      <w:r w:rsidR="00245BD8" w:rsidRPr="00BF0050">
        <w:rPr>
          <w:sz w:val="26"/>
          <w:szCs w:val="26"/>
        </w:rPr>
        <w:t> </w:t>
      </w:r>
      <w:r w:rsidR="008E3C3F" w:rsidRPr="00BF0050">
        <w:rPr>
          <w:sz w:val="26"/>
          <w:szCs w:val="26"/>
        </w:rPr>
        <w:t>–</w:t>
      </w:r>
      <w:r w:rsidR="00245BD8" w:rsidRPr="00BF0050">
        <w:rPr>
          <w:sz w:val="26"/>
          <w:szCs w:val="26"/>
        </w:rPr>
        <w:t> </w:t>
      </w:r>
      <w:r w:rsidR="008E3C3F" w:rsidRPr="00BF0050">
        <w:rPr>
          <w:sz w:val="26"/>
          <w:szCs w:val="26"/>
        </w:rPr>
        <w:t xml:space="preserve">2019 гг. среднегодовой рост мировой экономики по рыночным обменным курсам будет </w:t>
      </w:r>
      <w:r w:rsidR="005E50D8" w:rsidRPr="00BF0050">
        <w:rPr>
          <w:sz w:val="26"/>
          <w:szCs w:val="26"/>
        </w:rPr>
        <w:t xml:space="preserve">находиться </w:t>
      </w:r>
      <w:r w:rsidR="008E3C3F" w:rsidRPr="00BF0050">
        <w:rPr>
          <w:sz w:val="26"/>
          <w:szCs w:val="26"/>
        </w:rPr>
        <w:t>на уровне 2,5 процента.</w:t>
      </w:r>
    </w:p>
    <w:p w:rsidR="008E3C3F" w:rsidRPr="00BF0050" w:rsidRDefault="008E3C3F" w:rsidP="00403397">
      <w:pPr>
        <w:spacing w:before="0" w:after="0"/>
        <w:jc w:val="both"/>
        <w:rPr>
          <w:sz w:val="26"/>
          <w:szCs w:val="26"/>
        </w:rPr>
      </w:pPr>
      <w:r w:rsidRPr="00BF0050">
        <w:rPr>
          <w:sz w:val="26"/>
          <w:szCs w:val="26"/>
        </w:rPr>
        <w:t>В среднесрочн</w:t>
      </w:r>
      <w:r w:rsidR="00202BB8" w:rsidRPr="00BF0050">
        <w:rPr>
          <w:sz w:val="26"/>
          <w:szCs w:val="26"/>
        </w:rPr>
        <w:t>ый</w:t>
      </w:r>
      <w:r w:rsidRPr="00BF0050">
        <w:rPr>
          <w:sz w:val="26"/>
          <w:szCs w:val="26"/>
        </w:rPr>
        <w:t xml:space="preserve"> период сохранится риск консервации низкого потенциального роста объемов мирового выпуска как в развивающихся, так и в развитых странах. </w:t>
      </w:r>
      <w:r w:rsidR="00F27275" w:rsidRPr="00BF0050">
        <w:rPr>
          <w:sz w:val="26"/>
          <w:szCs w:val="26"/>
        </w:rPr>
        <w:t>В </w:t>
      </w:r>
      <w:r w:rsidRPr="00BF0050">
        <w:rPr>
          <w:sz w:val="26"/>
          <w:szCs w:val="26"/>
        </w:rPr>
        <w:t>условиях варианта реализации рисков более сильного торможения развивающихся стран и дестабилизации роста развитых</w:t>
      </w:r>
      <w:r w:rsidR="00CD0486" w:rsidRPr="00BF0050">
        <w:rPr>
          <w:sz w:val="26"/>
          <w:szCs w:val="26"/>
        </w:rPr>
        <w:t xml:space="preserve"> стран</w:t>
      </w:r>
      <w:r w:rsidRPr="00BF0050">
        <w:rPr>
          <w:sz w:val="26"/>
          <w:szCs w:val="26"/>
        </w:rPr>
        <w:t xml:space="preserve"> в мировой экономике усилятся признаки замедления </w:t>
      </w:r>
      <w:proofErr w:type="gramStart"/>
      <w:r w:rsidRPr="00BF0050">
        <w:rPr>
          <w:sz w:val="26"/>
          <w:szCs w:val="26"/>
        </w:rPr>
        <w:t>спроса</w:t>
      </w:r>
      <w:proofErr w:type="gramEnd"/>
      <w:r w:rsidRPr="00BF0050">
        <w:rPr>
          <w:sz w:val="26"/>
          <w:szCs w:val="26"/>
        </w:rPr>
        <w:t xml:space="preserve"> и ускорится падение стоимости ресурсных активов. </w:t>
      </w:r>
    </w:p>
    <w:p w:rsidR="008E3C3F" w:rsidRPr="00BF0050" w:rsidRDefault="008E3C3F" w:rsidP="00403397">
      <w:pPr>
        <w:spacing w:before="0" w:after="0"/>
        <w:jc w:val="both"/>
        <w:rPr>
          <w:sz w:val="26"/>
          <w:szCs w:val="26"/>
        </w:rPr>
      </w:pPr>
      <w:r w:rsidRPr="00BF0050">
        <w:rPr>
          <w:sz w:val="26"/>
          <w:szCs w:val="26"/>
        </w:rPr>
        <w:t xml:space="preserve">Факторы снижения темпов прироста населения и более </w:t>
      </w:r>
      <w:r w:rsidR="003504ED" w:rsidRPr="00BF0050">
        <w:rPr>
          <w:sz w:val="26"/>
          <w:szCs w:val="26"/>
        </w:rPr>
        <w:t xml:space="preserve">сдержанного наращивания </w:t>
      </w:r>
      <w:r w:rsidRPr="00BF0050">
        <w:rPr>
          <w:sz w:val="26"/>
          <w:szCs w:val="26"/>
        </w:rPr>
        <w:t xml:space="preserve">технологического уровня производительности, а также </w:t>
      </w:r>
      <w:r w:rsidR="003504ED" w:rsidRPr="00BF0050">
        <w:rPr>
          <w:sz w:val="26"/>
          <w:szCs w:val="26"/>
        </w:rPr>
        <w:t xml:space="preserve">замедления </w:t>
      </w:r>
      <w:r w:rsidRPr="00BF0050">
        <w:rPr>
          <w:sz w:val="26"/>
          <w:szCs w:val="26"/>
        </w:rPr>
        <w:t xml:space="preserve">роста на развивающихся рынках – Бразилии, России, ЮАР и особенно Китая, </w:t>
      </w:r>
      <w:r w:rsidR="003504ED" w:rsidRPr="00BF0050">
        <w:rPr>
          <w:sz w:val="26"/>
          <w:szCs w:val="26"/>
        </w:rPr>
        <w:t xml:space="preserve">вызванного </w:t>
      </w:r>
      <w:r w:rsidRPr="00BF0050">
        <w:rPr>
          <w:sz w:val="26"/>
          <w:szCs w:val="26"/>
        </w:rPr>
        <w:t xml:space="preserve">сокращением избыточных производственных мощностей, давлением долгового бремени ключевых секторов, спадом секторов недвижимости и фондового рынка, проявятся более сильно, чем в базовом варианте. </w:t>
      </w:r>
    </w:p>
    <w:p w:rsidR="008E3C3F" w:rsidRPr="00BF0050" w:rsidRDefault="008E3C3F" w:rsidP="00403397">
      <w:pPr>
        <w:spacing w:before="0" w:after="0"/>
        <w:jc w:val="both"/>
        <w:rPr>
          <w:sz w:val="26"/>
          <w:szCs w:val="26"/>
        </w:rPr>
      </w:pPr>
      <w:r w:rsidRPr="00BF0050">
        <w:rPr>
          <w:sz w:val="26"/>
          <w:szCs w:val="26"/>
        </w:rPr>
        <w:t>Вероятность паузы в восходящей динамике мирового выпуска может быть выше в</w:t>
      </w:r>
      <w:r w:rsidR="00202BB8" w:rsidRPr="00BF0050">
        <w:rPr>
          <w:sz w:val="26"/>
          <w:szCs w:val="26"/>
        </w:rPr>
        <w:t> </w:t>
      </w:r>
      <w:r w:rsidRPr="00BF0050">
        <w:rPr>
          <w:sz w:val="26"/>
          <w:szCs w:val="26"/>
        </w:rPr>
        <w:t>условиях реверсивного движения глобальных потоков инвестиционных ресурсов под влиянием постепенного роста базовой ставки Федерального Резерва США, снижения эффективности отрицательных ставок ЕЦБ</w:t>
      </w:r>
      <w:r w:rsidR="00F27275" w:rsidRPr="00BF0050">
        <w:rPr>
          <w:sz w:val="26"/>
          <w:szCs w:val="26"/>
        </w:rPr>
        <w:t xml:space="preserve"> и</w:t>
      </w:r>
      <w:r w:rsidRPr="00BF0050">
        <w:rPr>
          <w:sz w:val="26"/>
          <w:szCs w:val="26"/>
        </w:rPr>
        <w:t xml:space="preserve"> Банка Японии. Длительный период низких </w:t>
      </w:r>
      <w:r w:rsidRPr="00BF0050">
        <w:rPr>
          <w:sz w:val="26"/>
          <w:szCs w:val="26"/>
        </w:rPr>
        <w:lastRenderedPageBreak/>
        <w:t>и</w:t>
      </w:r>
      <w:r w:rsidR="00202BB8" w:rsidRPr="00BF0050">
        <w:rPr>
          <w:sz w:val="26"/>
          <w:szCs w:val="26"/>
        </w:rPr>
        <w:t> </w:t>
      </w:r>
      <w:r w:rsidRPr="00BF0050">
        <w:rPr>
          <w:sz w:val="26"/>
          <w:szCs w:val="26"/>
        </w:rPr>
        <w:t xml:space="preserve">отрицательных ставок в сочетании с другими мерами покупки активов </w:t>
      </w:r>
      <w:r w:rsidR="00245BD8" w:rsidRPr="00BF0050">
        <w:rPr>
          <w:sz w:val="26"/>
          <w:szCs w:val="26"/>
        </w:rPr>
        <w:t xml:space="preserve">повышает </w:t>
      </w:r>
      <w:r w:rsidRPr="00BF0050">
        <w:rPr>
          <w:sz w:val="26"/>
          <w:szCs w:val="26"/>
        </w:rPr>
        <w:t xml:space="preserve">риски вынужденной жесткой консолидации балансов крупнейших финансовых регуляторов. </w:t>
      </w:r>
    </w:p>
    <w:p w:rsidR="008E3C3F" w:rsidRPr="00BF0050" w:rsidRDefault="008E3C3F" w:rsidP="00403397">
      <w:pPr>
        <w:spacing w:before="0" w:after="0"/>
        <w:jc w:val="both"/>
        <w:rPr>
          <w:sz w:val="26"/>
          <w:szCs w:val="26"/>
        </w:rPr>
      </w:pPr>
      <w:r w:rsidRPr="00BF0050">
        <w:rPr>
          <w:sz w:val="26"/>
          <w:szCs w:val="26"/>
        </w:rPr>
        <w:t xml:space="preserve">Оживление глобальной экономической активности инвесторов сдерживается давлением риска устойчивости экономики Китая </w:t>
      </w:r>
      <w:proofErr w:type="gramStart"/>
      <w:r w:rsidRPr="00BF0050">
        <w:rPr>
          <w:sz w:val="26"/>
          <w:szCs w:val="26"/>
        </w:rPr>
        <w:t>при переходе от внешних источников роста за счет наращивания экспортных производств к модели роста за счет</w:t>
      </w:r>
      <w:proofErr w:type="gramEnd"/>
      <w:r w:rsidRPr="00BF0050">
        <w:rPr>
          <w:sz w:val="26"/>
          <w:szCs w:val="26"/>
        </w:rPr>
        <w:t xml:space="preserve"> активизации внутренних источников – развития инфраструктуры, внутреннего потребления и сферы услуг.</w:t>
      </w:r>
    </w:p>
    <w:p w:rsidR="00CA4585" w:rsidRPr="00BF0050" w:rsidRDefault="00C94BBA" w:rsidP="00403397">
      <w:pPr>
        <w:spacing w:before="0" w:after="0"/>
        <w:jc w:val="both"/>
        <w:rPr>
          <w:sz w:val="26"/>
          <w:szCs w:val="26"/>
        </w:rPr>
      </w:pPr>
      <w:r w:rsidRPr="00BF0050">
        <w:rPr>
          <w:noProof/>
          <w:sz w:val="26"/>
          <w:szCs w:val="26"/>
        </w:rPr>
        <w:drawing>
          <wp:anchor distT="0" distB="0" distL="114300" distR="114300" simplePos="0" relativeHeight="251671552" behindDoc="1" locked="0" layoutInCell="1" allowOverlap="1" wp14:anchorId="2B82DB9C" wp14:editId="562FB880">
            <wp:simplePos x="0" y="0"/>
            <wp:positionH relativeFrom="column">
              <wp:posOffset>3519805</wp:posOffset>
            </wp:positionH>
            <wp:positionV relativeFrom="paragraph">
              <wp:posOffset>193040</wp:posOffset>
            </wp:positionV>
            <wp:extent cx="2978785" cy="2459355"/>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785" cy="24593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E3C3F" w:rsidRPr="00BF0050">
        <w:rPr>
          <w:sz w:val="26"/>
          <w:szCs w:val="26"/>
        </w:rPr>
        <w:t xml:space="preserve">К 2019 году динамика мировой экономики, в условиях реализации </w:t>
      </w:r>
      <w:proofErr w:type="spellStart"/>
      <w:r w:rsidR="008E3C3F" w:rsidRPr="00BF0050">
        <w:rPr>
          <w:sz w:val="26"/>
          <w:szCs w:val="26"/>
        </w:rPr>
        <w:t>безрискового</w:t>
      </w:r>
      <w:proofErr w:type="spellEnd"/>
      <w:r w:rsidR="008E3C3F" w:rsidRPr="00BF0050">
        <w:rPr>
          <w:sz w:val="26"/>
          <w:szCs w:val="26"/>
        </w:rPr>
        <w:t xml:space="preserve"> варианта</w:t>
      </w:r>
      <w:r w:rsidR="00202BB8" w:rsidRPr="00BF0050">
        <w:rPr>
          <w:sz w:val="26"/>
          <w:szCs w:val="26"/>
        </w:rPr>
        <w:t xml:space="preserve"> с</w:t>
      </w:r>
      <w:r w:rsidR="008E3C3F" w:rsidRPr="00BF0050">
        <w:rPr>
          <w:sz w:val="26"/>
          <w:szCs w:val="26"/>
        </w:rPr>
        <w:t xml:space="preserve"> использовани</w:t>
      </w:r>
      <w:r w:rsidR="00202BB8" w:rsidRPr="00BF0050">
        <w:rPr>
          <w:sz w:val="26"/>
          <w:szCs w:val="26"/>
        </w:rPr>
        <w:t>ем</w:t>
      </w:r>
      <w:r w:rsidR="008E3C3F" w:rsidRPr="00BF0050">
        <w:rPr>
          <w:sz w:val="26"/>
          <w:szCs w:val="26"/>
        </w:rPr>
        <w:t xml:space="preserve"> благоприятных факторов низких цен на ресурсы, включая углеводороды, рост</w:t>
      </w:r>
      <w:r w:rsidR="00202BB8" w:rsidRPr="00BF0050">
        <w:rPr>
          <w:sz w:val="26"/>
          <w:szCs w:val="26"/>
        </w:rPr>
        <w:t>а</w:t>
      </w:r>
      <w:r w:rsidR="008E3C3F" w:rsidRPr="00BF0050">
        <w:rPr>
          <w:sz w:val="26"/>
          <w:szCs w:val="26"/>
        </w:rPr>
        <w:t xml:space="preserve"> производительности т</w:t>
      </w:r>
      <w:r w:rsidR="00830E86" w:rsidRPr="00BF0050">
        <w:rPr>
          <w:sz w:val="26"/>
          <w:szCs w:val="26"/>
        </w:rPr>
        <w:t>р</w:t>
      </w:r>
      <w:r w:rsidR="008E3C3F" w:rsidRPr="00BF0050">
        <w:rPr>
          <w:sz w:val="26"/>
          <w:szCs w:val="26"/>
        </w:rPr>
        <w:t>уда, ускорени</w:t>
      </w:r>
      <w:r w:rsidR="00202BB8" w:rsidRPr="00BF0050">
        <w:rPr>
          <w:sz w:val="26"/>
          <w:szCs w:val="26"/>
        </w:rPr>
        <w:t>я</w:t>
      </w:r>
      <w:r w:rsidR="008E3C3F" w:rsidRPr="00BF0050">
        <w:rPr>
          <w:sz w:val="26"/>
          <w:szCs w:val="26"/>
        </w:rPr>
        <w:t xml:space="preserve"> роста </w:t>
      </w:r>
      <w:r w:rsidR="00F27275" w:rsidRPr="00BF0050">
        <w:rPr>
          <w:sz w:val="26"/>
          <w:szCs w:val="26"/>
        </w:rPr>
        <w:t>в </w:t>
      </w:r>
      <w:r w:rsidR="008E3C3F" w:rsidRPr="00BF0050">
        <w:rPr>
          <w:sz w:val="26"/>
          <w:szCs w:val="26"/>
        </w:rPr>
        <w:t>европейских экономиках, устойчив</w:t>
      </w:r>
      <w:r w:rsidR="00202BB8" w:rsidRPr="00BF0050">
        <w:rPr>
          <w:sz w:val="26"/>
          <w:szCs w:val="26"/>
        </w:rPr>
        <w:t>ого</w:t>
      </w:r>
      <w:r w:rsidR="008E3C3F" w:rsidRPr="00BF0050">
        <w:rPr>
          <w:sz w:val="26"/>
          <w:szCs w:val="26"/>
        </w:rPr>
        <w:t xml:space="preserve"> рост</w:t>
      </w:r>
      <w:r w:rsidR="00202BB8" w:rsidRPr="00BF0050">
        <w:rPr>
          <w:sz w:val="26"/>
          <w:szCs w:val="26"/>
        </w:rPr>
        <w:t>а</w:t>
      </w:r>
      <w:r w:rsidR="008E3C3F" w:rsidRPr="00BF0050">
        <w:rPr>
          <w:sz w:val="26"/>
          <w:szCs w:val="26"/>
        </w:rPr>
        <w:t xml:space="preserve"> экономики США, </w:t>
      </w:r>
      <w:r w:rsidR="002D1929" w:rsidRPr="00BF0050">
        <w:rPr>
          <w:sz w:val="26"/>
          <w:szCs w:val="26"/>
        </w:rPr>
        <w:t xml:space="preserve">а также </w:t>
      </w:r>
      <w:r w:rsidR="008E3C3F" w:rsidRPr="00BF0050">
        <w:rPr>
          <w:sz w:val="26"/>
          <w:szCs w:val="26"/>
        </w:rPr>
        <w:t>последующе</w:t>
      </w:r>
      <w:r w:rsidR="00202BB8" w:rsidRPr="00BF0050">
        <w:rPr>
          <w:sz w:val="26"/>
          <w:szCs w:val="26"/>
        </w:rPr>
        <w:t>го</w:t>
      </w:r>
      <w:r w:rsidR="008E3C3F" w:rsidRPr="00BF0050">
        <w:rPr>
          <w:sz w:val="26"/>
          <w:szCs w:val="26"/>
        </w:rPr>
        <w:t xml:space="preserve"> увеличени</w:t>
      </w:r>
      <w:r w:rsidR="00202BB8" w:rsidRPr="00BF0050">
        <w:rPr>
          <w:sz w:val="26"/>
          <w:szCs w:val="26"/>
        </w:rPr>
        <w:t>я</w:t>
      </w:r>
      <w:r w:rsidR="008E3C3F" w:rsidRPr="00BF0050">
        <w:rPr>
          <w:sz w:val="26"/>
          <w:szCs w:val="26"/>
        </w:rPr>
        <w:t xml:space="preserve"> темпов роста развивающихся стран, включая стабилизацию экономики Бразилии </w:t>
      </w:r>
      <w:r w:rsidR="002D1929" w:rsidRPr="00BF0050">
        <w:rPr>
          <w:sz w:val="26"/>
          <w:szCs w:val="26"/>
        </w:rPr>
        <w:t>и </w:t>
      </w:r>
      <w:r w:rsidR="008E3C3F" w:rsidRPr="00BF0050">
        <w:rPr>
          <w:sz w:val="26"/>
          <w:szCs w:val="26"/>
        </w:rPr>
        <w:t xml:space="preserve">быстрый рост экономики Индии, </w:t>
      </w:r>
      <w:r w:rsidR="002D1929" w:rsidRPr="00BF0050">
        <w:rPr>
          <w:sz w:val="26"/>
          <w:szCs w:val="26"/>
        </w:rPr>
        <w:t>ускорится до 3,4 процента</w:t>
      </w:r>
      <w:r w:rsidR="008E3C3F" w:rsidRPr="00BF0050">
        <w:rPr>
          <w:sz w:val="26"/>
          <w:szCs w:val="26"/>
        </w:rPr>
        <w:t>.</w:t>
      </w:r>
      <w:proofErr w:type="gramEnd"/>
    </w:p>
    <w:p w:rsidR="00BA6868" w:rsidRPr="00BF0050" w:rsidRDefault="00BA6868" w:rsidP="009251A6">
      <w:pPr>
        <w:spacing w:before="0" w:after="0"/>
        <w:jc w:val="both"/>
        <w:rPr>
          <w:sz w:val="26"/>
          <w:szCs w:val="26"/>
        </w:rPr>
      </w:pPr>
      <w:r w:rsidRPr="00BF0050">
        <w:rPr>
          <w:sz w:val="26"/>
          <w:szCs w:val="26"/>
        </w:rPr>
        <w:t>В экономик</w:t>
      </w:r>
      <w:r w:rsidR="002D1929" w:rsidRPr="00BF0050">
        <w:rPr>
          <w:sz w:val="26"/>
          <w:szCs w:val="26"/>
        </w:rPr>
        <w:t>ах</w:t>
      </w:r>
      <w:r w:rsidRPr="00BF0050">
        <w:rPr>
          <w:sz w:val="26"/>
          <w:szCs w:val="26"/>
        </w:rPr>
        <w:t xml:space="preserve"> развитых стран сохранится тенденция постепенного ускорения роста, </w:t>
      </w:r>
      <w:r w:rsidR="002D1929" w:rsidRPr="00BF0050">
        <w:rPr>
          <w:sz w:val="26"/>
          <w:szCs w:val="26"/>
        </w:rPr>
        <w:t xml:space="preserve">начавшаяся в </w:t>
      </w:r>
      <w:r w:rsidRPr="00BF0050">
        <w:rPr>
          <w:sz w:val="26"/>
          <w:szCs w:val="26"/>
        </w:rPr>
        <w:t>2013 год</w:t>
      </w:r>
      <w:r w:rsidR="002D1929" w:rsidRPr="00BF0050">
        <w:rPr>
          <w:sz w:val="26"/>
          <w:szCs w:val="26"/>
        </w:rPr>
        <w:t>у</w:t>
      </w:r>
      <w:r w:rsidRPr="00BF0050">
        <w:rPr>
          <w:sz w:val="26"/>
          <w:szCs w:val="26"/>
        </w:rPr>
        <w:t xml:space="preserve"> под влиянием мягкой монетарной политики ключевых регуляторов и умеренной консолидации балансов.</w:t>
      </w:r>
    </w:p>
    <w:p w:rsidR="002C0E6B" w:rsidRPr="00BF0050" w:rsidRDefault="002C0E6B" w:rsidP="002C0E6B">
      <w:pPr>
        <w:spacing w:before="0" w:after="0"/>
        <w:jc w:val="both"/>
        <w:rPr>
          <w:sz w:val="26"/>
          <w:szCs w:val="26"/>
        </w:rPr>
      </w:pPr>
      <w:proofErr w:type="gramStart"/>
      <w:r w:rsidRPr="00BF0050">
        <w:rPr>
          <w:sz w:val="26"/>
          <w:szCs w:val="26"/>
        </w:rPr>
        <w:t xml:space="preserve">В </w:t>
      </w:r>
      <w:r w:rsidRPr="00BF0050">
        <w:rPr>
          <w:b/>
          <w:sz w:val="26"/>
          <w:szCs w:val="26"/>
        </w:rPr>
        <w:t>США</w:t>
      </w:r>
      <w:r w:rsidRPr="00BF0050">
        <w:rPr>
          <w:sz w:val="26"/>
          <w:szCs w:val="26"/>
        </w:rPr>
        <w:t xml:space="preserve"> после повышения, впервые за десятилетний период, ставки по резервным фондам на 25 базисных пунктов</w:t>
      </w:r>
      <w:r w:rsidR="00F27275" w:rsidRPr="00BF0050">
        <w:rPr>
          <w:sz w:val="26"/>
          <w:szCs w:val="26"/>
        </w:rPr>
        <w:t xml:space="preserve">, </w:t>
      </w:r>
      <w:r w:rsidRPr="00BF0050">
        <w:rPr>
          <w:sz w:val="26"/>
          <w:szCs w:val="26"/>
        </w:rPr>
        <w:t xml:space="preserve"> c 0–0,25 % до 0,25–0,5 % в конце 2015 года, в 2016 году ФРС снизил ориентиры по возможному дальнейшему росту ставок в среднесрочный период, отметив продолжение развития умеренными темпами</w:t>
      </w:r>
      <w:r w:rsidR="005D2190" w:rsidRPr="00BF0050">
        <w:rPr>
          <w:sz w:val="26"/>
          <w:szCs w:val="26"/>
        </w:rPr>
        <w:t xml:space="preserve"> экономической активности </w:t>
      </w:r>
      <w:r w:rsidRPr="00BF0050">
        <w:rPr>
          <w:sz w:val="26"/>
          <w:szCs w:val="26"/>
        </w:rPr>
        <w:t>и тенденции обострения рисков замедления мировой экономики.</w:t>
      </w:r>
      <w:proofErr w:type="gramEnd"/>
    </w:p>
    <w:p w:rsidR="002C0E6B" w:rsidRPr="00BF0050" w:rsidRDefault="002C0E6B" w:rsidP="002C0E6B">
      <w:pPr>
        <w:spacing w:before="0" w:after="0"/>
        <w:jc w:val="both"/>
        <w:rPr>
          <w:sz w:val="26"/>
          <w:szCs w:val="26"/>
        </w:rPr>
      </w:pPr>
      <w:r w:rsidRPr="00BF0050">
        <w:rPr>
          <w:sz w:val="26"/>
          <w:szCs w:val="26"/>
        </w:rPr>
        <w:t xml:space="preserve">Мягкие монетарные условия будут отражать низкий уровень инфляции, сохраняющийся под влиянием накопленного эффекта падения цен на энергоносители, снижения стоимости импорта и умеренной динамики роста стоимости труда. В среднесрочной перспективе влияние падения стоимости углеводородов будет исчерпано, а ситуация на рынке труда будет улучшаться. Ожидания по динамике базовой инфляции расходов на конечное потребление в 2016 году </w:t>
      </w:r>
      <w:r w:rsidR="005D2190" w:rsidRPr="00BF0050">
        <w:rPr>
          <w:sz w:val="26"/>
          <w:szCs w:val="26"/>
        </w:rPr>
        <w:t xml:space="preserve">оцениваются </w:t>
      </w:r>
      <w:r w:rsidRPr="00BF0050">
        <w:rPr>
          <w:sz w:val="26"/>
          <w:szCs w:val="26"/>
        </w:rPr>
        <w:t>на уровне 1,2 %, а достижение целевого уровня для повышения базовой ставки ожидается не ранее 2018 года. Ориентир</w:t>
      </w:r>
      <w:r w:rsidR="005D2190" w:rsidRPr="00BF0050">
        <w:rPr>
          <w:sz w:val="26"/>
          <w:szCs w:val="26"/>
        </w:rPr>
        <w:t>ы</w:t>
      </w:r>
      <w:r w:rsidRPr="00BF0050">
        <w:rPr>
          <w:sz w:val="26"/>
          <w:szCs w:val="26"/>
        </w:rPr>
        <w:t xml:space="preserve"> по возможному росту ставки федеральных фондов установлен</w:t>
      </w:r>
      <w:r w:rsidR="005D2190" w:rsidRPr="00BF0050">
        <w:rPr>
          <w:sz w:val="26"/>
          <w:szCs w:val="26"/>
        </w:rPr>
        <w:t>ы</w:t>
      </w:r>
      <w:r w:rsidRPr="00BF0050">
        <w:rPr>
          <w:sz w:val="26"/>
          <w:szCs w:val="26"/>
        </w:rPr>
        <w:t xml:space="preserve"> на уровне 0,9 % в 2016 году, 1 % </w:t>
      </w:r>
      <w:r w:rsidR="005D2190" w:rsidRPr="00BF0050">
        <w:rPr>
          <w:sz w:val="26"/>
          <w:szCs w:val="26"/>
        </w:rPr>
        <w:t xml:space="preserve">в 2017 году </w:t>
      </w:r>
      <w:r w:rsidRPr="00BF0050">
        <w:rPr>
          <w:sz w:val="26"/>
          <w:szCs w:val="26"/>
        </w:rPr>
        <w:t>и до 3 % в 2018 году.</w:t>
      </w:r>
    </w:p>
    <w:p w:rsidR="002330EE" w:rsidRPr="00BF0050" w:rsidRDefault="002330EE" w:rsidP="00403397">
      <w:pPr>
        <w:spacing w:before="0" w:after="0"/>
        <w:jc w:val="both"/>
        <w:rPr>
          <w:sz w:val="26"/>
          <w:szCs w:val="26"/>
        </w:rPr>
        <w:sectPr w:rsidR="002330EE" w:rsidRPr="00BF0050" w:rsidSect="003605CA">
          <w:headerReference w:type="even" r:id="rId14"/>
          <w:headerReference w:type="default" r:id="rId15"/>
          <w:footerReference w:type="even" r:id="rId16"/>
          <w:footerReference w:type="default" r:id="rId17"/>
          <w:headerReference w:type="first" r:id="rId18"/>
          <w:footnotePr>
            <w:numFmt w:val="chicago"/>
          </w:footnotePr>
          <w:pgSz w:w="11906" w:h="16838"/>
          <w:pgMar w:top="1134" w:right="567" w:bottom="1134" w:left="1276" w:header="709" w:footer="709" w:gutter="0"/>
          <w:cols w:space="708"/>
          <w:docGrid w:linePitch="360"/>
        </w:sectPr>
      </w:pPr>
    </w:p>
    <w:p w:rsidR="008E3C3F" w:rsidRPr="00BF0050" w:rsidRDefault="00454CAC" w:rsidP="005458C8">
      <w:pPr>
        <w:spacing w:before="0" w:after="0" w:line="360" w:lineRule="auto"/>
        <w:ind w:firstLine="0"/>
        <w:jc w:val="center"/>
        <w:rPr>
          <w:sz w:val="26"/>
          <w:szCs w:val="26"/>
        </w:rPr>
      </w:pPr>
      <w:r w:rsidRPr="00BF0050">
        <w:rPr>
          <w:b/>
          <w:sz w:val="26"/>
          <w:szCs w:val="26"/>
        </w:rPr>
        <w:lastRenderedPageBreak/>
        <w:t>Темпы роста мировой экономики в 2015 – 2019 годах, веса и вклады</w:t>
      </w:r>
    </w:p>
    <w:tbl>
      <w:tblPr>
        <w:tblpPr w:leftFromText="180" w:rightFromText="180" w:vertAnchor="page" w:horzAnchor="margin" w:tblpXSpec="center" w:tblpY="2137"/>
        <w:tblW w:w="15684" w:type="dxa"/>
        <w:tblLayout w:type="fixed"/>
        <w:tblLook w:val="04A0" w:firstRow="1" w:lastRow="0" w:firstColumn="1" w:lastColumn="0" w:noHBand="0" w:noVBand="1"/>
      </w:tblPr>
      <w:tblGrid>
        <w:gridCol w:w="2235"/>
        <w:gridCol w:w="993"/>
        <w:gridCol w:w="925"/>
        <w:gridCol w:w="926"/>
        <w:gridCol w:w="925"/>
        <w:gridCol w:w="926"/>
        <w:gridCol w:w="925"/>
        <w:gridCol w:w="926"/>
        <w:gridCol w:w="925"/>
        <w:gridCol w:w="750"/>
        <w:gridCol w:w="925"/>
        <w:gridCol w:w="926"/>
        <w:gridCol w:w="925"/>
        <w:gridCol w:w="875"/>
        <w:gridCol w:w="851"/>
        <w:gridCol w:w="726"/>
      </w:tblGrid>
      <w:tr w:rsidR="00454CAC" w:rsidRPr="00BF0050" w:rsidTr="00454CAC">
        <w:trPr>
          <w:trHeight w:hRule="exact" w:val="567"/>
        </w:trPr>
        <w:tc>
          <w:tcPr>
            <w:tcW w:w="2235" w:type="dxa"/>
            <w:vMerge w:val="restart"/>
            <w:tcBorders>
              <w:top w:val="single" w:sz="4" w:space="0" w:color="auto"/>
              <w:left w:val="single" w:sz="4" w:space="0" w:color="auto"/>
              <w:right w:val="single" w:sz="4" w:space="0" w:color="auto"/>
            </w:tcBorders>
            <w:noWrap/>
            <w:vAlign w:val="bottom"/>
          </w:tcPr>
          <w:p w:rsidR="00454CAC" w:rsidRPr="00BF0050" w:rsidRDefault="00454CAC" w:rsidP="00454CAC">
            <w:pPr>
              <w:spacing w:before="0" w:after="0" w:line="240" w:lineRule="auto"/>
              <w:rPr>
                <w:rFonts w:ascii="Calibri" w:hAnsi="Calibri" w:cs="Calibri"/>
                <w:color w:val="000000"/>
                <w:sz w:val="18"/>
                <w:szCs w:val="22"/>
              </w:rPr>
            </w:pPr>
            <w:r w:rsidRPr="00BF0050">
              <w:rPr>
                <w:rFonts w:ascii="Calibri" w:hAnsi="Calibri" w:cs="Calibri"/>
                <w:color w:val="000000"/>
                <w:sz w:val="18"/>
                <w:szCs w:val="22"/>
              </w:rPr>
              <w:t> </w:t>
            </w:r>
          </w:p>
        </w:tc>
        <w:tc>
          <w:tcPr>
            <w:tcW w:w="2844" w:type="dxa"/>
            <w:gridSpan w:val="3"/>
            <w:tcBorders>
              <w:top w:val="single" w:sz="4" w:space="0" w:color="auto"/>
              <w:left w:val="nil"/>
              <w:bottom w:val="single" w:sz="4" w:space="0" w:color="auto"/>
              <w:right w:val="single" w:sz="4" w:space="0" w:color="auto"/>
            </w:tcBorders>
            <w:shd w:val="clear" w:color="000000" w:fill="FFFFFF"/>
            <w:vAlign w:val="center"/>
          </w:tcPr>
          <w:p w:rsidR="00454CAC" w:rsidRPr="00BF0050" w:rsidRDefault="00454CAC" w:rsidP="00454CAC">
            <w:pPr>
              <w:spacing w:before="0" w:after="0" w:line="240" w:lineRule="auto"/>
              <w:ind w:firstLine="0"/>
              <w:jc w:val="center"/>
              <w:rPr>
                <w:b/>
                <w:bCs/>
                <w:color w:val="000000"/>
              </w:rPr>
            </w:pPr>
            <w:r w:rsidRPr="00BF0050">
              <w:rPr>
                <w:b/>
                <w:bCs/>
                <w:color w:val="000000"/>
              </w:rPr>
              <w:t>2015 г.</w:t>
            </w:r>
          </w:p>
        </w:tc>
        <w:tc>
          <w:tcPr>
            <w:tcW w:w="2776" w:type="dxa"/>
            <w:gridSpan w:val="3"/>
            <w:tcBorders>
              <w:top w:val="single" w:sz="4" w:space="0" w:color="auto"/>
              <w:left w:val="nil"/>
              <w:bottom w:val="single" w:sz="4" w:space="0" w:color="auto"/>
              <w:right w:val="single" w:sz="4" w:space="0" w:color="auto"/>
            </w:tcBorders>
            <w:shd w:val="clear" w:color="000000" w:fill="FFFFFF"/>
            <w:vAlign w:val="center"/>
          </w:tcPr>
          <w:p w:rsidR="00454CAC" w:rsidRPr="00BF0050" w:rsidRDefault="00454CAC" w:rsidP="00454CAC">
            <w:pPr>
              <w:spacing w:before="0" w:after="0" w:line="240" w:lineRule="auto"/>
              <w:ind w:firstLine="0"/>
              <w:jc w:val="center"/>
              <w:rPr>
                <w:b/>
                <w:bCs/>
                <w:color w:val="000000"/>
              </w:rPr>
            </w:pPr>
            <w:r w:rsidRPr="00BF0050">
              <w:rPr>
                <w:b/>
                <w:bCs/>
                <w:color w:val="000000"/>
              </w:rPr>
              <w:t>2016 г.</w:t>
            </w:r>
          </w:p>
        </w:tc>
        <w:tc>
          <w:tcPr>
            <w:tcW w:w="2601" w:type="dxa"/>
            <w:gridSpan w:val="3"/>
            <w:tcBorders>
              <w:top w:val="single" w:sz="4" w:space="0" w:color="auto"/>
              <w:left w:val="nil"/>
              <w:bottom w:val="single" w:sz="4" w:space="0" w:color="auto"/>
              <w:right w:val="single" w:sz="4" w:space="0" w:color="auto"/>
            </w:tcBorders>
            <w:shd w:val="clear" w:color="000000" w:fill="FFFFFF"/>
            <w:vAlign w:val="center"/>
          </w:tcPr>
          <w:p w:rsidR="00454CAC" w:rsidRPr="00BF0050" w:rsidRDefault="00454CAC" w:rsidP="00454CAC">
            <w:pPr>
              <w:spacing w:before="0" w:after="0" w:line="240" w:lineRule="auto"/>
              <w:ind w:firstLine="0"/>
              <w:jc w:val="center"/>
              <w:rPr>
                <w:b/>
                <w:bCs/>
                <w:color w:val="000000"/>
              </w:rPr>
            </w:pPr>
            <w:r w:rsidRPr="00BF0050">
              <w:rPr>
                <w:b/>
                <w:bCs/>
                <w:color w:val="000000"/>
              </w:rPr>
              <w:t>2017 г.</w:t>
            </w:r>
          </w:p>
        </w:tc>
        <w:tc>
          <w:tcPr>
            <w:tcW w:w="2776" w:type="dxa"/>
            <w:gridSpan w:val="3"/>
            <w:tcBorders>
              <w:top w:val="single" w:sz="4" w:space="0" w:color="auto"/>
              <w:left w:val="nil"/>
              <w:bottom w:val="single" w:sz="4" w:space="0" w:color="auto"/>
              <w:right w:val="single" w:sz="4" w:space="0" w:color="auto"/>
            </w:tcBorders>
            <w:shd w:val="clear" w:color="000000" w:fill="FFFFFF"/>
            <w:vAlign w:val="center"/>
          </w:tcPr>
          <w:p w:rsidR="00454CAC" w:rsidRPr="00BF0050" w:rsidRDefault="00454CAC" w:rsidP="00454CAC">
            <w:pPr>
              <w:spacing w:before="0" w:after="0" w:line="240" w:lineRule="auto"/>
              <w:ind w:firstLine="0"/>
              <w:jc w:val="center"/>
              <w:rPr>
                <w:b/>
                <w:bCs/>
                <w:color w:val="000000"/>
              </w:rPr>
            </w:pPr>
            <w:r w:rsidRPr="00BF0050">
              <w:rPr>
                <w:b/>
                <w:bCs/>
                <w:color w:val="000000"/>
              </w:rPr>
              <w:t>2018 г.</w:t>
            </w:r>
          </w:p>
        </w:tc>
        <w:tc>
          <w:tcPr>
            <w:tcW w:w="2452" w:type="dxa"/>
            <w:gridSpan w:val="3"/>
            <w:tcBorders>
              <w:top w:val="single" w:sz="4" w:space="0" w:color="auto"/>
              <w:left w:val="nil"/>
              <w:bottom w:val="single" w:sz="4" w:space="0" w:color="auto"/>
              <w:right w:val="single" w:sz="4" w:space="0" w:color="auto"/>
            </w:tcBorders>
            <w:shd w:val="clear" w:color="000000" w:fill="FFFFFF"/>
            <w:vAlign w:val="center"/>
          </w:tcPr>
          <w:p w:rsidR="00454CAC" w:rsidRPr="00BF0050" w:rsidRDefault="00454CAC" w:rsidP="00454CAC">
            <w:pPr>
              <w:spacing w:before="0" w:after="0" w:line="240" w:lineRule="auto"/>
              <w:ind w:firstLine="0"/>
              <w:jc w:val="center"/>
              <w:rPr>
                <w:b/>
                <w:bCs/>
                <w:color w:val="000000"/>
              </w:rPr>
            </w:pPr>
            <w:r w:rsidRPr="00BF0050">
              <w:rPr>
                <w:b/>
                <w:bCs/>
                <w:color w:val="000000"/>
              </w:rPr>
              <w:t>2019 г.</w:t>
            </w:r>
          </w:p>
        </w:tc>
      </w:tr>
      <w:tr w:rsidR="00454CAC" w:rsidRPr="00BF0050" w:rsidTr="00454CAC">
        <w:trPr>
          <w:trHeight w:hRule="exact" w:val="567"/>
        </w:trPr>
        <w:tc>
          <w:tcPr>
            <w:tcW w:w="2235" w:type="dxa"/>
            <w:vMerge/>
            <w:tcBorders>
              <w:left w:val="single" w:sz="4" w:space="0" w:color="auto"/>
              <w:bottom w:val="single" w:sz="4" w:space="0" w:color="auto"/>
              <w:right w:val="single" w:sz="4" w:space="0" w:color="auto"/>
            </w:tcBorders>
            <w:noWrap/>
            <w:vAlign w:val="bottom"/>
            <w:hideMark/>
          </w:tcPr>
          <w:p w:rsidR="00454CAC" w:rsidRPr="00BF0050" w:rsidRDefault="00454CAC" w:rsidP="00454CAC">
            <w:pPr>
              <w:spacing w:before="0" w:after="0" w:line="240" w:lineRule="auto"/>
              <w:ind w:firstLine="0"/>
              <w:rPr>
                <w:rFonts w:ascii="Calibri" w:hAnsi="Calibri" w:cs="Calibri"/>
                <w:color w:val="000000"/>
                <w:sz w:val="18"/>
                <w:szCs w:val="22"/>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Веса по ППС</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Вклады</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Темпы</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Веса по ППС</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Вклады</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Темпы</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Веса по ППС</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Вклады</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Темпы</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Веса по ППС</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Вклады</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Темпы</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Веса по ППС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Вклады</w:t>
            </w:r>
          </w:p>
        </w:tc>
        <w:tc>
          <w:tcPr>
            <w:tcW w:w="726" w:type="dxa"/>
            <w:tcBorders>
              <w:top w:val="single" w:sz="4" w:space="0" w:color="auto"/>
              <w:left w:val="nil"/>
              <w:bottom w:val="single" w:sz="4" w:space="0" w:color="auto"/>
              <w:right w:val="single" w:sz="4" w:space="0" w:color="auto"/>
            </w:tcBorders>
            <w:shd w:val="clear" w:color="000000" w:fill="FFFFFF"/>
            <w:vAlign w:val="center"/>
            <w:hideMark/>
          </w:tcPr>
          <w:p w:rsidR="00454CAC" w:rsidRPr="00BF0050" w:rsidRDefault="00454CAC" w:rsidP="00454CAC">
            <w:pPr>
              <w:spacing w:before="0" w:after="0" w:line="240" w:lineRule="auto"/>
              <w:ind w:firstLine="0"/>
              <w:jc w:val="center"/>
              <w:rPr>
                <w:bCs/>
                <w:color w:val="000000"/>
                <w:sz w:val="18"/>
                <w:szCs w:val="18"/>
              </w:rPr>
            </w:pPr>
            <w:r w:rsidRPr="00BF0050">
              <w:rPr>
                <w:bCs/>
                <w:color w:val="000000"/>
                <w:sz w:val="18"/>
                <w:szCs w:val="18"/>
              </w:rPr>
              <w:t>Темпы</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
                <w:bCs/>
                <w:color w:val="000000"/>
              </w:rPr>
            </w:pPr>
            <w:r w:rsidRPr="00BF0050">
              <w:rPr>
                <w:b/>
                <w:bCs/>
                <w:color w:val="000000"/>
              </w:rPr>
              <w:t>Мир</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100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3,13</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color w:val="000000"/>
                <w:sz w:val="22"/>
                <w:szCs w:val="22"/>
              </w:rPr>
            </w:pPr>
            <w:r w:rsidRPr="00BF0050">
              <w:rPr>
                <w:b/>
                <w:color w:val="000000"/>
                <w:sz w:val="22"/>
                <w:szCs w:val="22"/>
              </w:rPr>
              <w:t>3,1</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100</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3,15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color w:val="000000"/>
                <w:sz w:val="22"/>
                <w:szCs w:val="22"/>
              </w:rPr>
            </w:pPr>
            <w:r w:rsidRPr="00BF0050">
              <w:rPr>
                <w:b/>
                <w:color w:val="000000"/>
                <w:sz w:val="22"/>
                <w:szCs w:val="22"/>
              </w:rPr>
              <w:t>3,2</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100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3,38</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color w:val="000000"/>
                <w:sz w:val="22"/>
                <w:szCs w:val="22"/>
              </w:rPr>
            </w:pPr>
            <w:r w:rsidRPr="00BF0050">
              <w:rPr>
                <w:b/>
                <w:color w:val="000000"/>
                <w:sz w:val="22"/>
                <w:szCs w:val="22"/>
              </w:rPr>
              <w:t>3,4</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100</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3,45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color w:val="000000"/>
                <w:sz w:val="22"/>
                <w:szCs w:val="22"/>
              </w:rPr>
            </w:pPr>
            <w:r w:rsidRPr="00BF0050">
              <w:rPr>
                <w:b/>
                <w:color w:val="000000"/>
                <w:sz w:val="22"/>
                <w:szCs w:val="22"/>
              </w:rPr>
              <w:t>3,4</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100</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bCs/>
                <w:color w:val="000000"/>
                <w:sz w:val="22"/>
                <w:szCs w:val="22"/>
              </w:rPr>
            </w:pPr>
            <w:r w:rsidRPr="00BF0050">
              <w:rPr>
                <w:b/>
                <w:bCs/>
                <w:color w:val="000000"/>
                <w:sz w:val="22"/>
                <w:szCs w:val="22"/>
              </w:rPr>
              <w:t>3,45</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b/>
                <w:color w:val="000000"/>
                <w:sz w:val="22"/>
                <w:szCs w:val="22"/>
              </w:rPr>
            </w:pPr>
            <w:r w:rsidRPr="00BF0050">
              <w:rPr>
                <w:b/>
                <w:color w:val="000000"/>
                <w:sz w:val="22"/>
                <w:szCs w:val="22"/>
              </w:rPr>
              <w:t>3,4</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США</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15,87</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0,38</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2,4</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15,76</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0,35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2,2</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15,61</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0,37</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2,4</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15,47</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0,40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2,6</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15,34</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0,41</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2,7</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Еврозона</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11,99</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0,18</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11,80</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0,17</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1,5</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11,60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0,17</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1,4</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11,39</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0,18</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1,6</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11,18</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0,18</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1,6</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Великобритания</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2,35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0,05</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2,2</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2,33</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2,1</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2,30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0,05</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2,27</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2,2</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2,25</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0,05</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2,1</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Япония</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4,36</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0,02</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0,4</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4,25</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0,03</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0,8</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4,15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0,02</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0,6</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4,04</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0,03</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0,8</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3,93</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0,04</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1,0</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Китай</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16,55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1,14</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6,9</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17,15</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1,11</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6,5</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17,71</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1,10</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6,2</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18,19</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1,09</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6,0</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18,64</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1,10</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5,9</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Индия</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6,78</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0,50</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7,4</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7,06</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0,52</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7,4</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7,35</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0,54</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7,3</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7,63</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0,53</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7,0</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7,89</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0,50</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6,3</w:t>
            </w:r>
          </w:p>
        </w:tc>
      </w:tr>
      <w:tr w:rsidR="00454CAC"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Бразилия</w:t>
            </w:r>
          </w:p>
        </w:tc>
        <w:tc>
          <w:tcPr>
            <w:tcW w:w="993" w:type="dxa"/>
            <w:tcBorders>
              <w:top w:val="nil"/>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3,00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-0,11</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-3,8</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2,79</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-0,11</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-4,0</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2,60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0,08</w:t>
            </w:r>
          </w:p>
        </w:tc>
        <w:tc>
          <w:tcPr>
            <w:tcW w:w="750"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3,0</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2,59</w:t>
            </w:r>
          </w:p>
        </w:tc>
        <w:tc>
          <w:tcPr>
            <w:tcW w:w="9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0,16</w:t>
            </w:r>
          </w:p>
        </w:tc>
        <w:tc>
          <w:tcPr>
            <w:tcW w:w="92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6,0</w:t>
            </w:r>
          </w:p>
        </w:tc>
        <w:tc>
          <w:tcPr>
            <w:tcW w:w="875"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2,66</w:t>
            </w:r>
          </w:p>
        </w:tc>
        <w:tc>
          <w:tcPr>
            <w:tcW w:w="851"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0,17</w:t>
            </w:r>
          </w:p>
        </w:tc>
        <w:tc>
          <w:tcPr>
            <w:tcW w:w="726" w:type="dxa"/>
            <w:tcBorders>
              <w:top w:val="nil"/>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6,5</w:t>
            </w:r>
          </w:p>
        </w:tc>
      </w:tr>
      <w:tr w:rsidR="006961CB" w:rsidRPr="00BF0050" w:rsidTr="00454CAC">
        <w:trPr>
          <w:trHeight w:hRule="exact" w:val="567"/>
        </w:trPr>
        <w:tc>
          <w:tcPr>
            <w:tcW w:w="2235" w:type="dxa"/>
            <w:tcBorders>
              <w:top w:val="nil"/>
              <w:left w:val="single" w:sz="4" w:space="0" w:color="auto"/>
              <w:bottom w:val="single" w:sz="4" w:space="0" w:color="auto"/>
              <w:right w:val="nil"/>
            </w:tcBorders>
            <w:noWrap/>
            <w:vAlign w:val="center"/>
            <w:hideMark/>
          </w:tcPr>
          <w:p w:rsidR="006961CB" w:rsidRPr="00BF0050" w:rsidRDefault="006961CB" w:rsidP="006961CB">
            <w:pPr>
              <w:spacing w:before="0" w:after="0" w:line="240" w:lineRule="auto"/>
              <w:ind w:firstLine="0"/>
              <w:rPr>
                <w:b/>
                <w:bCs/>
                <w:color w:val="000000"/>
              </w:rPr>
            </w:pPr>
            <w:r w:rsidRPr="00BF0050">
              <w:rPr>
                <w:b/>
                <w:bCs/>
                <w:color w:val="000000"/>
              </w:rPr>
              <w:t>Россия</w:t>
            </w:r>
          </w:p>
        </w:tc>
        <w:tc>
          <w:tcPr>
            <w:tcW w:w="993" w:type="dxa"/>
            <w:tcBorders>
              <w:top w:val="nil"/>
              <w:left w:val="single" w:sz="4" w:space="0" w:color="auto"/>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3,27</w:t>
            </w:r>
          </w:p>
        </w:tc>
        <w:tc>
          <w:tcPr>
            <w:tcW w:w="925"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-0,12</w:t>
            </w:r>
          </w:p>
        </w:tc>
        <w:tc>
          <w:tcPr>
            <w:tcW w:w="926"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-3,7</w:t>
            </w:r>
          </w:p>
        </w:tc>
        <w:tc>
          <w:tcPr>
            <w:tcW w:w="925"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3,06</w:t>
            </w:r>
          </w:p>
        </w:tc>
        <w:tc>
          <w:tcPr>
            <w:tcW w:w="926"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-0,02</w:t>
            </w:r>
          </w:p>
        </w:tc>
        <w:tc>
          <w:tcPr>
            <w:tcW w:w="925"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-0,2</w:t>
            </w:r>
          </w:p>
        </w:tc>
        <w:tc>
          <w:tcPr>
            <w:tcW w:w="926"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2,95</w:t>
            </w:r>
          </w:p>
        </w:tc>
        <w:tc>
          <w:tcPr>
            <w:tcW w:w="925"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0,04</w:t>
            </w:r>
          </w:p>
        </w:tc>
        <w:tc>
          <w:tcPr>
            <w:tcW w:w="750"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0,8</w:t>
            </w:r>
          </w:p>
        </w:tc>
        <w:tc>
          <w:tcPr>
            <w:tcW w:w="925"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2,89</w:t>
            </w:r>
          </w:p>
        </w:tc>
        <w:tc>
          <w:tcPr>
            <w:tcW w:w="926"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0,07</w:t>
            </w:r>
          </w:p>
        </w:tc>
        <w:tc>
          <w:tcPr>
            <w:tcW w:w="925"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1,8</w:t>
            </w:r>
          </w:p>
        </w:tc>
        <w:tc>
          <w:tcPr>
            <w:tcW w:w="875"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2,86</w:t>
            </w:r>
          </w:p>
        </w:tc>
        <w:tc>
          <w:tcPr>
            <w:tcW w:w="851"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0,07</w:t>
            </w:r>
          </w:p>
        </w:tc>
        <w:tc>
          <w:tcPr>
            <w:tcW w:w="726" w:type="dxa"/>
            <w:tcBorders>
              <w:top w:val="nil"/>
              <w:left w:val="nil"/>
              <w:bottom w:val="single" w:sz="4" w:space="0" w:color="auto"/>
              <w:right w:val="single" w:sz="4" w:space="0" w:color="auto"/>
            </w:tcBorders>
            <w:noWrap/>
            <w:vAlign w:val="center"/>
            <w:hideMark/>
          </w:tcPr>
          <w:p w:rsidR="006961CB" w:rsidRPr="00BF0050" w:rsidRDefault="006961CB" w:rsidP="006961CB">
            <w:pPr>
              <w:spacing w:before="0" w:after="0" w:line="240" w:lineRule="auto"/>
              <w:ind w:firstLine="0"/>
              <w:jc w:val="center"/>
              <w:rPr>
                <w:b/>
                <w:color w:val="000000"/>
                <w:sz w:val="22"/>
                <w:szCs w:val="22"/>
              </w:rPr>
            </w:pPr>
            <w:r w:rsidRPr="00BF0050">
              <w:rPr>
                <w:b/>
                <w:color w:val="000000"/>
                <w:sz w:val="22"/>
                <w:szCs w:val="22"/>
              </w:rPr>
              <w:t>2,2</w:t>
            </w:r>
          </w:p>
        </w:tc>
      </w:tr>
      <w:tr w:rsidR="00454CAC" w:rsidRPr="00BF0050" w:rsidTr="00454CAC">
        <w:trPr>
          <w:trHeight w:hRule="exact" w:val="567"/>
        </w:trPr>
        <w:tc>
          <w:tcPr>
            <w:tcW w:w="2235" w:type="dxa"/>
            <w:tcBorders>
              <w:top w:val="single" w:sz="4" w:space="0" w:color="auto"/>
              <w:left w:val="single" w:sz="4" w:space="0" w:color="auto"/>
              <w:bottom w:val="single" w:sz="4" w:space="0" w:color="auto"/>
              <w:right w:val="nil"/>
            </w:tcBorders>
            <w:noWrap/>
            <w:vAlign w:val="center"/>
            <w:hideMark/>
          </w:tcPr>
          <w:p w:rsidR="00454CAC" w:rsidRPr="00BF0050" w:rsidRDefault="00454CAC" w:rsidP="00454CAC">
            <w:pPr>
              <w:spacing w:before="0" w:after="0" w:line="240" w:lineRule="auto"/>
              <w:ind w:firstLine="0"/>
              <w:rPr>
                <w:bCs/>
                <w:color w:val="000000"/>
              </w:rPr>
            </w:pPr>
            <w:r w:rsidRPr="00BF0050">
              <w:rPr>
                <w:bCs/>
                <w:color w:val="000000"/>
              </w:rPr>
              <w:t>Прочие</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35,84</w:t>
            </w:r>
          </w:p>
        </w:tc>
        <w:tc>
          <w:tcPr>
            <w:tcW w:w="925"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1,09</w:t>
            </w:r>
          </w:p>
        </w:tc>
        <w:tc>
          <w:tcPr>
            <w:tcW w:w="926"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3,0</w:t>
            </w:r>
          </w:p>
        </w:tc>
        <w:tc>
          <w:tcPr>
            <w:tcW w:w="925"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35,81</w:t>
            </w:r>
          </w:p>
        </w:tc>
        <w:tc>
          <w:tcPr>
            <w:tcW w:w="926"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1,04</w:t>
            </w:r>
          </w:p>
        </w:tc>
        <w:tc>
          <w:tcPr>
            <w:tcW w:w="925"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2,9</w:t>
            </w:r>
          </w:p>
        </w:tc>
        <w:tc>
          <w:tcPr>
            <w:tcW w:w="926"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35,72</w:t>
            </w:r>
          </w:p>
        </w:tc>
        <w:tc>
          <w:tcPr>
            <w:tcW w:w="925"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1,01</w:t>
            </w:r>
          </w:p>
        </w:tc>
        <w:tc>
          <w:tcPr>
            <w:tcW w:w="750"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2,8</w:t>
            </w:r>
          </w:p>
        </w:tc>
        <w:tc>
          <w:tcPr>
            <w:tcW w:w="925"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35,53</w:t>
            </w:r>
          </w:p>
        </w:tc>
        <w:tc>
          <w:tcPr>
            <w:tcW w:w="926"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0,93</w:t>
            </w:r>
          </w:p>
        </w:tc>
        <w:tc>
          <w:tcPr>
            <w:tcW w:w="925"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2,6</w:t>
            </w:r>
          </w:p>
        </w:tc>
        <w:tc>
          <w:tcPr>
            <w:tcW w:w="875"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35,25</w:t>
            </w:r>
          </w:p>
        </w:tc>
        <w:tc>
          <w:tcPr>
            <w:tcW w:w="851"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0,92</w:t>
            </w:r>
          </w:p>
        </w:tc>
        <w:tc>
          <w:tcPr>
            <w:tcW w:w="726" w:type="dxa"/>
            <w:tcBorders>
              <w:top w:val="single" w:sz="4" w:space="0" w:color="auto"/>
              <w:left w:val="nil"/>
              <w:bottom w:val="single" w:sz="4" w:space="0" w:color="auto"/>
              <w:right w:val="single" w:sz="4" w:space="0" w:color="auto"/>
            </w:tcBorders>
            <w:noWrap/>
            <w:vAlign w:val="center"/>
            <w:hideMark/>
          </w:tcPr>
          <w:p w:rsidR="00454CAC" w:rsidRPr="00BF0050" w:rsidRDefault="00454CAC" w:rsidP="00454CAC">
            <w:pPr>
              <w:spacing w:before="0" w:after="0" w:line="240" w:lineRule="auto"/>
              <w:ind w:firstLine="0"/>
              <w:jc w:val="center"/>
              <w:rPr>
                <w:color w:val="000000"/>
                <w:sz w:val="22"/>
                <w:szCs w:val="22"/>
              </w:rPr>
            </w:pPr>
            <w:r w:rsidRPr="00BF0050">
              <w:rPr>
                <w:color w:val="000000"/>
                <w:sz w:val="22"/>
                <w:szCs w:val="22"/>
              </w:rPr>
              <w:t>2,6</w:t>
            </w:r>
          </w:p>
        </w:tc>
      </w:tr>
    </w:tbl>
    <w:p w:rsidR="008E3C3F" w:rsidRPr="00BF0050" w:rsidRDefault="008E3C3F" w:rsidP="008E3C3F">
      <w:pPr>
        <w:spacing w:before="0" w:after="0" w:line="360" w:lineRule="auto"/>
        <w:ind w:firstLine="0"/>
        <w:jc w:val="both"/>
        <w:rPr>
          <w:sz w:val="26"/>
          <w:szCs w:val="26"/>
          <w:u w:val="single"/>
        </w:rPr>
      </w:pPr>
    </w:p>
    <w:p w:rsidR="008E3C3F" w:rsidRPr="00BF0050" w:rsidRDefault="008E3C3F" w:rsidP="008E3C3F">
      <w:pPr>
        <w:spacing w:before="0" w:after="0" w:line="360" w:lineRule="auto"/>
        <w:ind w:firstLine="0"/>
        <w:jc w:val="both"/>
        <w:rPr>
          <w:sz w:val="26"/>
          <w:szCs w:val="26"/>
          <w:u w:val="single"/>
        </w:rPr>
        <w:sectPr w:rsidR="008E3C3F" w:rsidRPr="00BF0050" w:rsidSect="00454CAC">
          <w:footnotePr>
            <w:numFmt w:val="chicago"/>
          </w:footnotePr>
          <w:pgSz w:w="16838" w:h="11906" w:orient="landscape"/>
          <w:pgMar w:top="427" w:right="1134" w:bottom="567" w:left="1134" w:header="419" w:footer="709" w:gutter="0"/>
          <w:cols w:space="708"/>
          <w:titlePg/>
          <w:docGrid w:linePitch="360"/>
        </w:sectPr>
      </w:pPr>
    </w:p>
    <w:p w:rsidR="00CA4585" w:rsidRPr="00BF0050" w:rsidRDefault="00CA4585" w:rsidP="005458C8">
      <w:pPr>
        <w:spacing w:before="0" w:after="0"/>
        <w:jc w:val="both"/>
        <w:rPr>
          <w:sz w:val="26"/>
          <w:szCs w:val="26"/>
        </w:rPr>
      </w:pPr>
      <w:r w:rsidRPr="00BF0050">
        <w:rPr>
          <w:sz w:val="26"/>
          <w:szCs w:val="26"/>
        </w:rPr>
        <w:lastRenderedPageBreak/>
        <w:t>Высоко адаптивная траектория роста базовой ставки будет поддерживать позитивную динамику экономики США за счет роста оплаты труда, увеличения потребительских расходов, создающих 70</w:t>
      </w:r>
      <w:r w:rsidR="00EE5990" w:rsidRPr="00BF0050">
        <w:rPr>
          <w:sz w:val="26"/>
          <w:szCs w:val="26"/>
        </w:rPr>
        <w:t> </w:t>
      </w:r>
      <w:r w:rsidRPr="00BF0050">
        <w:rPr>
          <w:sz w:val="26"/>
          <w:szCs w:val="26"/>
        </w:rPr>
        <w:t xml:space="preserve">% совокупного роста американской экономики, быстрый рост цен на рынке жилья, формирующих тенденцию роста стоимости активов домохозяйств. Но тенденции низкого уровня безработицы и растущих темпов оплаты труда увеличивают рост издержек и в сочетании с дефляционными тенденциями цен производителей создают негативный эффект замедления динамики прибыли корпораций. Это формирует расхождение тенденций динамики фондового рынка и прибыли корпораций, что обуславливает риски сильной коррекции, влияет на рост волатильности и индикаторов опасений инвесторов. Вместе с тем низкий уровень безработицы на фоне устойчивого роста стоимости труда в условиях подъема индекса </w:t>
      </w:r>
      <w:r w:rsidRPr="00BF0050">
        <w:rPr>
          <w:sz w:val="26"/>
          <w:szCs w:val="26"/>
          <w:lang w:val="en-US"/>
        </w:rPr>
        <w:t>Core</w:t>
      </w:r>
      <w:r w:rsidRPr="00BF0050">
        <w:rPr>
          <w:sz w:val="26"/>
          <w:szCs w:val="26"/>
        </w:rPr>
        <w:t xml:space="preserve"> </w:t>
      </w:r>
      <w:r w:rsidRPr="00BF0050">
        <w:rPr>
          <w:sz w:val="26"/>
          <w:szCs w:val="26"/>
          <w:lang w:val="en-US"/>
        </w:rPr>
        <w:t>PCE</w:t>
      </w:r>
      <w:r w:rsidRPr="00BF0050">
        <w:rPr>
          <w:sz w:val="26"/>
          <w:szCs w:val="26"/>
        </w:rPr>
        <w:t xml:space="preserve">, заметного роста издержек и падения прибыли, особенно в нефинансовом секторе, дают сигналы </w:t>
      </w:r>
      <w:r w:rsidR="005D2190" w:rsidRPr="00BF0050">
        <w:rPr>
          <w:sz w:val="26"/>
          <w:szCs w:val="26"/>
        </w:rPr>
        <w:t>о </w:t>
      </w:r>
      <w:r w:rsidRPr="00BF0050">
        <w:rPr>
          <w:sz w:val="26"/>
          <w:szCs w:val="26"/>
        </w:rPr>
        <w:t xml:space="preserve">близком перегреве рынка труда и возможной задержке принятия решений о повышении базовой ставки в оптимальные сроки. </w:t>
      </w:r>
    </w:p>
    <w:p w:rsidR="00CA4585" w:rsidRPr="00BF0050" w:rsidRDefault="00CA4585" w:rsidP="00CA4585">
      <w:pPr>
        <w:spacing w:before="0" w:after="0"/>
        <w:jc w:val="both"/>
        <w:rPr>
          <w:sz w:val="26"/>
          <w:szCs w:val="26"/>
        </w:rPr>
      </w:pPr>
      <w:r w:rsidRPr="00BF0050">
        <w:rPr>
          <w:sz w:val="26"/>
          <w:szCs w:val="26"/>
        </w:rPr>
        <w:t xml:space="preserve">Рост ставки может ограничивать динамику экономики США за счет продолжения укрепления валюты США, что </w:t>
      </w:r>
      <w:r w:rsidR="005D2190" w:rsidRPr="00BF0050">
        <w:rPr>
          <w:sz w:val="26"/>
          <w:szCs w:val="26"/>
        </w:rPr>
        <w:t xml:space="preserve">будет </w:t>
      </w:r>
      <w:r w:rsidRPr="00BF0050">
        <w:rPr>
          <w:sz w:val="26"/>
          <w:szCs w:val="26"/>
        </w:rPr>
        <w:t xml:space="preserve">оказывать давление на спрос и перспективы экспорта высокотехнологичной промышленности, сдерживая динамику обрабатывающей промышленности. Вместе с тем рост издержек в условиях разогрева рынка труда, при задержке роста производительности, будет уменьшать прибыль обрабатывающих секторов, снижая привлекательность для инвестиций. В среднесрочный период сдерживать экономическую динамику будет и добывающий сектор американской промышленности, так как низкие цены на энергоресурсы существенно ослабили рентабельность и инвестиционную привлекательность этих отраслей. </w:t>
      </w:r>
    </w:p>
    <w:p w:rsidR="008E3C3F" w:rsidRPr="00BF0050" w:rsidRDefault="008E3C3F" w:rsidP="00403397">
      <w:pPr>
        <w:spacing w:before="0" w:after="0"/>
        <w:jc w:val="both"/>
        <w:rPr>
          <w:sz w:val="26"/>
          <w:szCs w:val="26"/>
        </w:rPr>
      </w:pPr>
      <w:r w:rsidRPr="00BF0050">
        <w:rPr>
          <w:sz w:val="26"/>
          <w:szCs w:val="26"/>
        </w:rPr>
        <w:t>Закрепление низких цен на нефть в течение относительно продолжительного периода времени до 2019 года увеличит объем списания активов крупных добывающих компаний и снижение котировок акций. Накопленные объемы хеджирования сделок по продаже нефтяных контрактов по ценам выше 60 долл</w:t>
      </w:r>
      <w:r w:rsidR="002010B6" w:rsidRPr="00BF0050">
        <w:rPr>
          <w:sz w:val="26"/>
          <w:szCs w:val="26"/>
        </w:rPr>
        <w:t>.</w:t>
      </w:r>
      <w:r w:rsidRPr="00BF0050">
        <w:rPr>
          <w:sz w:val="26"/>
          <w:szCs w:val="26"/>
        </w:rPr>
        <w:t xml:space="preserve"> США</w:t>
      </w:r>
      <w:r w:rsidR="00EE5990" w:rsidRPr="00BF0050">
        <w:rPr>
          <w:sz w:val="26"/>
          <w:szCs w:val="26"/>
        </w:rPr>
        <w:t>/</w:t>
      </w:r>
      <w:proofErr w:type="spellStart"/>
      <w:r w:rsidRPr="00BF0050">
        <w:rPr>
          <w:sz w:val="26"/>
          <w:szCs w:val="26"/>
        </w:rPr>
        <w:t>барр</w:t>
      </w:r>
      <w:proofErr w:type="spellEnd"/>
      <w:r w:rsidR="00EE5990" w:rsidRPr="00BF0050">
        <w:rPr>
          <w:sz w:val="26"/>
          <w:szCs w:val="26"/>
        </w:rPr>
        <w:t>.</w:t>
      </w:r>
      <w:r w:rsidRPr="00BF0050">
        <w:rPr>
          <w:sz w:val="26"/>
          <w:szCs w:val="26"/>
        </w:rPr>
        <w:t xml:space="preserve"> сравнимы с</w:t>
      </w:r>
      <w:r w:rsidR="002010B6" w:rsidRPr="00BF0050">
        <w:rPr>
          <w:sz w:val="26"/>
          <w:szCs w:val="26"/>
        </w:rPr>
        <w:t> </w:t>
      </w:r>
      <w:r w:rsidRPr="00BF0050">
        <w:rPr>
          <w:sz w:val="26"/>
          <w:szCs w:val="26"/>
        </w:rPr>
        <w:t xml:space="preserve">объемом ипотечного долга в 2008 году на момент падения </w:t>
      </w:r>
      <w:r w:rsidRPr="00BF0050">
        <w:rPr>
          <w:sz w:val="26"/>
          <w:szCs w:val="26"/>
          <w:lang w:val="en-US"/>
        </w:rPr>
        <w:t>Lehman</w:t>
      </w:r>
      <w:r w:rsidRPr="00BF0050">
        <w:rPr>
          <w:sz w:val="26"/>
          <w:szCs w:val="26"/>
        </w:rPr>
        <w:t xml:space="preserve"> </w:t>
      </w:r>
      <w:r w:rsidRPr="00BF0050">
        <w:rPr>
          <w:sz w:val="26"/>
          <w:szCs w:val="26"/>
          <w:lang w:val="en-US"/>
        </w:rPr>
        <w:t>Brothers</w:t>
      </w:r>
      <w:r w:rsidRPr="00BF0050">
        <w:rPr>
          <w:sz w:val="26"/>
          <w:szCs w:val="26"/>
        </w:rPr>
        <w:t xml:space="preserve">. Выполнение обязательств по этим контрактам способно причинить серьезные убытки банковскому сектору и отяготить балансы банков «токсичными активами». Нарастающие опасения инвесторов относительно возможности реализации такого сценария оборачиваются серьезными провалами и растущей амплитудой колебания основных фондовых индексов и показателей волатильности котировок. Дестабилизация финансового положения предприятий добывающего сектора может спровоцировать падение фондового рынка </w:t>
      </w:r>
      <w:r w:rsidR="0016246A" w:rsidRPr="00BF0050">
        <w:rPr>
          <w:sz w:val="26"/>
          <w:szCs w:val="26"/>
        </w:rPr>
        <w:t>и </w:t>
      </w:r>
      <w:r w:rsidRPr="00BF0050">
        <w:rPr>
          <w:sz w:val="26"/>
          <w:szCs w:val="26"/>
        </w:rPr>
        <w:t xml:space="preserve">биржевой кризис, вторую, после сентября 2008 </w:t>
      </w:r>
      <w:r w:rsidR="0016246A" w:rsidRPr="00BF0050">
        <w:rPr>
          <w:sz w:val="26"/>
          <w:szCs w:val="26"/>
        </w:rPr>
        <w:t>г.</w:t>
      </w:r>
      <w:r w:rsidRPr="00BF0050">
        <w:rPr>
          <w:sz w:val="26"/>
          <w:szCs w:val="26"/>
        </w:rPr>
        <w:t xml:space="preserve">, волну потери устойчивости банковского сектора. </w:t>
      </w:r>
    </w:p>
    <w:p w:rsidR="00454CAC" w:rsidRPr="00BF0050" w:rsidRDefault="00454CAC" w:rsidP="00403397">
      <w:pPr>
        <w:spacing w:before="0" w:after="0"/>
        <w:jc w:val="both"/>
        <w:rPr>
          <w:sz w:val="26"/>
          <w:szCs w:val="26"/>
        </w:rPr>
      </w:pPr>
    </w:p>
    <w:p w:rsidR="00454CAC" w:rsidRPr="00BF0050" w:rsidRDefault="00454CAC" w:rsidP="00403397">
      <w:pPr>
        <w:spacing w:before="0" w:after="0"/>
        <w:jc w:val="both"/>
        <w:rPr>
          <w:sz w:val="26"/>
          <w:szCs w:val="26"/>
        </w:rPr>
      </w:pPr>
    </w:p>
    <w:p w:rsidR="008E3C3F" w:rsidRPr="00BF0050" w:rsidRDefault="008E3C3F" w:rsidP="00403397">
      <w:pPr>
        <w:spacing w:before="0" w:after="0"/>
        <w:jc w:val="both"/>
        <w:rPr>
          <w:sz w:val="26"/>
          <w:szCs w:val="26"/>
        </w:rPr>
      </w:pPr>
      <w:r w:rsidRPr="00BF0050">
        <w:rPr>
          <w:sz w:val="26"/>
          <w:szCs w:val="26"/>
        </w:rPr>
        <w:lastRenderedPageBreak/>
        <w:t xml:space="preserve">В среднесрочной перспективе консолидация балансов, возврат к монетарной нормализации и возвращение к стандартной финансовой политике </w:t>
      </w:r>
      <w:r w:rsidR="007658B9" w:rsidRPr="00BF0050">
        <w:rPr>
          <w:sz w:val="26"/>
          <w:szCs w:val="26"/>
        </w:rPr>
        <w:t xml:space="preserve">позволят </w:t>
      </w:r>
      <w:r w:rsidRPr="00BF0050">
        <w:rPr>
          <w:sz w:val="26"/>
          <w:szCs w:val="26"/>
        </w:rPr>
        <w:t>восстановить пропорции в доходности долговых инструментов и инвестиционных ресурсов, характерные для периодов устойчивого роста экономики. Спрос на долгосрочные инвестиции будет больше потребности в краткосрочных заемных средствах и долговых инструментах. Будет восстанавливаться разрыв в доходности 30-летних и 2-летних казначейских облигаций, сократившийся до характерных кризисных уровней. В условиях ограниченной реализации существующих рисков рост экономики США после замедления до 2,2</w:t>
      </w:r>
      <w:r w:rsidR="0002479B" w:rsidRPr="00BF0050">
        <w:rPr>
          <w:sz w:val="26"/>
          <w:szCs w:val="26"/>
        </w:rPr>
        <w:t> </w:t>
      </w:r>
      <w:r w:rsidRPr="00BF0050">
        <w:rPr>
          <w:sz w:val="26"/>
          <w:szCs w:val="26"/>
        </w:rPr>
        <w:t>% в 2016 году может ускорит</w:t>
      </w:r>
      <w:r w:rsidR="00160147" w:rsidRPr="00BF0050">
        <w:rPr>
          <w:sz w:val="26"/>
          <w:szCs w:val="26"/>
        </w:rPr>
        <w:t>ь</w:t>
      </w:r>
      <w:r w:rsidRPr="00BF0050">
        <w:rPr>
          <w:sz w:val="26"/>
          <w:szCs w:val="26"/>
        </w:rPr>
        <w:t>ся до 2,7</w:t>
      </w:r>
      <w:r w:rsidR="0002479B" w:rsidRPr="00BF0050">
        <w:rPr>
          <w:sz w:val="26"/>
          <w:szCs w:val="26"/>
        </w:rPr>
        <w:t> </w:t>
      </w:r>
      <w:r w:rsidRPr="00BF0050">
        <w:rPr>
          <w:sz w:val="26"/>
          <w:szCs w:val="26"/>
        </w:rPr>
        <w:t>% к 2019 году.</w:t>
      </w:r>
    </w:p>
    <w:p w:rsidR="008E3C3F" w:rsidRPr="00BF0050" w:rsidRDefault="008E3C3F" w:rsidP="00403397">
      <w:pPr>
        <w:spacing w:before="0" w:after="0"/>
        <w:jc w:val="both"/>
        <w:rPr>
          <w:sz w:val="26"/>
          <w:szCs w:val="26"/>
        </w:rPr>
      </w:pPr>
      <w:r w:rsidRPr="00BF0050">
        <w:rPr>
          <w:sz w:val="26"/>
          <w:szCs w:val="26"/>
        </w:rPr>
        <w:t xml:space="preserve">В странах </w:t>
      </w:r>
      <w:r w:rsidRPr="00BF0050">
        <w:rPr>
          <w:b/>
          <w:sz w:val="26"/>
          <w:szCs w:val="26"/>
        </w:rPr>
        <w:t>общей европейской валюты</w:t>
      </w:r>
      <w:r w:rsidRPr="00BF0050">
        <w:rPr>
          <w:sz w:val="26"/>
          <w:szCs w:val="26"/>
        </w:rPr>
        <w:t xml:space="preserve"> для закрепления восходящей экономической динамики монетарный регулятор расширяет инструментарий директивных ставок с нулевой и отрицательной доходностью и расширяет программу выкупа активов. ЕЦБ будет использовать нулевую ставку по кредитам и отрицательную, минус 0,4</w:t>
      </w:r>
      <w:r w:rsidR="0002479B" w:rsidRPr="00BF0050">
        <w:rPr>
          <w:sz w:val="26"/>
          <w:szCs w:val="26"/>
        </w:rPr>
        <w:t> </w:t>
      </w:r>
      <w:r w:rsidRPr="00BF0050">
        <w:rPr>
          <w:sz w:val="26"/>
          <w:szCs w:val="26"/>
        </w:rPr>
        <w:t xml:space="preserve">%, по депозитам. Расширена за счет облигаций небанковских корпораций инвестиционного класса номенклатура выкупаемых инструментов и увеличен объем выкупа активов до 80 млрд. евро. В среднесрочный период банки </w:t>
      </w:r>
      <w:r w:rsidR="0002479B" w:rsidRPr="00BF0050">
        <w:rPr>
          <w:sz w:val="26"/>
          <w:szCs w:val="26"/>
        </w:rPr>
        <w:t xml:space="preserve">еврозоны </w:t>
      </w:r>
      <w:r w:rsidRPr="00BF0050">
        <w:rPr>
          <w:sz w:val="26"/>
          <w:szCs w:val="26"/>
        </w:rPr>
        <w:t>будут получать от ЕЦБ транши кредитных ресурсов по программе нового целевого долгосрочного кредитования (</w:t>
      </w:r>
      <w:r w:rsidRPr="00BF0050">
        <w:rPr>
          <w:sz w:val="26"/>
          <w:szCs w:val="26"/>
          <w:lang w:val="en-US"/>
        </w:rPr>
        <w:t>TLTRO</w:t>
      </w:r>
      <w:r w:rsidRPr="00BF0050">
        <w:rPr>
          <w:sz w:val="26"/>
          <w:szCs w:val="26"/>
        </w:rPr>
        <w:t>) по отрицательной ставке минус 0,4</w:t>
      </w:r>
      <w:r w:rsidR="0002479B" w:rsidRPr="00BF0050">
        <w:rPr>
          <w:sz w:val="26"/>
          <w:szCs w:val="26"/>
        </w:rPr>
        <w:t xml:space="preserve"> процента</w:t>
      </w:r>
      <w:r w:rsidRPr="00BF0050">
        <w:rPr>
          <w:sz w:val="26"/>
          <w:szCs w:val="26"/>
        </w:rPr>
        <w:t xml:space="preserve">.  </w:t>
      </w:r>
    </w:p>
    <w:p w:rsidR="008E3C3F" w:rsidRPr="00BF0050" w:rsidRDefault="008E3C3F" w:rsidP="00403397">
      <w:pPr>
        <w:spacing w:before="0" w:after="0"/>
        <w:jc w:val="both"/>
        <w:rPr>
          <w:sz w:val="26"/>
          <w:szCs w:val="26"/>
        </w:rPr>
      </w:pPr>
      <w:r w:rsidRPr="00BF0050">
        <w:rPr>
          <w:sz w:val="26"/>
          <w:szCs w:val="26"/>
        </w:rPr>
        <w:t>Однако шаги и стимулы по реструктуризации и созданию источников роста экономик европейских стран требуют реализации противоположных мер монетарного регулирования для разных гру</w:t>
      </w:r>
      <w:proofErr w:type="gramStart"/>
      <w:r w:rsidRPr="00BF0050">
        <w:rPr>
          <w:sz w:val="26"/>
          <w:szCs w:val="26"/>
        </w:rPr>
        <w:t>пп стр</w:t>
      </w:r>
      <w:proofErr w:type="gramEnd"/>
      <w:r w:rsidRPr="00BF0050">
        <w:rPr>
          <w:sz w:val="26"/>
          <w:szCs w:val="26"/>
        </w:rPr>
        <w:t>ан. Экономике Германии необходимы меры, стимулирующие расширение внутреннего потребления, ро</w:t>
      </w:r>
      <w:proofErr w:type="gramStart"/>
      <w:r w:rsidRPr="00BF0050">
        <w:rPr>
          <w:sz w:val="26"/>
          <w:szCs w:val="26"/>
        </w:rPr>
        <w:t>ст спр</w:t>
      </w:r>
      <w:proofErr w:type="gramEnd"/>
      <w:r w:rsidRPr="00BF0050">
        <w:rPr>
          <w:sz w:val="26"/>
          <w:szCs w:val="26"/>
        </w:rPr>
        <w:t xml:space="preserve">оса на импорт </w:t>
      </w:r>
      <w:r w:rsidR="0002479B" w:rsidRPr="00BF0050">
        <w:rPr>
          <w:sz w:val="26"/>
          <w:szCs w:val="26"/>
        </w:rPr>
        <w:t>и </w:t>
      </w:r>
      <w:r w:rsidRPr="00BF0050">
        <w:rPr>
          <w:sz w:val="26"/>
          <w:szCs w:val="26"/>
        </w:rPr>
        <w:t xml:space="preserve">увеличение расходов домохозяйств. Снижение экспорта за счет расширения внутреннего спроса позволило бы экономике Германии и валютного союза получить импульс роста. Для этого целесообразно перейти к поэтапному повышению ставки. Напротив, странам </w:t>
      </w:r>
      <w:r w:rsidR="0002479B" w:rsidRPr="00BF0050">
        <w:rPr>
          <w:sz w:val="26"/>
          <w:szCs w:val="26"/>
        </w:rPr>
        <w:t xml:space="preserve">юга </w:t>
      </w:r>
      <w:r w:rsidRPr="00BF0050">
        <w:rPr>
          <w:sz w:val="26"/>
          <w:szCs w:val="26"/>
        </w:rPr>
        <w:t xml:space="preserve">Европы и Франции для обслуживания дефицита бюджета, высокого госдолга и дефицита текущего счета необходим более длительный период низких ставок.  </w:t>
      </w:r>
    </w:p>
    <w:p w:rsidR="008E3C3F" w:rsidRPr="00BF0050" w:rsidRDefault="008E3C3F" w:rsidP="00403397">
      <w:pPr>
        <w:spacing w:before="0" w:after="0"/>
        <w:jc w:val="both"/>
        <w:rPr>
          <w:sz w:val="26"/>
          <w:szCs w:val="26"/>
        </w:rPr>
      </w:pPr>
      <w:r w:rsidRPr="00BF0050">
        <w:rPr>
          <w:sz w:val="26"/>
          <w:szCs w:val="26"/>
        </w:rPr>
        <w:t>В производственном секторе европейского региона может усилит</w:t>
      </w:r>
      <w:r w:rsidR="0002479B" w:rsidRPr="00BF0050">
        <w:rPr>
          <w:sz w:val="26"/>
          <w:szCs w:val="26"/>
        </w:rPr>
        <w:t>ь</w:t>
      </w:r>
      <w:r w:rsidRPr="00BF0050">
        <w:rPr>
          <w:sz w:val="26"/>
          <w:szCs w:val="26"/>
        </w:rPr>
        <w:t>ся дефляционное давление, разогреваемое недостаточным спросом, что продолжит сокращать налоговую базу бюджетов. Для поддержания устойчивости валютного блока и реализации базовых параметров пакта о стабильности и росте, обязывающего страны валютного союза удерживать дефицит бюджета в пределах 3</w:t>
      </w:r>
      <w:r w:rsidR="0002479B" w:rsidRPr="00BF0050">
        <w:rPr>
          <w:sz w:val="26"/>
          <w:szCs w:val="26"/>
        </w:rPr>
        <w:t> </w:t>
      </w:r>
      <w:r w:rsidRPr="00BF0050">
        <w:rPr>
          <w:sz w:val="26"/>
          <w:szCs w:val="26"/>
        </w:rPr>
        <w:t>% ВВП и государственный долг не выше 60</w:t>
      </w:r>
      <w:r w:rsidR="0002479B" w:rsidRPr="00BF0050">
        <w:rPr>
          <w:sz w:val="26"/>
          <w:szCs w:val="26"/>
        </w:rPr>
        <w:t> </w:t>
      </w:r>
      <w:r w:rsidRPr="00BF0050">
        <w:rPr>
          <w:sz w:val="26"/>
          <w:szCs w:val="26"/>
        </w:rPr>
        <w:t>% объема экономики, потребуется более значительное сокращение расходных полномочий бюджетов</w:t>
      </w:r>
      <w:r w:rsidR="0002479B" w:rsidRPr="00BF0050">
        <w:rPr>
          <w:sz w:val="26"/>
          <w:szCs w:val="26"/>
        </w:rPr>
        <w:t>, что</w:t>
      </w:r>
      <w:r w:rsidRPr="00BF0050">
        <w:rPr>
          <w:sz w:val="26"/>
          <w:szCs w:val="26"/>
        </w:rPr>
        <w:t xml:space="preserve"> сократит возможности роста за </w:t>
      </w:r>
      <w:r w:rsidR="0002479B" w:rsidRPr="00BF0050">
        <w:rPr>
          <w:sz w:val="26"/>
          <w:szCs w:val="26"/>
        </w:rPr>
        <w:t xml:space="preserve">счет </w:t>
      </w:r>
      <w:r w:rsidRPr="00BF0050">
        <w:rPr>
          <w:sz w:val="26"/>
          <w:szCs w:val="26"/>
        </w:rPr>
        <w:t xml:space="preserve">инструментов, предлагаемых ЕЦБ.  Это может усилить дефляционное давление на потребление. </w:t>
      </w:r>
    </w:p>
    <w:p w:rsidR="008E3C3F" w:rsidRPr="00BF0050" w:rsidRDefault="008E3C3F" w:rsidP="00403397">
      <w:pPr>
        <w:spacing w:before="0" w:after="0"/>
        <w:jc w:val="both"/>
        <w:rPr>
          <w:sz w:val="26"/>
          <w:szCs w:val="26"/>
        </w:rPr>
      </w:pPr>
      <w:r w:rsidRPr="00BF0050">
        <w:rPr>
          <w:sz w:val="26"/>
          <w:szCs w:val="26"/>
        </w:rPr>
        <w:t xml:space="preserve">Сдерживающими факторами </w:t>
      </w:r>
      <w:r w:rsidR="009109A3" w:rsidRPr="00BF0050">
        <w:rPr>
          <w:sz w:val="26"/>
          <w:szCs w:val="26"/>
        </w:rPr>
        <w:t xml:space="preserve">для </w:t>
      </w:r>
      <w:r w:rsidRPr="00BF0050">
        <w:rPr>
          <w:sz w:val="26"/>
          <w:szCs w:val="26"/>
        </w:rPr>
        <w:t xml:space="preserve">европейской </w:t>
      </w:r>
      <w:r w:rsidR="009109A3" w:rsidRPr="00BF0050">
        <w:rPr>
          <w:sz w:val="26"/>
          <w:szCs w:val="26"/>
        </w:rPr>
        <w:t xml:space="preserve">экономики </w:t>
      </w:r>
      <w:r w:rsidRPr="00BF0050">
        <w:rPr>
          <w:sz w:val="26"/>
          <w:szCs w:val="26"/>
        </w:rPr>
        <w:t xml:space="preserve">будут высокая суверенная долговая нагрузка, отягощенные необслуживаемыми кредитами балансы крупнейших европейских банков, большая доля безработного населения. Высокая социальная нагрузка на факторы труда, препятствующая повышению </w:t>
      </w:r>
      <w:r w:rsidRPr="00BF0050">
        <w:rPr>
          <w:sz w:val="26"/>
          <w:szCs w:val="26"/>
        </w:rPr>
        <w:lastRenderedPageBreak/>
        <w:t xml:space="preserve">производительности </w:t>
      </w:r>
      <w:r w:rsidR="00955135" w:rsidRPr="00BF0050">
        <w:rPr>
          <w:sz w:val="26"/>
          <w:szCs w:val="26"/>
        </w:rPr>
        <w:t>и </w:t>
      </w:r>
      <w:r w:rsidR="007658B9" w:rsidRPr="00BF0050">
        <w:rPr>
          <w:sz w:val="26"/>
          <w:szCs w:val="26"/>
        </w:rPr>
        <w:t>  </w:t>
      </w:r>
      <w:r w:rsidRPr="00BF0050">
        <w:rPr>
          <w:sz w:val="26"/>
          <w:szCs w:val="26"/>
        </w:rPr>
        <w:t xml:space="preserve">конкурентоспособности, </w:t>
      </w:r>
      <w:r w:rsidR="0002479B" w:rsidRPr="00BF0050">
        <w:rPr>
          <w:sz w:val="26"/>
          <w:szCs w:val="26"/>
        </w:rPr>
        <w:t xml:space="preserve">будет поддерживать </w:t>
      </w:r>
      <w:r w:rsidRPr="00BF0050">
        <w:rPr>
          <w:sz w:val="26"/>
          <w:szCs w:val="26"/>
        </w:rPr>
        <w:t xml:space="preserve">пессимизм инвесторов. </w:t>
      </w:r>
    </w:p>
    <w:p w:rsidR="008E3C3F" w:rsidRPr="00BF0050" w:rsidRDefault="008E3C3F" w:rsidP="00403397">
      <w:pPr>
        <w:spacing w:before="0" w:after="0"/>
        <w:jc w:val="both"/>
        <w:rPr>
          <w:sz w:val="26"/>
          <w:szCs w:val="26"/>
        </w:rPr>
      </w:pPr>
      <w:r w:rsidRPr="00BF0050">
        <w:rPr>
          <w:sz w:val="26"/>
          <w:szCs w:val="26"/>
        </w:rPr>
        <w:t>Долговая нагрузка по обслуживанию и погашению суверенных долгов стран европейской валюты постепенно уменьшится с пиковых уровней 2014</w:t>
      </w:r>
      <w:r w:rsidR="0002479B" w:rsidRPr="00BF0050">
        <w:rPr>
          <w:sz w:val="26"/>
          <w:szCs w:val="26"/>
        </w:rPr>
        <w:t> </w:t>
      </w:r>
      <w:r w:rsidRPr="00BF0050">
        <w:rPr>
          <w:sz w:val="26"/>
          <w:szCs w:val="26"/>
        </w:rPr>
        <w:t>–</w:t>
      </w:r>
      <w:r w:rsidR="0002479B" w:rsidRPr="00BF0050">
        <w:rPr>
          <w:sz w:val="26"/>
          <w:szCs w:val="26"/>
        </w:rPr>
        <w:t> </w:t>
      </w:r>
      <w:r w:rsidRPr="00BF0050">
        <w:rPr>
          <w:sz w:val="26"/>
          <w:szCs w:val="26"/>
        </w:rPr>
        <w:t xml:space="preserve">2015 </w:t>
      </w:r>
      <w:r w:rsidR="0002479B" w:rsidRPr="00BF0050">
        <w:rPr>
          <w:sz w:val="26"/>
          <w:szCs w:val="26"/>
        </w:rPr>
        <w:t>гг.</w:t>
      </w:r>
      <w:r w:rsidRPr="00BF0050">
        <w:rPr>
          <w:sz w:val="26"/>
          <w:szCs w:val="26"/>
        </w:rPr>
        <w:t xml:space="preserve">, превысивших 94 % ВВП, до 89 % в 2019 году. Сокращению доли долгов будет способствовать позитивная динамика роста ВВП и снижение объемов финансирования дефицитов бюджетов. </w:t>
      </w:r>
    </w:p>
    <w:p w:rsidR="008E3C3F" w:rsidRPr="00BF0050" w:rsidRDefault="008E3C3F" w:rsidP="00403397">
      <w:pPr>
        <w:spacing w:before="0" w:after="0"/>
        <w:jc w:val="both"/>
        <w:rPr>
          <w:sz w:val="26"/>
          <w:szCs w:val="26"/>
        </w:rPr>
      </w:pPr>
      <w:r w:rsidRPr="00BF0050">
        <w:rPr>
          <w:sz w:val="26"/>
          <w:szCs w:val="26"/>
        </w:rPr>
        <w:t xml:space="preserve">В 2015 году странам общей </w:t>
      </w:r>
      <w:r w:rsidR="00F84981" w:rsidRPr="00BF0050">
        <w:rPr>
          <w:sz w:val="26"/>
          <w:szCs w:val="26"/>
        </w:rPr>
        <w:t xml:space="preserve">европейской </w:t>
      </w:r>
      <w:r w:rsidRPr="00BF0050">
        <w:rPr>
          <w:sz w:val="26"/>
          <w:szCs w:val="26"/>
        </w:rPr>
        <w:t xml:space="preserve">валюты удалось продолжить </w:t>
      </w:r>
      <w:r w:rsidR="00955135" w:rsidRPr="00BF0050">
        <w:rPr>
          <w:sz w:val="26"/>
          <w:szCs w:val="26"/>
        </w:rPr>
        <w:t xml:space="preserve">позитивную </w:t>
      </w:r>
      <w:r w:rsidRPr="00BF0050">
        <w:rPr>
          <w:sz w:val="26"/>
          <w:szCs w:val="26"/>
        </w:rPr>
        <w:t>тенденцию сокращения дефицитов бюджетов с максимального уровня 2009 – 2010 гг. 6,</w:t>
      </w:r>
      <w:r w:rsidR="00535563" w:rsidRPr="00BF0050">
        <w:rPr>
          <w:sz w:val="26"/>
          <w:szCs w:val="26"/>
        </w:rPr>
        <w:t>7 </w:t>
      </w:r>
      <w:r w:rsidRPr="00BF0050">
        <w:rPr>
          <w:sz w:val="26"/>
          <w:szCs w:val="26"/>
        </w:rPr>
        <w:t xml:space="preserve">% ВВП до 2,5 % в 2015 году. К 2019 году темпы сокращения дефицита существенно снизятся, приблизительно до 0,3 % ВВП в год, что позволит высвободить ресурсы для поддержки спроса в европейской экономике. Ожидается, что в 2019 году дефицит бюджетов </w:t>
      </w:r>
      <w:r w:rsidR="00F84981" w:rsidRPr="00BF0050">
        <w:rPr>
          <w:sz w:val="26"/>
          <w:szCs w:val="26"/>
        </w:rPr>
        <w:t xml:space="preserve">еврозоны </w:t>
      </w:r>
      <w:r w:rsidRPr="00BF0050">
        <w:rPr>
          <w:sz w:val="26"/>
          <w:szCs w:val="26"/>
        </w:rPr>
        <w:t xml:space="preserve">будет ниже 1,5 % ВВП. </w:t>
      </w:r>
    </w:p>
    <w:p w:rsidR="008E3C3F" w:rsidRPr="00BF0050" w:rsidRDefault="008E3C3F" w:rsidP="00403397">
      <w:pPr>
        <w:spacing w:before="0" w:after="0"/>
        <w:jc w:val="both"/>
        <w:rPr>
          <w:sz w:val="26"/>
          <w:szCs w:val="26"/>
        </w:rPr>
      </w:pPr>
      <w:r w:rsidRPr="00BF0050">
        <w:rPr>
          <w:sz w:val="26"/>
          <w:szCs w:val="26"/>
        </w:rPr>
        <w:t xml:space="preserve">Тем не </w:t>
      </w:r>
      <w:proofErr w:type="gramStart"/>
      <w:r w:rsidRPr="00BF0050">
        <w:rPr>
          <w:sz w:val="26"/>
          <w:szCs w:val="26"/>
        </w:rPr>
        <w:t>менее</w:t>
      </w:r>
      <w:proofErr w:type="gramEnd"/>
      <w:r w:rsidRPr="00BF0050">
        <w:rPr>
          <w:sz w:val="26"/>
          <w:szCs w:val="26"/>
        </w:rPr>
        <w:t xml:space="preserve"> в Европейском Союзе и странах общей европейской валюты остаются слабыми ожидания эффективного сокращения дефицита бюджетов и увеличения темпов перехода к более строгому курсу налогово-бюджетной политики, которые были бы способны ощутимо повысить конкурентоспособность европейской экономики.</w:t>
      </w:r>
    </w:p>
    <w:p w:rsidR="008E3C3F" w:rsidRPr="00BF0050" w:rsidRDefault="008E3C3F" w:rsidP="00403397">
      <w:pPr>
        <w:spacing w:before="0" w:after="0"/>
        <w:jc w:val="both"/>
        <w:rPr>
          <w:sz w:val="26"/>
          <w:szCs w:val="26"/>
        </w:rPr>
      </w:pPr>
      <w:r w:rsidRPr="00BF0050">
        <w:rPr>
          <w:sz w:val="26"/>
          <w:szCs w:val="26"/>
        </w:rPr>
        <w:t>Страны общей европейской валюты в условиях необычно мягкой денежно-кредитной политики смогли увеличить потребление, экспорт и объемы промышленности, существенно сократив уровень безработицы и ускорив рост экономики после затяжной рецессии с 0,9</w:t>
      </w:r>
      <w:r w:rsidR="00955135" w:rsidRPr="00BF0050">
        <w:rPr>
          <w:sz w:val="26"/>
          <w:szCs w:val="26"/>
        </w:rPr>
        <w:t xml:space="preserve"> </w:t>
      </w:r>
      <w:r w:rsidRPr="00BF0050">
        <w:rPr>
          <w:sz w:val="26"/>
          <w:szCs w:val="26"/>
        </w:rPr>
        <w:t>% в 2014 году до 1,5</w:t>
      </w:r>
      <w:r w:rsidR="00955135" w:rsidRPr="00BF0050">
        <w:rPr>
          <w:sz w:val="26"/>
          <w:szCs w:val="26"/>
        </w:rPr>
        <w:t xml:space="preserve"> </w:t>
      </w:r>
      <w:r w:rsidRPr="00BF0050">
        <w:rPr>
          <w:sz w:val="26"/>
          <w:szCs w:val="26"/>
        </w:rPr>
        <w:t xml:space="preserve">% в 2015 году. </w:t>
      </w:r>
      <w:r w:rsidR="00955135" w:rsidRPr="00BF0050">
        <w:rPr>
          <w:sz w:val="26"/>
          <w:szCs w:val="26"/>
        </w:rPr>
        <w:t xml:space="preserve">В  среднесрочный </w:t>
      </w:r>
      <w:r w:rsidRPr="00BF0050">
        <w:rPr>
          <w:sz w:val="26"/>
          <w:szCs w:val="26"/>
        </w:rPr>
        <w:t xml:space="preserve">период финансовые условия постепенно будут нормализоваться, а процентная ставка вернется к росту. Инфляция будет иметь положительные значения и достигнет среднесрочной цели стабильности ЕЦБ по росту цен. Динамика европейской экономики закрепится </w:t>
      </w:r>
      <w:r w:rsidR="00F945D9" w:rsidRPr="00BF0050">
        <w:rPr>
          <w:sz w:val="26"/>
          <w:szCs w:val="26"/>
        </w:rPr>
        <w:t>в диапазоне</w:t>
      </w:r>
      <w:r w:rsidRPr="00BF0050">
        <w:rPr>
          <w:sz w:val="26"/>
          <w:szCs w:val="26"/>
        </w:rPr>
        <w:t xml:space="preserve"> 1,4–1,6 процента. </w:t>
      </w:r>
    </w:p>
    <w:p w:rsidR="008E3C3F" w:rsidRPr="00BF0050" w:rsidRDefault="008E3C3F" w:rsidP="00955135">
      <w:pPr>
        <w:spacing w:before="0" w:after="0"/>
        <w:jc w:val="both"/>
        <w:rPr>
          <w:sz w:val="26"/>
          <w:szCs w:val="26"/>
        </w:rPr>
      </w:pPr>
      <w:r w:rsidRPr="00BF0050">
        <w:rPr>
          <w:sz w:val="26"/>
          <w:szCs w:val="26"/>
        </w:rPr>
        <w:t xml:space="preserve">Банк </w:t>
      </w:r>
      <w:r w:rsidRPr="00BF0050">
        <w:rPr>
          <w:b/>
          <w:sz w:val="26"/>
          <w:szCs w:val="26"/>
        </w:rPr>
        <w:t>Японии</w:t>
      </w:r>
      <w:r w:rsidRPr="00BF0050">
        <w:rPr>
          <w:sz w:val="26"/>
          <w:szCs w:val="26"/>
        </w:rPr>
        <w:t xml:space="preserve"> </w:t>
      </w:r>
      <w:proofErr w:type="gramStart"/>
      <w:r w:rsidRPr="00BF0050">
        <w:rPr>
          <w:sz w:val="26"/>
          <w:szCs w:val="26"/>
        </w:rPr>
        <w:t>в начале</w:t>
      </w:r>
      <w:proofErr w:type="gramEnd"/>
      <w:r w:rsidRPr="00BF0050">
        <w:rPr>
          <w:sz w:val="26"/>
          <w:szCs w:val="26"/>
        </w:rPr>
        <w:t xml:space="preserve"> 2016 </w:t>
      </w:r>
      <w:r w:rsidR="00F945D9" w:rsidRPr="00BF0050">
        <w:rPr>
          <w:sz w:val="26"/>
          <w:szCs w:val="26"/>
        </w:rPr>
        <w:t xml:space="preserve">г. </w:t>
      </w:r>
      <w:r w:rsidRPr="00BF0050">
        <w:rPr>
          <w:sz w:val="26"/>
          <w:szCs w:val="26"/>
        </w:rPr>
        <w:t>установил отрицательную процентную ставку по депозитам на уровне минус 0,1</w:t>
      </w:r>
      <w:r w:rsidR="00955135" w:rsidRPr="00BF0050">
        <w:rPr>
          <w:sz w:val="26"/>
          <w:szCs w:val="26"/>
        </w:rPr>
        <w:t> </w:t>
      </w:r>
      <w:r w:rsidRPr="00BF0050">
        <w:rPr>
          <w:sz w:val="26"/>
          <w:szCs w:val="26"/>
        </w:rPr>
        <w:t>%, однако эта мера не способствовала ослаблению йены, продолжившей рост к доллару</w:t>
      </w:r>
      <w:r w:rsidR="00F945D9" w:rsidRPr="00BF0050">
        <w:rPr>
          <w:sz w:val="26"/>
          <w:szCs w:val="26"/>
        </w:rPr>
        <w:t xml:space="preserve"> США</w:t>
      </w:r>
      <w:r w:rsidR="00955135" w:rsidRPr="00BF0050">
        <w:rPr>
          <w:sz w:val="26"/>
          <w:szCs w:val="26"/>
        </w:rPr>
        <w:t>,</w:t>
      </w:r>
      <w:r w:rsidRPr="00BF0050">
        <w:rPr>
          <w:sz w:val="26"/>
          <w:szCs w:val="26"/>
        </w:rPr>
        <w:t xml:space="preserve"> и не восстановила конкурентные преимущества экспорта.</w:t>
      </w:r>
      <w:r w:rsidR="00DC769C" w:rsidRPr="00BF0050">
        <w:rPr>
          <w:sz w:val="26"/>
          <w:szCs w:val="26"/>
        </w:rPr>
        <w:t xml:space="preserve"> </w:t>
      </w:r>
      <w:r w:rsidRPr="00BF0050">
        <w:rPr>
          <w:sz w:val="26"/>
          <w:szCs w:val="26"/>
        </w:rPr>
        <w:t>Низкие потребительские расходы и замедление инвестиций корпораций в</w:t>
      </w:r>
      <w:r w:rsidR="00955135" w:rsidRPr="00BF0050">
        <w:rPr>
          <w:sz w:val="26"/>
          <w:szCs w:val="26"/>
        </w:rPr>
        <w:t> </w:t>
      </w:r>
      <w:r w:rsidRPr="00BF0050">
        <w:rPr>
          <w:sz w:val="26"/>
          <w:szCs w:val="26"/>
        </w:rPr>
        <w:t xml:space="preserve"> </w:t>
      </w:r>
      <w:r w:rsidRPr="00BF0050">
        <w:rPr>
          <w:sz w:val="26"/>
          <w:szCs w:val="26"/>
          <w:lang w:val="en-US"/>
        </w:rPr>
        <w:t>IV</w:t>
      </w:r>
      <w:r w:rsidRPr="00BF0050">
        <w:rPr>
          <w:sz w:val="26"/>
          <w:szCs w:val="26"/>
        </w:rPr>
        <w:t xml:space="preserve"> квартале 2015 г. вернули экономику Японии к спаду. В </w:t>
      </w:r>
      <w:r w:rsidRPr="00BF0050">
        <w:rPr>
          <w:sz w:val="26"/>
          <w:szCs w:val="26"/>
          <w:lang w:val="en-US"/>
        </w:rPr>
        <w:t>I</w:t>
      </w:r>
      <w:r w:rsidRPr="00BF0050">
        <w:rPr>
          <w:sz w:val="26"/>
          <w:szCs w:val="26"/>
        </w:rPr>
        <w:t xml:space="preserve"> квартале 2016 </w:t>
      </w:r>
      <w:r w:rsidR="00955135" w:rsidRPr="00BF0050">
        <w:rPr>
          <w:sz w:val="26"/>
          <w:szCs w:val="26"/>
        </w:rPr>
        <w:t xml:space="preserve">г. </w:t>
      </w:r>
      <w:r w:rsidRPr="00BF0050">
        <w:rPr>
          <w:sz w:val="26"/>
          <w:szCs w:val="26"/>
        </w:rPr>
        <w:t>промышленность остается на траектории снижения, в феврале потери превысили 6</w:t>
      </w:r>
      <w:r w:rsidR="00955135" w:rsidRPr="00BF0050">
        <w:rPr>
          <w:sz w:val="26"/>
          <w:szCs w:val="26"/>
        </w:rPr>
        <w:t> процентов</w:t>
      </w:r>
      <w:r w:rsidRPr="00BF0050">
        <w:rPr>
          <w:sz w:val="26"/>
          <w:szCs w:val="26"/>
        </w:rPr>
        <w:t>.</w:t>
      </w:r>
    </w:p>
    <w:p w:rsidR="008E3C3F" w:rsidRPr="00BF0050" w:rsidRDefault="008E3C3F" w:rsidP="00403397">
      <w:pPr>
        <w:spacing w:before="0" w:after="0"/>
        <w:jc w:val="both"/>
        <w:rPr>
          <w:sz w:val="26"/>
          <w:szCs w:val="26"/>
        </w:rPr>
      </w:pPr>
      <w:r w:rsidRPr="00BF0050">
        <w:rPr>
          <w:sz w:val="26"/>
          <w:szCs w:val="26"/>
        </w:rPr>
        <w:t xml:space="preserve">Для оживления экономики Банк Японии принял двухлетний ориентир увеличения денежной базы на 80 трлн. йен (640 млрд. долл. США) в год. Для активизации положительной динамики выпуска и минимизации негативного влияния повышения налога с продаж будет последовательно снижаться налог на корпорации, в 2016 году </w:t>
      </w:r>
      <w:r w:rsidR="00955135" w:rsidRPr="00BF0050">
        <w:rPr>
          <w:sz w:val="26"/>
          <w:szCs w:val="26"/>
        </w:rPr>
        <w:t xml:space="preserve">– </w:t>
      </w:r>
      <w:r w:rsidRPr="00BF0050">
        <w:rPr>
          <w:sz w:val="26"/>
          <w:szCs w:val="26"/>
        </w:rPr>
        <w:t>на 3,5</w:t>
      </w:r>
      <w:r w:rsidR="00955135" w:rsidRPr="00BF0050">
        <w:rPr>
          <w:sz w:val="26"/>
          <w:szCs w:val="26"/>
        </w:rPr>
        <w:t> </w:t>
      </w:r>
      <w:r w:rsidRPr="00BF0050">
        <w:rPr>
          <w:sz w:val="26"/>
          <w:szCs w:val="26"/>
        </w:rPr>
        <w:t>%, к 2020 году суммарное снижение нагрузки на предприятия достигнет 15</w:t>
      </w:r>
      <w:r w:rsidR="00955135" w:rsidRPr="00BF0050">
        <w:rPr>
          <w:sz w:val="26"/>
          <w:szCs w:val="26"/>
        </w:rPr>
        <w:t> процентов</w:t>
      </w:r>
      <w:r w:rsidRPr="00BF0050">
        <w:rPr>
          <w:sz w:val="26"/>
          <w:szCs w:val="26"/>
        </w:rPr>
        <w:t xml:space="preserve">. Оценки сохранения положительной динамики до 2019 года связаны </w:t>
      </w:r>
      <w:r w:rsidR="00DC769C" w:rsidRPr="00BF0050">
        <w:rPr>
          <w:sz w:val="26"/>
          <w:szCs w:val="26"/>
        </w:rPr>
        <w:t>с </w:t>
      </w:r>
      <w:r w:rsidRPr="00BF0050">
        <w:rPr>
          <w:sz w:val="26"/>
          <w:szCs w:val="26"/>
        </w:rPr>
        <w:t xml:space="preserve">накоплением запасов при слабом росте реальной заработной платы и потребления, но ожидаемом ускорении динамики инвестиций. Монетарные власти могут продолжить </w:t>
      </w:r>
      <w:r w:rsidRPr="00BF0050">
        <w:rPr>
          <w:sz w:val="26"/>
          <w:szCs w:val="26"/>
        </w:rPr>
        <w:lastRenderedPageBreak/>
        <w:t xml:space="preserve">осуществлять шаги по снижению стоимости заимствований, </w:t>
      </w:r>
      <w:r w:rsidR="00F945D9" w:rsidRPr="00BF0050">
        <w:rPr>
          <w:sz w:val="26"/>
          <w:szCs w:val="26"/>
        </w:rPr>
        <w:t xml:space="preserve">уводя </w:t>
      </w:r>
      <w:r w:rsidRPr="00BF0050">
        <w:rPr>
          <w:sz w:val="26"/>
          <w:szCs w:val="26"/>
        </w:rPr>
        <w:t>в отрицательную зону базовую ставку по кредитам с нынешнего уровня 0,3</w:t>
      </w:r>
      <w:r w:rsidR="00955135" w:rsidRPr="00BF0050">
        <w:rPr>
          <w:sz w:val="26"/>
          <w:szCs w:val="26"/>
        </w:rPr>
        <w:t> </w:t>
      </w:r>
      <w:r w:rsidRPr="00BF0050">
        <w:rPr>
          <w:sz w:val="26"/>
          <w:szCs w:val="26"/>
        </w:rPr>
        <w:t>%, усиливая стимулы наращивания долга корпоративным сектором и потребительских расходов домохозяйств. Но влияние отрицательных ставок может противоречить целям инвестиционного роста.</w:t>
      </w:r>
    </w:p>
    <w:p w:rsidR="008E3C3F" w:rsidRPr="00BF0050" w:rsidRDefault="008E3C3F" w:rsidP="00403397">
      <w:pPr>
        <w:spacing w:before="0" w:after="0"/>
        <w:jc w:val="both"/>
        <w:rPr>
          <w:sz w:val="26"/>
          <w:szCs w:val="26"/>
        </w:rPr>
      </w:pPr>
      <w:r w:rsidRPr="00BF0050">
        <w:rPr>
          <w:sz w:val="26"/>
          <w:szCs w:val="26"/>
        </w:rPr>
        <w:t xml:space="preserve">Необычно мягкая монетарная политика и отрицательные ставки </w:t>
      </w:r>
      <w:r w:rsidR="00F945D9" w:rsidRPr="00BF0050">
        <w:rPr>
          <w:sz w:val="26"/>
          <w:szCs w:val="26"/>
        </w:rPr>
        <w:t xml:space="preserve">привели </w:t>
      </w:r>
      <w:r w:rsidRPr="00BF0050">
        <w:rPr>
          <w:sz w:val="26"/>
          <w:szCs w:val="26"/>
        </w:rPr>
        <w:t xml:space="preserve">доходность суверенных </w:t>
      </w:r>
      <w:r w:rsidR="00F945D9" w:rsidRPr="00BF0050">
        <w:rPr>
          <w:sz w:val="26"/>
          <w:szCs w:val="26"/>
        </w:rPr>
        <w:t xml:space="preserve">облигаций </w:t>
      </w:r>
      <w:r w:rsidRPr="00BF0050">
        <w:rPr>
          <w:sz w:val="26"/>
          <w:szCs w:val="26"/>
        </w:rPr>
        <w:t xml:space="preserve">в отрицательную зону и оказали давление на долговые инструменты и фондовый рынок, запустив масштабный процесс выхода инвесторов из высоконадежных активов Японии и Европы и повысив спрос на казначейские облигации США, облегчив долговую нагрузку на американскую экономику. Повысится также спрос на активы развивающихся рынков, имеющих существенно более привлекательную доходность при приемлемых уровнях риска. </w:t>
      </w:r>
    </w:p>
    <w:p w:rsidR="008E3C3F" w:rsidRPr="00BF0050" w:rsidRDefault="008E3C3F" w:rsidP="00403397">
      <w:pPr>
        <w:spacing w:before="0" w:after="0"/>
        <w:jc w:val="both"/>
        <w:rPr>
          <w:sz w:val="26"/>
          <w:szCs w:val="26"/>
        </w:rPr>
      </w:pPr>
      <w:r w:rsidRPr="00BF0050">
        <w:rPr>
          <w:sz w:val="26"/>
          <w:szCs w:val="26"/>
        </w:rPr>
        <w:t xml:space="preserve">В </w:t>
      </w:r>
      <w:r w:rsidR="00955135" w:rsidRPr="00BF0050">
        <w:rPr>
          <w:sz w:val="26"/>
          <w:szCs w:val="26"/>
        </w:rPr>
        <w:t xml:space="preserve">среднесрочный </w:t>
      </w:r>
      <w:r w:rsidRPr="00BF0050">
        <w:rPr>
          <w:sz w:val="26"/>
          <w:szCs w:val="26"/>
        </w:rPr>
        <w:t xml:space="preserve">период в экономике Японии сохранится потенциал роста на уровне </w:t>
      </w:r>
      <w:r w:rsidR="00F945D9" w:rsidRPr="00BF0050">
        <w:rPr>
          <w:sz w:val="26"/>
          <w:szCs w:val="26"/>
        </w:rPr>
        <w:t>1 %</w:t>
      </w:r>
      <w:r w:rsidRPr="00BF0050">
        <w:rPr>
          <w:sz w:val="26"/>
          <w:szCs w:val="26"/>
        </w:rPr>
        <w:t xml:space="preserve"> в год, поддерживаемый расширением потребления домашних хозяйств за счет повышения доходов и бюджетной поддержки, а также расширением инвестиционных ресурсов за счет мягких финансовых условий. </w:t>
      </w:r>
    </w:p>
    <w:p w:rsidR="008E3C3F" w:rsidRPr="00BF0050" w:rsidRDefault="008E3C3F" w:rsidP="00403397">
      <w:pPr>
        <w:spacing w:before="0" w:after="0"/>
        <w:jc w:val="both"/>
        <w:rPr>
          <w:sz w:val="26"/>
          <w:szCs w:val="26"/>
        </w:rPr>
      </w:pPr>
      <w:r w:rsidRPr="00BF0050">
        <w:rPr>
          <w:sz w:val="26"/>
          <w:szCs w:val="26"/>
        </w:rPr>
        <w:t>Экономика</w:t>
      </w:r>
      <w:r w:rsidRPr="00BF0050">
        <w:rPr>
          <w:b/>
          <w:sz w:val="26"/>
          <w:szCs w:val="26"/>
        </w:rPr>
        <w:t xml:space="preserve"> Китая</w:t>
      </w:r>
      <w:r w:rsidRPr="00BF0050">
        <w:rPr>
          <w:sz w:val="26"/>
          <w:szCs w:val="26"/>
        </w:rPr>
        <w:t xml:space="preserve"> будет оставаться на траектории снижения темпов роста валового внутреннего продукта при существенно растущих рисках</w:t>
      </w:r>
      <w:r w:rsidR="00F945D9" w:rsidRPr="00BF0050">
        <w:rPr>
          <w:sz w:val="26"/>
          <w:szCs w:val="26"/>
        </w:rPr>
        <w:t xml:space="preserve"> более сильного падения</w:t>
      </w:r>
      <w:r w:rsidRPr="00BF0050">
        <w:rPr>
          <w:sz w:val="26"/>
          <w:szCs w:val="26"/>
        </w:rPr>
        <w:t xml:space="preserve">, как для Китая, так и для мировой экономики. Это может оказать дестабилизирующее влияние на финансовые системы ведущих стран, объемы мировой торговли и динамику цен на ресурсных рынках. В 2015 году усилились сигналы внезапных обвалов фондового рынка и отдельных секторов экономики Китая, накопивших в период бурного роста сильно </w:t>
      </w:r>
      <w:proofErr w:type="spellStart"/>
      <w:r w:rsidRPr="00BF0050">
        <w:rPr>
          <w:sz w:val="26"/>
          <w:szCs w:val="26"/>
        </w:rPr>
        <w:t>закредитованные</w:t>
      </w:r>
      <w:proofErr w:type="spellEnd"/>
      <w:r w:rsidRPr="00BF0050">
        <w:rPr>
          <w:sz w:val="26"/>
          <w:szCs w:val="26"/>
        </w:rPr>
        <w:t xml:space="preserve"> избыточные мощности, другие ресурсы и активы, имеющие значительные риски снижения стоимости и потери ликвидности.  </w:t>
      </w:r>
    </w:p>
    <w:p w:rsidR="008E3C3F" w:rsidRPr="00BF0050" w:rsidRDefault="008E3C3F" w:rsidP="00403397">
      <w:pPr>
        <w:spacing w:before="0" w:after="0"/>
        <w:jc w:val="both"/>
        <w:rPr>
          <w:sz w:val="26"/>
          <w:szCs w:val="26"/>
        </w:rPr>
      </w:pPr>
      <w:r w:rsidRPr="00BF0050">
        <w:rPr>
          <w:sz w:val="26"/>
          <w:szCs w:val="26"/>
        </w:rPr>
        <w:t xml:space="preserve">Во </w:t>
      </w:r>
      <w:r w:rsidR="00DC769C" w:rsidRPr="00BF0050">
        <w:rPr>
          <w:sz w:val="26"/>
          <w:szCs w:val="26"/>
        </w:rPr>
        <w:t xml:space="preserve">втором </w:t>
      </w:r>
      <w:r w:rsidRPr="00BF0050">
        <w:rPr>
          <w:sz w:val="26"/>
          <w:szCs w:val="26"/>
        </w:rPr>
        <w:t xml:space="preserve">полугодии 2015 </w:t>
      </w:r>
      <w:r w:rsidR="00DC769C" w:rsidRPr="00BF0050">
        <w:rPr>
          <w:sz w:val="26"/>
          <w:szCs w:val="26"/>
        </w:rPr>
        <w:t xml:space="preserve">г. </w:t>
      </w:r>
      <w:r w:rsidRPr="00BF0050">
        <w:rPr>
          <w:sz w:val="26"/>
          <w:szCs w:val="26"/>
        </w:rPr>
        <w:t xml:space="preserve">за несколько недель основной индикатор фондового рынка Китая </w:t>
      </w:r>
      <w:r w:rsidRPr="00BF0050">
        <w:rPr>
          <w:sz w:val="26"/>
          <w:szCs w:val="26"/>
          <w:lang w:val="en-US"/>
        </w:rPr>
        <w:t>Shanghai</w:t>
      </w:r>
      <w:r w:rsidRPr="00BF0050">
        <w:rPr>
          <w:sz w:val="26"/>
          <w:szCs w:val="26"/>
        </w:rPr>
        <w:t xml:space="preserve"> </w:t>
      </w:r>
      <w:r w:rsidRPr="00BF0050">
        <w:rPr>
          <w:sz w:val="26"/>
          <w:szCs w:val="26"/>
          <w:lang w:val="en-US"/>
        </w:rPr>
        <w:t>Composite</w:t>
      </w:r>
      <w:r w:rsidRPr="00BF0050">
        <w:rPr>
          <w:sz w:val="26"/>
          <w:szCs w:val="26"/>
        </w:rPr>
        <w:t xml:space="preserve"> </w:t>
      </w:r>
      <w:r w:rsidR="00F945D9" w:rsidRPr="00BF0050">
        <w:rPr>
          <w:sz w:val="26"/>
          <w:szCs w:val="26"/>
        </w:rPr>
        <w:t>обвалился более</w:t>
      </w:r>
      <w:r w:rsidRPr="00BF0050">
        <w:rPr>
          <w:sz w:val="26"/>
          <w:szCs w:val="26"/>
        </w:rPr>
        <w:t xml:space="preserve"> чем на 40</w:t>
      </w:r>
      <w:r w:rsidR="00DC769C" w:rsidRPr="00BF0050">
        <w:rPr>
          <w:sz w:val="26"/>
          <w:szCs w:val="26"/>
        </w:rPr>
        <w:t> </w:t>
      </w:r>
      <w:r w:rsidRPr="00BF0050">
        <w:rPr>
          <w:sz w:val="26"/>
          <w:szCs w:val="26"/>
        </w:rPr>
        <w:t xml:space="preserve">%, а золотовалютные резервы к </w:t>
      </w:r>
      <w:r w:rsidRPr="00BF0050">
        <w:rPr>
          <w:sz w:val="26"/>
          <w:szCs w:val="26"/>
          <w:lang w:val="en-US"/>
        </w:rPr>
        <w:t>I</w:t>
      </w:r>
      <w:r w:rsidRPr="00BF0050">
        <w:rPr>
          <w:sz w:val="26"/>
          <w:szCs w:val="26"/>
        </w:rPr>
        <w:t xml:space="preserve"> кварталу 2016 </w:t>
      </w:r>
      <w:r w:rsidR="00DC769C" w:rsidRPr="00BF0050">
        <w:rPr>
          <w:sz w:val="26"/>
          <w:szCs w:val="26"/>
        </w:rPr>
        <w:t xml:space="preserve">г. </w:t>
      </w:r>
      <w:r w:rsidRPr="00BF0050">
        <w:rPr>
          <w:sz w:val="26"/>
          <w:szCs w:val="26"/>
        </w:rPr>
        <w:t xml:space="preserve">уменьшились более чем на 700 млрд. </w:t>
      </w:r>
      <w:r w:rsidR="00DC769C" w:rsidRPr="00BF0050">
        <w:rPr>
          <w:sz w:val="26"/>
          <w:szCs w:val="26"/>
        </w:rPr>
        <w:t xml:space="preserve">долл. США </w:t>
      </w:r>
      <w:r w:rsidRPr="00BF0050">
        <w:rPr>
          <w:sz w:val="26"/>
          <w:szCs w:val="26"/>
        </w:rPr>
        <w:t xml:space="preserve">по сравнению </w:t>
      </w:r>
      <w:r w:rsidR="00DC769C" w:rsidRPr="00BF0050">
        <w:rPr>
          <w:sz w:val="26"/>
          <w:szCs w:val="26"/>
        </w:rPr>
        <w:t>с </w:t>
      </w:r>
      <w:r w:rsidRPr="00BF0050">
        <w:rPr>
          <w:sz w:val="26"/>
          <w:szCs w:val="26"/>
        </w:rPr>
        <w:t xml:space="preserve">уровнем 2014 года, повысив потенциал возможной девальвации юаня. </w:t>
      </w:r>
    </w:p>
    <w:p w:rsidR="008E3C3F" w:rsidRPr="00BF0050" w:rsidRDefault="008E3C3F" w:rsidP="00403397">
      <w:pPr>
        <w:shd w:val="clear" w:color="auto" w:fill="FFFFFF"/>
        <w:spacing w:before="0" w:after="0"/>
        <w:jc w:val="both"/>
        <w:rPr>
          <w:sz w:val="26"/>
          <w:szCs w:val="26"/>
        </w:rPr>
      </w:pPr>
      <w:r w:rsidRPr="00BF0050">
        <w:rPr>
          <w:sz w:val="26"/>
          <w:szCs w:val="26"/>
        </w:rPr>
        <w:t xml:space="preserve">Двойное смягчение монетарной политики, используя снижение ставки и нормы резервирования, а </w:t>
      </w:r>
      <w:proofErr w:type="gramStart"/>
      <w:r w:rsidRPr="00BF0050">
        <w:rPr>
          <w:sz w:val="26"/>
          <w:szCs w:val="26"/>
        </w:rPr>
        <w:t>затем</w:t>
      </w:r>
      <w:proofErr w:type="gramEnd"/>
      <w:r w:rsidRPr="00BF0050">
        <w:rPr>
          <w:sz w:val="26"/>
          <w:szCs w:val="26"/>
        </w:rPr>
        <w:t xml:space="preserve"> увеличивая объемы свежей ликвидности, предоставляемой финансовой системе, остановило стремительное падение фондового рынка, увеличив риски быстрого замедления в целом по экономике.</w:t>
      </w:r>
    </w:p>
    <w:p w:rsidR="008E3C3F" w:rsidRPr="00BF0050" w:rsidRDefault="008E3C3F" w:rsidP="00403397">
      <w:pPr>
        <w:spacing w:before="0" w:after="0"/>
        <w:jc w:val="both"/>
        <w:rPr>
          <w:sz w:val="26"/>
          <w:szCs w:val="26"/>
        </w:rPr>
      </w:pPr>
      <w:r w:rsidRPr="00BF0050">
        <w:rPr>
          <w:sz w:val="26"/>
          <w:szCs w:val="26"/>
        </w:rPr>
        <w:t>Возросшие риски устойчивости экономики Китая вынужден учитывать Фед</w:t>
      </w:r>
      <w:r w:rsidR="00DC769C" w:rsidRPr="00BF0050">
        <w:rPr>
          <w:sz w:val="26"/>
          <w:szCs w:val="26"/>
        </w:rPr>
        <w:t xml:space="preserve">еральный </w:t>
      </w:r>
      <w:r w:rsidRPr="00BF0050">
        <w:rPr>
          <w:sz w:val="26"/>
          <w:szCs w:val="26"/>
        </w:rPr>
        <w:t xml:space="preserve">резерв США при рассмотрении возможностей повышения ставки. Рост доллара может снизить импорт Китая и вынужденные продажи американских финансовых активов, что несет угрозу фондовому рынку США. </w:t>
      </w:r>
    </w:p>
    <w:p w:rsidR="008E3C3F" w:rsidRPr="00BF0050" w:rsidRDefault="003A1A38" w:rsidP="00403397">
      <w:pPr>
        <w:spacing w:before="0" w:after="0"/>
        <w:jc w:val="both"/>
        <w:rPr>
          <w:sz w:val="26"/>
          <w:szCs w:val="26"/>
        </w:rPr>
      </w:pPr>
      <w:r w:rsidRPr="00BF0050">
        <w:rPr>
          <w:sz w:val="26"/>
          <w:szCs w:val="26"/>
        </w:rPr>
        <w:t>ВВП Китая в I</w:t>
      </w:r>
      <w:r w:rsidRPr="00BF0050">
        <w:rPr>
          <w:sz w:val="26"/>
          <w:szCs w:val="26"/>
          <w:lang w:val="en-US"/>
        </w:rPr>
        <w:t>V</w:t>
      </w:r>
      <w:r w:rsidRPr="00BF0050">
        <w:rPr>
          <w:sz w:val="26"/>
          <w:szCs w:val="26"/>
        </w:rPr>
        <w:t xml:space="preserve"> квартале 2015 г. замедлился до 6,8 % и был минимальным за последнюю четверть века. </w:t>
      </w:r>
      <w:r w:rsidR="008E3C3F" w:rsidRPr="00BF0050">
        <w:rPr>
          <w:sz w:val="26"/>
          <w:szCs w:val="26"/>
        </w:rPr>
        <w:t>Экономическая политика Китая будет направлена на удержание 6-</w:t>
      </w:r>
      <w:r w:rsidR="00DC769C" w:rsidRPr="00BF0050">
        <w:rPr>
          <w:sz w:val="26"/>
          <w:szCs w:val="26"/>
        </w:rPr>
        <w:t>процент</w:t>
      </w:r>
      <w:r w:rsidR="008E3C3F" w:rsidRPr="00BF0050">
        <w:rPr>
          <w:sz w:val="26"/>
          <w:szCs w:val="26"/>
        </w:rPr>
        <w:t xml:space="preserve">ного порога роста, позволяющего сохранить стабильность ресурсов потребления для населения численностью 1,38 млрд. человек и создавать новые рабочие места для сохранения уровня занятости и поддержания доходов населения. </w:t>
      </w:r>
    </w:p>
    <w:p w:rsidR="008E3C3F" w:rsidRPr="00BF0050" w:rsidRDefault="008E3C3F" w:rsidP="00403397">
      <w:pPr>
        <w:spacing w:before="0" w:after="0"/>
        <w:jc w:val="both"/>
        <w:rPr>
          <w:sz w:val="26"/>
          <w:szCs w:val="26"/>
        </w:rPr>
      </w:pPr>
      <w:r w:rsidRPr="00BF0050">
        <w:rPr>
          <w:sz w:val="26"/>
          <w:szCs w:val="26"/>
        </w:rPr>
        <w:lastRenderedPageBreak/>
        <w:t xml:space="preserve">В 2016 году динамика экономики Китая замедлится до 6,5 % под влиянием охлаждения рынка недвижимости, сокращения объемов кредитования предприятий </w:t>
      </w:r>
      <w:r w:rsidR="00DC769C" w:rsidRPr="00BF0050">
        <w:rPr>
          <w:sz w:val="26"/>
          <w:szCs w:val="26"/>
        </w:rPr>
        <w:t>и </w:t>
      </w:r>
      <w:r w:rsidRPr="00BF0050">
        <w:rPr>
          <w:sz w:val="26"/>
          <w:szCs w:val="26"/>
        </w:rPr>
        <w:t>региональных органов хозяйственного управления, замедления и структурной трансформации инвестиционной активности. Рост будет минимальным с 1990 года, но экономика Китая останется высоко</w:t>
      </w:r>
      <w:r w:rsidR="00DC769C" w:rsidRPr="00BF0050">
        <w:rPr>
          <w:sz w:val="26"/>
          <w:szCs w:val="26"/>
        </w:rPr>
        <w:t xml:space="preserve"> </w:t>
      </w:r>
      <w:r w:rsidRPr="00BF0050">
        <w:rPr>
          <w:sz w:val="26"/>
          <w:szCs w:val="26"/>
        </w:rPr>
        <w:t xml:space="preserve">капиталоемкой – для поддержания восходящей динамики требуется существенное расширение инвестиций. Доля инвестиций в ВВП удерживается на уровне 45 %, но динамика инвестиций замедляется с 22,9 % роста </w:t>
      </w:r>
      <w:r w:rsidR="00DC769C" w:rsidRPr="00BF0050">
        <w:rPr>
          <w:sz w:val="26"/>
          <w:szCs w:val="26"/>
        </w:rPr>
        <w:t xml:space="preserve">             </w:t>
      </w:r>
      <w:r w:rsidRPr="00BF0050">
        <w:rPr>
          <w:sz w:val="26"/>
          <w:szCs w:val="26"/>
        </w:rPr>
        <w:t>в 2009 году до 4,9 % в 2015 году.</w:t>
      </w:r>
    </w:p>
    <w:p w:rsidR="008E3C3F" w:rsidRPr="00BF0050" w:rsidRDefault="008E3C3F" w:rsidP="00403397">
      <w:pPr>
        <w:spacing w:before="0" w:after="0"/>
        <w:jc w:val="both"/>
        <w:rPr>
          <w:sz w:val="26"/>
          <w:szCs w:val="26"/>
        </w:rPr>
      </w:pPr>
      <w:r w:rsidRPr="00BF0050">
        <w:rPr>
          <w:sz w:val="26"/>
          <w:szCs w:val="26"/>
        </w:rPr>
        <w:t xml:space="preserve">В период до 2019 года внешние и внутренние инвестиционные ресурсы экономики Китая будут уменьшаться, а </w:t>
      </w:r>
      <w:proofErr w:type="spellStart"/>
      <w:r w:rsidRPr="00BF0050">
        <w:rPr>
          <w:sz w:val="26"/>
          <w:szCs w:val="26"/>
        </w:rPr>
        <w:t>перебалансирование</w:t>
      </w:r>
      <w:proofErr w:type="spellEnd"/>
      <w:r w:rsidRPr="00BF0050">
        <w:rPr>
          <w:sz w:val="26"/>
          <w:szCs w:val="26"/>
        </w:rPr>
        <w:t xml:space="preserve"> источников роста с целью увеличения вклада внутреннего потребления будет более медленным и не компенсирует внешние факторы, поддерживавшие рост на 10</w:t>
      </w:r>
      <w:r w:rsidR="00DC769C" w:rsidRPr="00BF0050">
        <w:rPr>
          <w:sz w:val="26"/>
          <w:szCs w:val="26"/>
        </w:rPr>
        <w:t>-процент</w:t>
      </w:r>
      <w:r w:rsidRPr="00BF0050">
        <w:rPr>
          <w:sz w:val="26"/>
          <w:szCs w:val="26"/>
        </w:rPr>
        <w:t xml:space="preserve">ном уровне на протяжении десятилетнего периода. </w:t>
      </w:r>
      <w:r w:rsidR="00A65403" w:rsidRPr="00BF0050">
        <w:rPr>
          <w:sz w:val="26"/>
          <w:szCs w:val="26"/>
        </w:rPr>
        <w:t xml:space="preserve">Усиление </w:t>
      </w:r>
      <w:r w:rsidRPr="00BF0050">
        <w:rPr>
          <w:sz w:val="26"/>
          <w:szCs w:val="26"/>
        </w:rPr>
        <w:t xml:space="preserve">монетарного стимула для разогрева экономики увеличивает кредитование уже перегретых секторов экономики, балансы которых существенно отягощены плохими долгами. </w:t>
      </w:r>
    </w:p>
    <w:p w:rsidR="008E3C3F" w:rsidRPr="00BF0050" w:rsidRDefault="008E3C3F" w:rsidP="00403397">
      <w:pPr>
        <w:spacing w:before="0" w:after="0"/>
        <w:jc w:val="both"/>
        <w:rPr>
          <w:sz w:val="26"/>
          <w:szCs w:val="26"/>
        </w:rPr>
      </w:pPr>
      <w:r w:rsidRPr="00BF0050">
        <w:rPr>
          <w:sz w:val="26"/>
          <w:szCs w:val="26"/>
        </w:rPr>
        <w:t xml:space="preserve">В среднесрочный период возможности стимулирования роста </w:t>
      </w:r>
      <w:r w:rsidR="003A1A38" w:rsidRPr="00BF0050">
        <w:rPr>
          <w:sz w:val="26"/>
          <w:szCs w:val="26"/>
        </w:rPr>
        <w:t xml:space="preserve">экономики </w:t>
      </w:r>
      <w:r w:rsidRPr="00BF0050">
        <w:rPr>
          <w:sz w:val="26"/>
          <w:szCs w:val="26"/>
        </w:rPr>
        <w:t>будут ограничены решением задач по снижению уязвимости, вызванной чрезмерным ростом кредитов, ухудшением балансов ряда крупных банков и провинций, снижением эффективности инвестиций.</w:t>
      </w:r>
    </w:p>
    <w:p w:rsidR="008E3C3F" w:rsidRPr="00BF0050" w:rsidRDefault="008E3C3F" w:rsidP="00403397">
      <w:pPr>
        <w:spacing w:before="0" w:after="0"/>
        <w:jc w:val="both"/>
        <w:rPr>
          <w:sz w:val="26"/>
          <w:szCs w:val="26"/>
        </w:rPr>
      </w:pPr>
      <w:r w:rsidRPr="00BF0050">
        <w:rPr>
          <w:sz w:val="26"/>
          <w:szCs w:val="26"/>
        </w:rPr>
        <w:t xml:space="preserve">Учитывая капиталоемкий характер экономики Китая, замедление инвестиций </w:t>
      </w:r>
      <w:r w:rsidR="00DC769C" w:rsidRPr="00BF0050">
        <w:rPr>
          <w:sz w:val="26"/>
          <w:szCs w:val="26"/>
        </w:rPr>
        <w:t>в </w:t>
      </w:r>
      <w:r w:rsidRPr="00BF0050">
        <w:rPr>
          <w:sz w:val="26"/>
          <w:szCs w:val="26"/>
        </w:rPr>
        <w:t xml:space="preserve">отсутствие заметной структурной трансформации экономики существенно ослабляет потенциальную базу роста. Наиболее заметно динамика инвестиций затормозится </w:t>
      </w:r>
      <w:r w:rsidR="00DC769C" w:rsidRPr="00BF0050">
        <w:rPr>
          <w:sz w:val="26"/>
          <w:szCs w:val="26"/>
        </w:rPr>
        <w:t>в </w:t>
      </w:r>
      <w:r w:rsidRPr="00BF0050">
        <w:rPr>
          <w:sz w:val="26"/>
          <w:szCs w:val="26"/>
        </w:rPr>
        <w:t xml:space="preserve">строительстве и секторе недвижимости. </w:t>
      </w:r>
    </w:p>
    <w:p w:rsidR="008E3C3F" w:rsidRPr="00BF0050" w:rsidRDefault="008E3C3F" w:rsidP="00403397">
      <w:pPr>
        <w:widowControl w:val="0"/>
        <w:spacing w:before="0" w:after="0"/>
        <w:jc w:val="both"/>
        <w:rPr>
          <w:sz w:val="26"/>
          <w:szCs w:val="26"/>
        </w:rPr>
      </w:pPr>
      <w:r w:rsidRPr="00BF0050">
        <w:rPr>
          <w:sz w:val="26"/>
          <w:szCs w:val="26"/>
        </w:rPr>
        <w:t>В период до 2019 года расширение внутреннего спроса будет сдерживаться замедлением роста ряда отраслей промышленности, а также сокращени</w:t>
      </w:r>
      <w:r w:rsidR="00DC769C" w:rsidRPr="00BF0050">
        <w:rPr>
          <w:sz w:val="26"/>
          <w:szCs w:val="26"/>
        </w:rPr>
        <w:t>ем</w:t>
      </w:r>
      <w:r w:rsidRPr="00BF0050">
        <w:rPr>
          <w:sz w:val="26"/>
          <w:szCs w:val="26"/>
        </w:rPr>
        <w:t xml:space="preserve"> издержек на труд корпорациями, испытывающими растущее конкурентное давление со стороны продукции других азиатских стран, существенно повысивших в последнее время технологический уровень производства при отсутствии заметного роста стоимости рабочей силы. Помимо этого усиление дефляционных тенденций в экономике Китая может быть поддержано консолидацией балансов госбанков и провинций. </w:t>
      </w:r>
    </w:p>
    <w:p w:rsidR="008E3C3F" w:rsidRPr="00BF0050" w:rsidRDefault="008E3C3F" w:rsidP="00403397">
      <w:pPr>
        <w:spacing w:before="0" w:after="0"/>
        <w:jc w:val="both"/>
        <w:rPr>
          <w:sz w:val="26"/>
          <w:szCs w:val="26"/>
        </w:rPr>
      </w:pPr>
      <w:r w:rsidRPr="00BF0050">
        <w:rPr>
          <w:sz w:val="26"/>
          <w:szCs w:val="26"/>
        </w:rPr>
        <w:t xml:space="preserve">В </w:t>
      </w:r>
      <w:r w:rsidR="00A65403" w:rsidRPr="00BF0050">
        <w:rPr>
          <w:sz w:val="26"/>
          <w:szCs w:val="26"/>
        </w:rPr>
        <w:t xml:space="preserve">прогнозный </w:t>
      </w:r>
      <w:r w:rsidRPr="00BF0050">
        <w:rPr>
          <w:sz w:val="26"/>
          <w:szCs w:val="26"/>
        </w:rPr>
        <w:t xml:space="preserve">период ожидается последовательное замедление экономики Китая </w:t>
      </w:r>
      <w:r w:rsidR="005B59D2" w:rsidRPr="00BF0050">
        <w:rPr>
          <w:sz w:val="26"/>
          <w:szCs w:val="26"/>
        </w:rPr>
        <w:t>с </w:t>
      </w:r>
      <w:r w:rsidR="00F16925" w:rsidRPr="00BF0050">
        <w:rPr>
          <w:sz w:val="26"/>
          <w:szCs w:val="26"/>
        </w:rPr>
        <w:t> </w:t>
      </w:r>
      <w:r w:rsidRPr="00BF0050">
        <w:rPr>
          <w:sz w:val="26"/>
          <w:szCs w:val="26"/>
        </w:rPr>
        <w:t>6,9 % в 2015 году до 5,9 % в 2019 году, что будет сдерживать ро</w:t>
      </w:r>
      <w:proofErr w:type="gramStart"/>
      <w:r w:rsidRPr="00BF0050">
        <w:rPr>
          <w:sz w:val="26"/>
          <w:szCs w:val="26"/>
        </w:rPr>
        <w:t>ст стр</w:t>
      </w:r>
      <w:proofErr w:type="gramEnd"/>
      <w:r w:rsidRPr="00BF0050">
        <w:rPr>
          <w:sz w:val="26"/>
          <w:szCs w:val="26"/>
        </w:rPr>
        <w:t xml:space="preserve">ан Азии </w:t>
      </w:r>
      <w:r w:rsidR="005B59D2" w:rsidRPr="00BF0050">
        <w:rPr>
          <w:sz w:val="26"/>
          <w:szCs w:val="26"/>
        </w:rPr>
        <w:t>с </w:t>
      </w:r>
      <w:r w:rsidRPr="00BF0050">
        <w:rPr>
          <w:sz w:val="26"/>
          <w:szCs w:val="26"/>
        </w:rPr>
        <w:t xml:space="preserve">формирующимися рынками и иметь негативные последствия для спроса на глобальных рынках ресурсов и для экономик развивающихся стран-экспортеров. </w:t>
      </w:r>
    </w:p>
    <w:p w:rsidR="00C1551D" w:rsidRPr="00BF0050" w:rsidRDefault="00C1551D">
      <w:pPr>
        <w:spacing w:before="0" w:after="0" w:line="240" w:lineRule="auto"/>
        <w:ind w:firstLine="0"/>
        <w:rPr>
          <w:b/>
          <w:bCs/>
          <w:color w:val="000000"/>
          <w:sz w:val="26"/>
          <w:szCs w:val="26"/>
        </w:rPr>
      </w:pPr>
      <w:bookmarkStart w:id="12" w:name="YANDEX_6"/>
      <w:bookmarkStart w:id="13" w:name="YANDEX_7"/>
      <w:bookmarkStart w:id="14" w:name="YANDEX_8"/>
      <w:bookmarkStart w:id="15" w:name="YANDEX_9"/>
      <w:bookmarkStart w:id="16" w:name="YANDEX_10"/>
      <w:bookmarkStart w:id="17" w:name="YANDEX_11"/>
      <w:bookmarkStart w:id="18" w:name="YANDEX_13"/>
      <w:bookmarkStart w:id="19" w:name="_Toc447812940"/>
      <w:bookmarkEnd w:id="12"/>
      <w:bookmarkEnd w:id="13"/>
      <w:bookmarkEnd w:id="14"/>
      <w:bookmarkEnd w:id="15"/>
      <w:bookmarkEnd w:id="16"/>
      <w:bookmarkEnd w:id="17"/>
      <w:bookmarkEnd w:id="18"/>
      <w:r w:rsidRPr="00BF0050">
        <w:rPr>
          <w:color w:val="000000"/>
          <w:sz w:val="26"/>
          <w:szCs w:val="26"/>
        </w:rPr>
        <w:br w:type="page"/>
      </w:r>
    </w:p>
    <w:p w:rsidR="00564B29" w:rsidRPr="00BF0050" w:rsidRDefault="0029734C" w:rsidP="009251A6">
      <w:pPr>
        <w:pStyle w:val="1"/>
        <w:spacing w:before="240" w:after="240" w:line="360" w:lineRule="exact"/>
        <w:ind w:firstLine="0"/>
        <w:jc w:val="center"/>
        <w:rPr>
          <w:rFonts w:ascii="Times New Roman" w:hAnsi="Times New Roman"/>
          <w:color w:val="auto"/>
          <w:sz w:val="26"/>
          <w:szCs w:val="26"/>
        </w:rPr>
      </w:pPr>
      <w:r w:rsidRPr="00BF0050">
        <w:rPr>
          <w:rFonts w:ascii="Times New Roman" w:hAnsi="Times New Roman"/>
          <w:color w:val="000000"/>
          <w:sz w:val="26"/>
          <w:szCs w:val="26"/>
        </w:rPr>
        <w:lastRenderedPageBreak/>
        <w:t xml:space="preserve">3. </w:t>
      </w:r>
      <w:r w:rsidR="00EB0F91" w:rsidRPr="00BF0050">
        <w:rPr>
          <w:rFonts w:ascii="Times New Roman" w:hAnsi="Times New Roman"/>
          <w:color w:val="000000"/>
          <w:sz w:val="26"/>
          <w:szCs w:val="26"/>
        </w:rPr>
        <w:t xml:space="preserve">   </w:t>
      </w:r>
      <w:r w:rsidRPr="00BF0050">
        <w:rPr>
          <w:rFonts w:ascii="Times New Roman" w:hAnsi="Times New Roman"/>
          <w:color w:val="000000"/>
          <w:sz w:val="26"/>
          <w:szCs w:val="26"/>
        </w:rPr>
        <w:t xml:space="preserve">Демографическая </w:t>
      </w:r>
      <w:r w:rsidRPr="00BF0050">
        <w:rPr>
          <w:rFonts w:ascii="Times New Roman" w:hAnsi="Times New Roman"/>
          <w:color w:val="auto"/>
          <w:sz w:val="26"/>
          <w:szCs w:val="26"/>
        </w:rPr>
        <w:t>ситуация</w:t>
      </w:r>
      <w:bookmarkEnd w:id="19"/>
    </w:p>
    <w:p w:rsidR="00E07128" w:rsidRPr="00BF0050" w:rsidRDefault="00E07128" w:rsidP="005458C8">
      <w:pPr>
        <w:spacing w:after="0"/>
        <w:jc w:val="both"/>
        <w:rPr>
          <w:sz w:val="26"/>
          <w:szCs w:val="26"/>
        </w:rPr>
      </w:pPr>
      <w:r w:rsidRPr="00BF0050">
        <w:rPr>
          <w:sz w:val="26"/>
          <w:szCs w:val="26"/>
        </w:rPr>
        <w:t>Варианты социально-экономического прогноза рассчитаны на основе среднего сценария демографического прогноза, разработанного Росстатом и скорректированного с</w:t>
      </w:r>
      <w:r w:rsidR="002F4260" w:rsidRPr="00BF0050">
        <w:rPr>
          <w:sz w:val="26"/>
          <w:szCs w:val="26"/>
        </w:rPr>
        <w:t> </w:t>
      </w:r>
      <w:r w:rsidRPr="00BF0050">
        <w:rPr>
          <w:sz w:val="26"/>
          <w:szCs w:val="26"/>
        </w:rPr>
        <w:t>учетом оценки численности населения на начало 2016 года. Демографический прогноз предполагает усиление тенденции старения населения и ухудшение возрастной структуры.</w:t>
      </w:r>
    </w:p>
    <w:p w:rsidR="00E07128" w:rsidRPr="00BF0050" w:rsidRDefault="00E07128" w:rsidP="005458C8">
      <w:pPr>
        <w:widowControl w:val="0"/>
        <w:spacing w:before="0" w:after="0"/>
        <w:jc w:val="both"/>
        <w:rPr>
          <w:sz w:val="26"/>
          <w:szCs w:val="26"/>
        </w:rPr>
      </w:pPr>
      <w:r w:rsidRPr="00BF0050">
        <w:rPr>
          <w:sz w:val="26"/>
          <w:szCs w:val="26"/>
        </w:rPr>
        <w:t xml:space="preserve">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будут сдерживать рост суммарного коэффициента рождаемости, который на протяжении всего прогнозного периода будет находиться в пределах </w:t>
      </w:r>
      <w:r w:rsidR="002F4260" w:rsidRPr="00BF0050">
        <w:rPr>
          <w:sz w:val="26"/>
          <w:szCs w:val="26"/>
        </w:rPr>
        <w:t xml:space="preserve">                 </w:t>
      </w:r>
      <w:r w:rsidRPr="00BF0050">
        <w:rPr>
          <w:sz w:val="26"/>
          <w:szCs w:val="26"/>
        </w:rPr>
        <w:t>1,79</w:t>
      </w:r>
      <w:r w:rsidR="002F4260" w:rsidRPr="00BF0050">
        <w:rPr>
          <w:sz w:val="26"/>
          <w:szCs w:val="26"/>
        </w:rPr>
        <w:t>–</w:t>
      </w:r>
      <w:r w:rsidRPr="00BF0050">
        <w:rPr>
          <w:sz w:val="26"/>
          <w:szCs w:val="26"/>
        </w:rPr>
        <w:t>1,84 ребенка на женщину репродуктивного возраста.</w:t>
      </w:r>
    </w:p>
    <w:p w:rsidR="00E07128" w:rsidRPr="00BF0050" w:rsidRDefault="00E07128" w:rsidP="00255145">
      <w:pPr>
        <w:autoSpaceDE w:val="0"/>
        <w:autoSpaceDN w:val="0"/>
        <w:adjustRightInd w:val="0"/>
        <w:ind w:firstLine="0"/>
        <w:jc w:val="center"/>
        <w:rPr>
          <w:sz w:val="22"/>
          <w:szCs w:val="22"/>
        </w:rPr>
      </w:pPr>
      <w:r w:rsidRPr="00BF0050">
        <w:rPr>
          <w:b/>
          <w:sz w:val="26"/>
          <w:szCs w:val="26"/>
        </w:rPr>
        <w:t>Демографический прогноз (средний вариант)*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6"/>
        <w:gridCol w:w="1117"/>
        <w:gridCol w:w="1117"/>
        <w:gridCol w:w="1118"/>
        <w:gridCol w:w="1117"/>
        <w:gridCol w:w="1118"/>
      </w:tblGrid>
      <w:tr w:rsidR="00E07128" w:rsidRPr="00BF0050" w:rsidTr="00EC6548">
        <w:trPr>
          <w:trHeight w:val="308"/>
          <w:tblHeader/>
        </w:trPr>
        <w:tc>
          <w:tcPr>
            <w:tcW w:w="4586" w:type="dxa"/>
          </w:tcPr>
          <w:p w:rsidR="00E07128" w:rsidRPr="00BF0050" w:rsidRDefault="00E07128" w:rsidP="00E07128">
            <w:pPr>
              <w:spacing w:before="40" w:after="40" w:line="240" w:lineRule="auto"/>
              <w:ind w:left="284" w:firstLine="0"/>
            </w:pPr>
          </w:p>
        </w:tc>
        <w:tc>
          <w:tcPr>
            <w:tcW w:w="1117" w:type="dxa"/>
            <w:vAlign w:val="center"/>
          </w:tcPr>
          <w:p w:rsidR="00E07128" w:rsidRPr="00BF0050" w:rsidRDefault="00E07128" w:rsidP="00E07128">
            <w:pPr>
              <w:spacing w:before="40" w:after="40" w:line="240" w:lineRule="auto"/>
              <w:ind w:firstLine="34"/>
              <w:jc w:val="center"/>
            </w:pPr>
            <w:r w:rsidRPr="00BF0050">
              <w:t>2015 г.</w:t>
            </w:r>
          </w:p>
        </w:tc>
        <w:tc>
          <w:tcPr>
            <w:tcW w:w="1117" w:type="dxa"/>
            <w:vAlign w:val="center"/>
          </w:tcPr>
          <w:p w:rsidR="00E07128" w:rsidRPr="00BF0050" w:rsidRDefault="00E07128" w:rsidP="00E07128">
            <w:pPr>
              <w:spacing w:before="40" w:after="40" w:line="240" w:lineRule="auto"/>
              <w:ind w:firstLine="34"/>
              <w:jc w:val="center"/>
            </w:pPr>
            <w:r w:rsidRPr="00BF0050">
              <w:t>2016 г.</w:t>
            </w:r>
          </w:p>
        </w:tc>
        <w:tc>
          <w:tcPr>
            <w:tcW w:w="1118" w:type="dxa"/>
            <w:vAlign w:val="center"/>
          </w:tcPr>
          <w:p w:rsidR="00E07128" w:rsidRPr="00BF0050" w:rsidRDefault="00E07128" w:rsidP="00E07128">
            <w:pPr>
              <w:spacing w:before="40" w:after="40" w:line="240" w:lineRule="auto"/>
              <w:ind w:firstLine="34"/>
              <w:jc w:val="center"/>
            </w:pPr>
            <w:r w:rsidRPr="00BF0050">
              <w:t>2017 г.</w:t>
            </w:r>
          </w:p>
        </w:tc>
        <w:tc>
          <w:tcPr>
            <w:tcW w:w="1117" w:type="dxa"/>
            <w:vAlign w:val="center"/>
          </w:tcPr>
          <w:p w:rsidR="00E07128" w:rsidRPr="00BF0050" w:rsidRDefault="00E07128" w:rsidP="00E07128">
            <w:pPr>
              <w:spacing w:before="40" w:after="40" w:line="240" w:lineRule="auto"/>
              <w:ind w:firstLine="34"/>
              <w:jc w:val="center"/>
            </w:pPr>
            <w:r w:rsidRPr="00BF0050">
              <w:t>2018 г.</w:t>
            </w:r>
          </w:p>
        </w:tc>
        <w:tc>
          <w:tcPr>
            <w:tcW w:w="1118" w:type="dxa"/>
            <w:vAlign w:val="center"/>
          </w:tcPr>
          <w:p w:rsidR="00E07128" w:rsidRPr="00BF0050" w:rsidRDefault="00E07128" w:rsidP="00E07128">
            <w:pPr>
              <w:spacing w:before="40" w:after="40" w:line="240" w:lineRule="auto"/>
              <w:ind w:firstLine="34"/>
              <w:jc w:val="center"/>
            </w:pPr>
            <w:r w:rsidRPr="00BF0050">
              <w:t>2019  г.</w:t>
            </w:r>
          </w:p>
        </w:tc>
      </w:tr>
      <w:tr w:rsidR="00E07128" w:rsidRPr="00BF0050" w:rsidTr="00255145">
        <w:trPr>
          <w:trHeight w:val="625"/>
        </w:trPr>
        <w:tc>
          <w:tcPr>
            <w:tcW w:w="4586" w:type="dxa"/>
            <w:tcBorders>
              <w:bottom w:val="nil"/>
            </w:tcBorders>
            <w:vAlign w:val="center"/>
          </w:tcPr>
          <w:p w:rsidR="00E07128" w:rsidRPr="00BF0050" w:rsidRDefault="00E07128" w:rsidP="00255145">
            <w:pPr>
              <w:spacing w:after="0" w:line="240" w:lineRule="auto"/>
              <w:ind w:left="113" w:firstLine="0"/>
            </w:pPr>
            <w:r w:rsidRPr="00BF0050">
              <w:t xml:space="preserve">Численность постоянного населения (среднегодовая), млн. чел.     </w:t>
            </w:r>
          </w:p>
        </w:tc>
        <w:tc>
          <w:tcPr>
            <w:tcW w:w="1117" w:type="dxa"/>
            <w:tcBorders>
              <w:left w:val="nil"/>
              <w:bottom w:val="nil"/>
              <w:right w:val="nil"/>
            </w:tcBorders>
            <w:vAlign w:val="center"/>
          </w:tcPr>
          <w:p w:rsidR="00E07128" w:rsidRPr="00BF0050" w:rsidRDefault="00E07128" w:rsidP="00255145">
            <w:pPr>
              <w:spacing w:after="0" w:line="240" w:lineRule="auto"/>
              <w:ind w:firstLine="34"/>
              <w:jc w:val="center"/>
            </w:pPr>
            <w:r w:rsidRPr="00BF0050">
              <w:t>146,4</w:t>
            </w:r>
          </w:p>
        </w:tc>
        <w:tc>
          <w:tcPr>
            <w:tcW w:w="1117" w:type="dxa"/>
            <w:tcBorders>
              <w:left w:val="nil"/>
              <w:bottom w:val="nil"/>
              <w:right w:val="nil"/>
            </w:tcBorders>
            <w:vAlign w:val="center"/>
          </w:tcPr>
          <w:p w:rsidR="00E07128" w:rsidRPr="00BF0050" w:rsidRDefault="00E07128" w:rsidP="00255145">
            <w:pPr>
              <w:spacing w:after="0" w:line="240" w:lineRule="auto"/>
              <w:ind w:firstLine="34"/>
              <w:jc w:val="center"/>
            </w:pPr>
            <w:r w:rsidRPr="00BF0050">
              <w:t>146,7</w:t>
            </w:r>
          </w:p>
        </w:tc>
        <w:tc>
          <w:tcPr>
            <w:tcW w:w="1118" w:type="dxa"/>
            <w:tcBorders>
              <w:left w:val="nil"/>
              <w:bottom w:val="nil"/>
              <w:right w:val="nil"/>
            </w:tcBorders>
            <w:vAlign w:val="center"/>
          </w:tcPr>
          <w:p w:rsidR="00E07128" w:rsidRPr="00BF0050" w:rsidRDefault="00E07128" w:rsidP="00255145">
            <w:pPr>
              <w:spacing w:after="0" w:line="240" w:lineRule="auto"/>
              <w:ind w:firstLine="34"/>
              <w:jc w:val="center"/>
            </w:pPr>
            <w:r w:rsidRPr="00BF0050">
              <w:t>147,0</w:t>
            </w:r>
          </w:p>
        </w:tc>
        <w:tc>
          <w:tcPr>
            <w:tcW w:w="1117" w:type="dxa"/>
            <w:tcBorders>
              <w:left w:val="nil"/>
              <w:bottom w:val="nil"/>
              <w:right w:val="nil"/>
            </w:tcBorders>
            <w:vAlign w:val="center"/>
          </w:tcPr>
          <w:p w:rsidR="00E07128" w:rsidRPr="00BF0050" w:rsidRDefault="00E07128" w:rsidP="00255145">
            <w:pPr>
              <w:spacing w:after="0" w:line="240" w:lineRule="auto"/>
              <w:ind w:firstLine="34"/>
              <w:jc w:val="center"/>
            </w:pPr>
            <w:r w:rsidRPr="00BF0050">
              <w:t>147,2</w:t>
            </w:r>
          </w:p>
        </w:tc>
        <w:tc>
          <w:tcPr>
            <w:tcW w:w="1118" w:type="dxa"/>
            <w:tcBorders>
              <w:left w:val="nil"/>
              <w:bottom w:val="nil"/>
            </w:tcBorders>
            <w:vAlign w:val="center"/>
          </w:tcPr>
          <w:p w:rsidR="00E07128" w:rsidRPr="00BF0050" w:rsidRDefault="00E07128" w:rsidP="00255145">
            <w:pPr>
              <w:spacing w:after="0" w:line="240" w:lineRule="auto"/>
              <w:ind w:firstLine="34"/>
              <w:jc w:val="center"/>
            </w:pPr>
            <w:r w:rsidRPr="00BF0050">
              <w:t>147,4</w:t>
            </w:r>
          </w:p>
        </w:tc>
      </w:tr>
      <w:tr w:rsidR="00E07128" w:rsidRPr="00BF0050" w:rsidTr="00255145">
        <w:trPr>
          <w:trHeight w:val="647"/>
        </w:trPr>
        <w:tc>
          <w:tcPr>
            <w:tcW w:w="4586" w:type="dxa"/>
            <w:tcBorders>
              <w:top w:val="nil"/>
              <w:bottom w:val="nil"/>
            </w:tcBorders>
            <w:vAlign w:val="center"/>
          </w:tcPr>
          <w:p w:rsidR="00E07128" w:rsidRPr="00BF0050" w:rsidRDefault="002F4260" w:rsidP="00255145">
            <w:pPr>
              <w:spacing w:before="0" w:after="0" w:line="240" w:lineRule="auto"/>
              <w:ind w:left="340" w:firstLine="0"/>
            </w:pPr>
            <w:r w:rsidRPr="00BF0050">
              <w:rPr>
                <w:sz w:val="22"/>
              </w:rPr>
              <w:t>ч</w:t>
            </w:r>
            <w:r w:rsidR="00E07128" w:rsidRPr="00BF0050">
              <w:rPr>
                <w:sz w:val="22"/>
              </w:rPr>
              <w:t>исленность населения трудоспособного возраста</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84,8</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83,7</w:t>
            </w:r>
          </w:p>
        </w:tc>
        <w:tc>
          <w:tcPr>
            <w:tcW w:w="1118"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82,8</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81,9</w:t>
            </w:r>
          </w:p>
        </w:tc>
        <w:tc>
          <w:tcPr>
            <w:tcW w:w="1118" w:type="dxa"/>
            <w:tcBorders>
              <w:top w:val="nil"/>
              <w:left w:val="nil"/>
              <w:bottom w:val="nil"/>
            </w:tcBorders>
            <w:vAlign w:val="center"/>
          </w:tcPr>
          <w:p w:rsidR="00E07128" w:rsidRPr="00BF0050" w:rsidRDefault="00E07128">
            <w:pPr>
              <w:spacing w:before="0" w:after="0" w:line="240" w:lineRule="auto"/>
              <w:ind w:firstLine="34"/>
              <w:jc w:val="center"/>
            </w:pPr>
            <w:r w:rsidRPr="00BF0050">
              <w:t>81,2</w:t>
            </w:r>
          </w:p>
        </w:tc>
      </w:tr>
      <w:tr w:rsidR="00E07128" w:rsidRPr="00BF0050" w:rsidTr="00255145">
        <w:trPr>
          <w:trHeight w:val="441"/>
        </w:trPr>
        <w:tc>
          <w:tcPr>
            <w:tcW w:w="4586" w:type="dxa"/>
            <w:tcBorders>
              <w:top w:val="nil"/>
              <w:bottom w:val="nil"/>
            </w:tcBorders>
            <w:vAlign w:val="center"/>
          </w:tcPr>
          <w:p w:rsidR="00E07128" w:rsidRPr="00BF0050" w:rsidRDefault="002F4260" w:rsidP="00255145">
            <w:pPr>
              <w:spacing w:before="0" w:after="0" w:line="240" w:lineRule="auto"/>
              <w:ind w:left="340" w:firstLine="0"/>
            </w:pPr>
            <w:r w:rsidRPr="00BF0050">
              <w:rPr>
                <w:sz w:val="22"/>
              </w:rPr>
              <w:t xml:space="preserve">численность </w:t>
            </w:r>
            <w:r w:rsidR="00E07128" w:rsidRPr="00BF0050">
              <w:rPr>
                <w:sz w:val="22"/>
              </w:rPr>
              <w:t>населения старше трудоспособного возраста</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35,6</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36,4</w:t>
            </w:r>
          </w:p>
        </w:tc>
        <w:tc>
          <w:tcPr>
            <w:tcW w:w="1118"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37,1</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37,7</w:t>
            </w:r>
          </w:p>
        </w:tc>
        <w:tc>
          <w:tcPr>
            <w:tcW w:w="1118" w:type="dxa"/>
            <w:tcBorders>
              <w:top w:val="nil"/>
              <w:left w:val="nil"/>
              <w:bottom w:val="nil"/>
            </w:tcBorders>
            <w:vAlign w:val="center"/>
          </w:tcPr>
          <w:p w:rsidR="00E07128" w:rsidRPr="00BF0050" w:rsidRDefault="00E07128">
            <w:pPr>
              <w:spacing w:before="0" w:after="0" w:line="240" w:lineRule="auto"/>
              <w:ind w:firstLine="34"/>
              <w:jc w:val="center"/>
            </w:pPr>
            <w:r w:rsidRPr="00BF0050">
              <w:t>38,2</w:t>
            </w:r>
          </w:p>
        </w:tc>
      </w:tr>
      <w:tr w:rsidR="00E07128" w:rsidRPr="00BF0050" w:rsidTr="00255145">
        <w:trPr>
          <w:trHeight w:val="647"/>
        </w:trPr>
        <w:tc>
          <w:tcPr>
            <w:tcW w:w="4586" w:type="dxa"/>
            <w:tcBorders>
              <w:top w:val="nil"/>
              <w:bottom w:val="nil"/>
            </w:tcBorders>
            <w:vAlign w:val="center"/>
          </w:tcPr>
          <w:p w:rsidR="00E07128" w:rsidRPr="00BF0050" w:rsidRDefault="002F4260" w:rsidP="00255145">
            <w:pPr>
              <w:spacing w:before="0" w:after="0" w:line="240" w:lineRule="auto"/>
              <w:ind w:left="340" w:firstLine="0"/>
            </w:pPr>
            <w:r w:rsidRPr="00BF0050">
              <w:rPr>
                <w:sz w:val="22"/>
              </w:rPr>
              <w:t xml:space="preserve">численность </w:t>
            </w:r>
            <w:r w:rsidR="00E07128" w:rsidRPr="00BF0050">
              <w:rPr>
                <w:sz w:val="22"/>
              </w:rPr>
              <w:t>населения моложе трудоспособного возраста</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26,0</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26,6</w:t>
            </w:r>
          </w:p>
        </w:tc>
        <w:tc>
          <w:tcPr>
            <w:tcW w:w="1118"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27,2</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27,6</w:t>
            </w:r>
          </w:p>
        </w:tc>
        <w:tc>
          <w:tcPr>
            <w:tcW w:w="1118" w:type="dxa"/>
            <w:tcBorders>
              <w:top w:val="nil"/>
              <w:left w:val="nil"/>
              <w:bottom w:val="nil"/>
            </w:tcBorders>
            <w:vAlign w:val="center"/>
          </w:tcPr>
          <w:p w:rsidR="00E07128" w:rsidRPr="00BF0050" w:rsidRDefault="00E07128">
            <w:pPr>
              <w:spacing w:before="0" w:after="0" w:line="240" w:lineRule="auto"/>
              <w:ind w:firstLine="34"/>
              <w:jc w:val="center"/>
            </w:pPr>
            <w:r w:rsidRPr="00BF0050">
              <w:t>28,0</w:t>
            </w:r>
          </w:p>
        </w:tc>
      </w:tr>
      <w:tr w:rsidR="00E07128" w:rsidRPr="00BF0050" w:rsidTr="00EC6548">
        <w:trPr>
          <w:trHeight w:val="443"/>
        </w:trPr>
        <w:tc>
          <w:tcPr>
            <w:tcW w:w="4586" w:type="dxa"/>
            <w:tcBorders>
              <w:top w:val="nil"/>
              <w:bottom w:val="nil"/>
            </w:tcBorders>
            <w:vAlign w:val="center"/>
          </w:tcPr>
          <w:p w:rsidR="00E07128" w:rsidRPr="00BF0050" w:rsidRDefault="00E07128" w:rsidP="00255145">
            <w:pPr>
              <w:spacing w:before="0" w:after="0" w:line="240" w:lineRule="auto"/>
              <w:ind w:left="113" w:firstLine="0"/>
            </w:pPr>
            <w:r w:rsidRPr="00BF0050">
              <w:t>Суммарный коэффициент рождаемости</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1,78</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1,81</w:t>
            </w:r>
          </w:p>
        </w:tc>
        <w:tc>
          <w:tcPr>
            <w:tcW w:w="1118"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1,79</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1,84</w:t>
            </w:r>
          </w:p>
        </w:tc>
        <w:tc>
          <w:tcPr>
            <w:tcW w:w="1118" w:type="dxa"/>
            <w:tcBorders>
              <w:top w:val="nil"/>
              <w:left w:val="nil"/>
              <w:bottom w:val="nil"/>
            </w:tcBorders>
            <w:vAlign w:val="center"/>
          </w:tcPr>
          <w:p w:rsidR="00E07128" w:rsidRPr="00BF0050" w:rsidRDefault="00E07128">
            <w:pPr>
              <w:spacing w:before="0" w:after="0" w:line="240" w:lineRule="auto"/>
              <w:ind w:firstLine="34"/>
              <w:jc w:val="center"/>
            </w:pPr>
            <w:r w:rsidRPr="00BF0050">
              <w:t>1,81</w:t>
            </w:r>
          </w:p>
        </w:tc>
      </w:tr>
      <w:tr w:rsidR="00E07128" w:rsidRPr="00BF0050" w:rsidTr="00255145">
        <w:trPr>
          <w:trHeight w:val="266"/>
        </w:trPr>
        <w:tc>
          <w:tcPr>
            <w:tcW w:w="4586" w:type="dxa"/>
            <w:tcBorders>
              <w:top w:val="nil"/>
              <w:bottom w:val="nil"/>
            </w:tcBorders>
            <w:vAlign w:val="center"/>
          </w:tcPr>
          <w:p w:rsidR="00E07128" w:rsidRPr="00BF0050" w:rsidRDefault="00E07128" w:rsidP="00255145">
            <w:pPr>
              <w:spacing w:before="0" w:after="0" w:line="240" w:lineRule="auto"/>
              <w:ind w:left="113" w:firstLine="0"/>
            </w:pPr>
            <w:r w:rsidRPr="00BF0050">
              <w:t>Общий коэффициент смертности                             (на 1000 человек населения)</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13,0</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p>
          <w:p w:rsidR="00E07128" w:rsidRPr="00BF0050" w:rsidRDefault="00E07128">
            <w:pPr>
              <w:spacing w:before="0" w:after="0" w:line="240" w:lineRule="auto"/>
              <w:ind w:firstLine="34"/>
              <w:jc w:val="center"/>
            </w:pPr>
            <w:r w:rsidRPr="00BF0050">
              <w:t>12,9</w:t>
            </w:r>
          </w:p>
          <w:p w:rsidR="00E07128" w:rsidRPr="00BF0050" w:rsidRDefault="00E07128">
            <w:pPr>
              <w:spacing w:before="0" w:after="0" w:line="240" w:lineRule="auto"/>
              <w:ind w:firstLine="34"/>
              <w:jc w:val="center"/>
            </w:pPr>
          </w:p>
        </w:tc>
        <w:tc>
          <w:tcPr>
            <w:tcW w:w="1118" w:type="dxa"/>
            <w:tcBorders>
              <w:top w:val="nil"/>
              <w:left w:val="nil"/>
              <w:bottom w:val="nil"/>
              <w:right w:val="nil"/>
            </w:tcBorders>
            <w:vAlign w:val="center"/>
          </w:tcPr>
          <w:p w:rsidR="00E07128" w:rsidRPr="00BF0050" w:rsidRDefault="00E07128">
            <w:pPr>
              <w:spacing w:before="0" w:after="0" w:line="240" w:lineRule="auto"/>
              <w:ind w:firstLine="34"/>
              <w:jc w:val="center"/>
            </w:pPr>
          </w:p>
          <w:p w:rsidR="00E07128" w:rsidRPr="00BF0050" w:rsidRDefault="00E07128">
            <w:pPr>
              <w:spacing w:before="0" w:after="0" w:line="240" w:lineRule="auto"/>
              <w:ind w:firstLine="34"/>
              <w:jc w:val="center"/>
            </w:pPr>
            <w:r w:rsidRPr="00BF0050">
              <w:t>13,0</w:t>
            </w:r>
          </w:p>
          <w:p w:rsidR="00E07128" w:rsidRPr="00BF0050" w:rsidRDefault="00E07128">
            <w:pPr>
              <w:spacing w:before="0" w:after="0" w:line="240" w:lineRule="auto"/>
              <w:ind w:firstLine="34"/>
              <w:jc w:val="center"/>
            </w:pP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p>
          <w:p w:rsidR="00E07128" w:rsidRPr="00BF0050" w:rsidRDefault="00E07128">
            <w:pPr>
              <w:spacing w:before="0" w:after="0" w:line="240" w:lineRule="auto"/>
              <w:ind w:firstLine="34"/>
              <w:jc w:val="center"/>
            </w:pPr>
            <w:r w:rsidRPr="00BF0050">
              <w:t>13,1</w:t>
            </w:r>
          </w:p>
          <w:p w:rsidR="00E07128" w:rsidRPr="00BF0050" w:rsidRDefault="00E07128">
            <w:pPr>
              <w:spacing w:before="0" w:after="0" w:line="240" w:lineRule="auto"/>
              <w:ind w:firstLine="34"/>
              <w:jc w:val="center"/>
            </w:pPr>
          </w:p>
        </w:tc>
        <w:tc>
          <w:tcPr>
            <w:tcW w:w="1118" w:type="dxa"/>
            <w:tcBorders>
              <w:top w:val="nil"/>
              <w:left w:val="nil"/>
              <w:bottom w:val="nil"/>
            </w:tcBorders>
            <w:vAlign w:val="center"/>
          </w:tcPr>
          <w:p w:rsidR="00E07128" w:rsidRPr="00BF0050" w:rsidRDefault="00E07128">
            <w:pPr>
              <w:spacing w:before="0" w:after="0" w:line="240" w:lineRule="auto"/>
              <w:ind w:firstLine="34"/>
              <w:jc w:val="center"/>
            </w:pPr>
          </w:p>
          <w:p w:rsidR="00E07128" w:rsidRPr="00BF0050" w:rsidRDefault="00E07128">
            <w:pPr>
              <w:spacing w:before="0" w:after="0" w:line="240" w:lineRule="auto"/>
              <w:ind w:firstLine="34"/>
              <w:jc w:val="center"/>
            </w:pPr>
            <w:r w:rsidRPr="00BF0050">
              <w:t>13,1</w:t>
            </w:r>
          </w:p>
          <w:p w:rsidR="00E07128" w:rsidRPr="00BF0050" w:rsidRDefault="00E07128">
            <w:pPr>
              <w:spacing w:before="0" w:after="0" w:line="240" w:lineRule="auto"/>
              <w:ind w:firstLine="34"/>
              <w:jc w:val="center"/>
            </w:pPr>
          </w:p>
        </w:tc>
      </w:tr>
      <w:tr w:rsidR="00E07128" w:rsidRPr="00BF0050" w:rsidTr="00EC6548">
        <w:trPr>
          <w:trHeight w:val="604"/>
        </w:trPr>
        <w:tc>
          <w:tcPr>
            <w:tcW w:w="4586" w:type="dxa"/>
            <w:tcBorders>
              <w:top w:val="nil"/>
              <w:bottom w:val="nil"/>
            </w:tcBorders>
            <w:vAlign w:val="center"/>
          </w:tcPr>
          <w:p w:rsidR="00E07128" w:rsidRPr="00BF0050" w:rsidRDefault="00E07128" w:rsidP="00255145">
            <w:pPr>
              <w:spacing w:before="0" w:after="0" w:line="240" w:lineRule="auto"/>
              <w:ind w:left="113" w:firstLine="0"/>
            </w:pPr>
            <w:r w:rsidRPr="00BF0050">
              <w:t>Ожидаемая продолжительность жизни при рождении, лет</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71,4</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71,6</w:t>
            </w:r>
          </w:p>
        </w:tc>
        <w:tc>
          <w:tcPr>
            <w:tcW w:w="1118"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71,9</w:t>
            </w:r>
          </w:p>
        </w:tc>
        <w:tc>
          <w:tcPr>
            <w:tcW w:w="1117" w:type="dxa"/>
            <w:tcBorders>
              <w:top w:val="nil"/>
              <w:left w:val="nil"/>
              <w:bottom w:val="nil"/>
              <w:right w:val="nil"/>
            </w:tcBorders>
            <w:vAlign w:val="center"/>
          </w:tcPr>
          <w:p w:rsidR="00E07128" w:rsidRPr="00BF0050" w:rsidRDefault="00E07128">
            <w:pPr>
              <w:spacing w:before="0" w:after="0" w:line="240" w:lineRule="auto"/>
              <w:ind w:firstLine="34"/>
              <w:jc w:val="center"/>
            </w:pPr>
            <w:r w:rsidRPr="00BF0050">
              <w:t>72,2</w:t>
            </w:r>
          </w:p>
        </w:tc>
        <w:tc>
          <w:tcPr>
            <w:tcW w:w="1118" w:type="dxa"/>
            <w:tcBorders>
              <w:top w:val="nil"/>
              <w:left w:val="nil"/>
              <w:bottom w:val="nil"/>
            </w:tcBorders>
            <w:vAlign w:val="center"/>
          </w:tcPr>
          <w:p w:rsidR="00E07128" w:rsidRPr="00BF0050" w:rsidRDefault="00E07128">
            <w:pPr>
              <w:spacing w:before="0" w:after="0" w:line="240" w:lineRule="auto"/>
              <w:ind w:firstLine="34"/>
              <w:jc w:val="center"/>
            </w:pPr>
            <w:r w:rsidRPr="00BF0050">
              <w:t>72,5</w:t>
            </w:r>
          </w:p>
        </w:tc>
      </w:tr>
      <w:tr w:rsidR="00E07128" w:rsidRPr="00BF0050" w:rsidTr="00255145">
        <w:trPr>
          <w:trHeight w:val="547"/>
        </w:trPr>
        <w:tc>
          <w:tcPr>
            <w:tcW w:w="4586" w:type="dxa"/>
            <w:tcBorders>
              <w:top w:val="nil"/>
            </w:tcBorders>
            <w:vAlign w:val="center"/>
          </w:tcPr>
          <w:p w:rsidR="00E07128" w:rsidRPr="00BF0050" w:rsidRDefault="00E07128" w:rsidP="00255145">
            <w:pPr>
              <w:spacing w:before="0" w:after="0" w:line="240" w:lineRule="auto"/>
              <w:ind w:left="113" w:firstLine="0"/>
            </w:pPr>
            <w:r w:rsidRPr="00BF0050">
              <w:t>Миграционный прирост,  тыс. чел.</w:t>
            </w:r>
          </w:p>
        </w:tc>
        <w:tc>
          <w:tcPr>
            <w:tcW w:w="1117" w:type="dxa"/>
            <w:tcBorders>
              <w:top w:val="nil"/>
              <w:left w:val="nil"/>
              <w:right w:val="nil"/>
            </w:tcBorders>
            <w:vAlign w:val="center"/>
          </w:tcPr>
          <w:p w:rsidR="00E07128" w:rsidRPr="00BF0050" w:rsidRDefault="00E07128">
            <w:pPr>
              <w:spacing w:before="0" w:after="0" w:line="240" w:lineRule="auto"/>
              <w:ind w:firstLine="34"/>
              <w:jc w:val="center"/>
            </w:pPr>
            <w:r w:rsidRPr="00BF0050">
              <w:t>245</w:t>
            </w:r>
          </w:p>
        </w:tc>
        <w:tc>
          <w:tcPr>
            <w:tcW w:w="1117" w:type="dxa"/>
            <w:tcBorders>
              <w:top w:val="nil"/>
              <w:left w:val="nil"/>
              <w:right w:val="nil"/>
            </w:tcBorders>
            <w:vAlign w:val="center"/>
          </w:tcPr>
          <w:p w:rsidR="00E07128" w:rsidRPr="00BF0050" w:rsidRDefault="00E07128">
            <w:pPr>
              <w:spacing w:before="0" w:after="0" w:line="240" w:lineRule="auto"/>
              <w:ind w:firstLine="34"/>
              <w:jc w:val="center"/>
            </w:pPr>
            <w:r w:rsidRPr="00BF0050">
              <w:t>286</w:t>
            </w:r>
          </w:p>
        </w:tc>
        <w:tc>
          <w:tcPr>
            <w:tcW w:w="1118" w:type="dxa"/>
            <w:tcBorders>
              <w:top w:val="nil"/>
              <w:left w:val="nil"/>
              <w:right w:val="nil"/>
            </w:tcBorders>
            <w:vAlign w:val="center"/>
          </w:tcPr>
          <w:p w:rsidR="00E07128" w:rsidRPr="00BF0050" w:rsidRDefault="00E07128">
            <w:pPr>
              <w:spacing w:before="0" w:after="0" w:line="240" w:lineRule="auto"/>
              <w:ind w:firstLine="34"/>
              <w:jc w:val="center"/>
            </w:pPr>
            <w:r w:rsidRPr="00BF0050">
              <w:t>294</w:t>
            </w:r>
          </w:p>
        </w:tc>
        <w:tc>
          <w:tcPr>
            <w:tcW w:w="1117" w:type="dxa"/>
            <w:tcBorders>
              <w:top w:val="nil"/>
              <w:left w:val="nil"/>
              <w:right w:val="nil"/>
            </w:tcBorders>
            <w:vAlign w:val="center"/>
          </w:tcPr>
          <w:p w:rsidR="00E07128" w:rsidRPr="00BF0050" w:rsidRDefault="00E07128">
            <w:pPr>
              <w:spacing w:before="0" w:after="0" w:line="240" w:lineRule="auto"/>
              <w:ind w:firstLine="34"/>
              <w:jc w:val="center"/>
            </w:pPr>
            <w:r w:rsidRPr="00BF0050">
              <w:t>300</w:t>
            </w:r>
          </w:p>
        </w:tc>
        <w:tc>
          <w:tcPr>
            <w:tcW w:w="1118" w:type="dxa"/>
            <w:tcBorders>
              <w:top w:val="nil"/>
              <w:left w:val="nil"/>
            </w:tcBorders>
            <w:vAlign w:val="center"/>
          </w:tcPr>
          <w:p w:rsidR="00E07128" w:rsidRPr="00BF0050" w:rsidRDefault="00E07128">
            <w:pPr>
              <w:spacing w:before="0" w:after="0" w:line="240" w:lineRule="auto"/>
              <w:ind w:firstLine="34"/>
              <w:jc w:val="center"/>
            </w:pPr>
            <w:r w:rsidRPr="00BF0050">
              <w:t>306</w:t>
            </w:r>
          </w:p>
        </w:tc>
      </w:tr>
    </w:tbl>
    <w:p w:rsidR="00E07128" w:rsidRPr="00BF0050" w:rsidRDefault="00E07128" w:rsidP="00E07128">
      <w:pPr>
        <w:spacing w:before="0" w:after="0"/>
        <w:ind w:firstLine="142"/>
        <w:jc w:val="both"/>
        <w:rPr>
          <w:sz w:val="22"/>
          <w:szCs w:val="22"/>
        </w:rPr>
      </w:pPr>
      <w:r w:rsidRPr="00BF0050">
        <w:rPr>
          <w:sz w:val="22"/>
          <w:szCs w:val="22"/>
        </w:rPr>
        <w:t>* С учетом Крымского Федерального округа</w:t>
      </w:r>
      <w:r w:rsidR="002D7705" w:rsidRPr="00BF0050">
        <w:rPr>
          <w:sz w:val="22"/>
          <w:szCs w:val="22"/>
        </w:rPr>
        <w:t>.</w:t>
      </w:r>
    </w:p>
    <w:p w:rsidR="00F609D3" w:rsidRPr="00BF0050" w:rsidRDefault="00F609D3" w:rsidP="00F609D3">
      <w:pPr>
        <w:spacing w:before="0" w:after="0"/>
        <w:jc w:val="both"/>
        <w:rPr>
          <w:sz w:val="26"/>
          <w:szCs w:val="26"/>
        </w:rPr>
      </w:pPr>
    </w:p>
    <w:p w:rsidR="00F609D3" w:rsidRPr="00BF0050" w:rsidRDefault="00F609D3" w:rsidP="00F609D3">
      <w:pPr>
        <w:spacing w:before="0" w:after="0"/>
        <w:jc w:val="both"/>
        <w:rPr>
          <w:sz w:val="26"/>
          <w:szCs w:val="26"/>
        </w:rPr>
      </w:pPr>
      <w:r w:rsidRPr="00BF0050">
        <w:rPr>
          <w:sz w:val="26"/>
          <w:szCs w:val="26"/>
        </w:rPr>
        <w:t xml:space="preserve">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Однако в условиях демографического старения и ухудшения возрастной структуры населения не удастся снизить общий коэффициент смертности, который  </w:t>
      </w:r>
      <w:r w:rsidR="00BA6087" w:rsidRPr="00BF0050">
        <w:rPr>
          <w:sz w:val="26"/>
          <w:szCs w:val="26"/>
        </w:rPr>
        <w:t xml:space="preserve">в прогнозный период </w:t>
      </w:r>
      <w:r w:rsidRPr="00BF0050">
        <w:rPr>
          <w:sz w:val="26"/>
          <w:szCs w:val="26"/>
        </w:rPr>
        <w:t>будет оставаться на уровне 12,9–13,1.</w:t>
      </w:r>
    </w:p>
    <w:p w:rsidR="00F609D3" w:rsidRPr="00BF0050" w:rsidRDefault="00F609D3" w:rsidP="00F609D3">
      <w:pPr>
        <w:spacing w:before="0" w:after="0"/>
        <w:jc w:val="both"/>
        <w:rPr>
          <w:sz w:val="26"/>
          <w:szCs w:val="26"/>
        </w:rPr>
      </w:pPr>
      <w:r w:rsidRPr="00BF0050">
        <w:rPr>
          <w:sz w:val="26"/>
          <w:szCs w:val="26"/>
        </w:rPr>
        <w:t xml:space="preserve">В результате ожидаемая продолжительность жизни в Российской Федерации </w:t>
      </w:r>
      <w:r w:rsidR="00252485" w:rsidRPr="00BF0050">
        <w:rPr>
          <w:sz w:val="26"/>
          <w:szCs w:val="26"/>
        </w:rPr>
        <w:t xml:space="preserve">           к 2019 году </w:t>
      </w:r>
      <w:r w:rsidRPr="00BF0050">
        <w:rPr>
          <w:sz w:val="26"/>
          <w:szCs w:val="26"/>
        </w:rPr>
        <w:t>увеличится до 72,5 лет (71,4 года в 2015 году).</w:t>
      </w:r>
    </w:p>
    <w:p w:rsidR="001E6AE7" w:rsidRPr="00BF0050" w:rsidRDefault="00F609D3" w:rsidP="001E6AE7">
      <w:pPr>
        <w:spacing w:before="0" w:after="0"/>
        <w:jc w:val="both"/>
        <w:rPr>
          <w:sz w:val="26"/>
          <w:szCs w:val="26"/>
        </w:rPr>
      </w:pPr>
      <w:r w:rsidRPr="00BF0050">
        <w:rPr>
          <w:sz w:val="26"/>
          <w:szCs w:val="26"/>
        </w:rPr>
        <w:t>С учетом реализации</w:t>
      </w:r>
      <w:r w:rsidR="001E6AE7" w:rsidRPr="00BF0050">
        <w:rPr>
          <w:sz w:val="26"/>
          <w:szCs w:val="26"/>
        </w:rPr>
        <w:t xml:space="preserve"> мер государственной миграционной политики, направленных на повышение миграционной привлекательности Российской Федерации, в прогнозный период планируется ежегодно поддерживать миграционное сальдо на уровне около </w:t>
      </w:r>
      <w:r w:rsidR="001E6AE7" w:rsidRPr="00BF0050">
        <w:rPr>
          <w:sz w:val="26"/>
          <w:szCs w:val="26"/>
        </w:rPr>
        <w:lastRenderedPageBreak/>
        <w:t>300 тыс. человек, в первую очередь за счет привлечения на постоянное место жительства в Россию соотечественников, проживающих за рубежом, квалифицированных иностранных специалистов, перспективной молодежи.</w:t>
      </w:r>
    </w:p>
    <w:p w:rsidR="001E6AE7" w:rsidRPr="00BF0050" w:rsidRDefault="001E6AE7" w:rsidP="001E6AE7">
      <w:pPr>
        <w:spacing w:before="0" w:after="0"/>
        <w:jc w:val="both"/>
        <w:rPr>
          <w:sz w:val="26"/>
          <w:szCs w:val="26"/>
        </w:rPr>
      </w:pPr>
      <w:r w:rsidRPr="00BF0050">
        <w:rPr>
          <w:sz w:val="26"/>
          <w:szCs w:val="26"/>
        </w:rPr>
        <w:t>Указанные меры позволят к 2019 году увеличить численность населения страны до 147,4 млн. человек со 146,4 млн. человек в 2015 году.</w:t>
      </w:r>
    </w:p>
    <w:p w:rsidR="00E07128" w:rsidRPr="00BF0050" w:rsidRDefault="00E07128" w:rsidP="001E6AE7">
      <w:pPr>
        <w:widowControl w:val="0"/>
        <w:spacing w:before="0" w:after="0"/>
        <w:jc w:val="both"/>
        <w:rPr>
          <w:sz w:val="26"/>
          <w:szCs w:val="26"/>
        </w:rPr>
      </w:pPr>
      <w:r w:rsidRPr="00BF0050">
        <w:rPr>
          <w:sz w:val="26"/>
          <w:szCs w:val="26"/>
        </w:rPr>
        <w:t xml:space="preserve">В прогнозный период ожидается ежегодное значительное сокращение численности населения в трудоспособном возрасте, обусловленное вступлением в трудоспособный возраст относительно малочисленных поколений людей, рожденных в нестабильные 1990-е годы и выбытием многочисленных поколений, рожденных в послевоенные годы. Данная тенденция, а также увеличение населения моложе трудоспособного возраста </w:t>
      </w:r>
      <w:r w:rsidR="00B15F3D" w:rsidRPr="00BF0050">
        <w:rPr>
          <w:sz w:val="26"/>
          <w:szCs w:val="26"/>
        </w:rPr>
        <w:t>в </w:t>
      </w:r>
      <w:r w:rsidRPr="00BF0050">
        <w:rPr>
          <w:sz w:val="26"/>
          <w:szCs w:val="26"/>
        </w:rPr>
        <w:t>результате роста рождаемости приведут к росту демографической нагрузки с</w:t>
      </w:r>
      <w:r w:rsidR="00A22968" w:rsidRPr="00BF0050">
        <w:rPr>
          <w:sz w:val="26"/>
          <w:szCs w:val="26"/>
        </w:rPr>
        <w:t> </w:t>
      </w:r>
      <w:r w:rsidRPr="00BF0050">
        <w:rPr>
          <w:sz w:val="26"/>
          <w:szCs w:val="26"/>
        </w:rPr>
        <w:t xml:space="preserve">726 нетрудоспособных на 1000 лиц трудоспособного возраста в 2015 году до </w:t>
      </w:r>
      <w:r w:rsidR="00A22968" w:rsidRPr="00BF0050">
        <w:rPr>
          <w:sz w:val="26"/>
          <w:szCs w:val="26"/>
        </w:rPr>
        <w:t xml:space="preserve">               </w:t>
      </w:r>
      <w:r w:rsidRPr="00BF0050">
        <w:rPr>
          <w:sz w:val="26"/>
          <w:szCs w:val="26"/>
        </w:rPr>
        <w:t>816 в</w:t>
      </w:r>
      <w:r w:rsidR="00A22968" w:rsidRPr="00BF0050">
        <w:rPr>
          <w:sz w:val="26"/>
          <w:szCs w:val="26"/>
        </w:rPr>
        <w:t> </w:t>
      </w:r>
      <w:r w:rsidRPr="00BF0050">
        <w:rPr>
          <w:sz w:val="26"/>
          <w:szCs w:val="26"/>
        </w:rPr>
        <w:t>2019 году.</w:t>
      </w:r>
    </w:p>
    <w:p w:rsidR="00CF0FFD" w:rsidRPr="00BF0050" w:rsidRDefault="00CF0FFD" w:rsidP="001E6AE7">
      <w:pPr>
        <w:pStyle w:val="1"/>
        <w:numPr>
          <w:ilvl w:val="0"/>
          <w:numId w:val="3"/>
        </w:numPr>
        <w:spacing w:before="240" w:after="240" w:line="360" w:lineRule="exact"/>
        <w:ind w:left="0" w:firstLine="0"/>
        <w:jc w:val="center"/>
        <w:rPr>
          <w:rFonts w:ascii="Times New Roman" w:hAnsi="Times New Roman"/>
          <w:color w:val="auto"/>
          <w:sz w:val="26"/>
          <w:szCs w:val="26"/>
        </w:rPr>
      </w:pPr>
      <w:bookmarkStart w:id="20" w:name="_Toc414558184"/>
      <w:bookmarkStart w:id="21" w:name="_Toc414559726"/>
      <w:bookmarkStart w:id="22" w:name="_Toc414558196"/>
      <w:bookmarkStart w:id="23" w:name="_Toc414559738"/>
      <w:bookmarkStart w:id="24" w:name="_Toc414557620"/>
      <w:bookmarkStart w:id="25" w:name="_Toc414558197"/>
      <w:bookmarkStart w:id="26" w:name="_Toc414559739"/>
      <w:bookmarkStart w:id="27" w:name="_Toc447812941"/>
      <w:bookmarkEnd w:id="20"/>
      <w:bookmarkEnd w:id="21"/>
      <w:bookmarkEnd w:id="22"/>
      <w:bookmarkEnd w:id="23"/>
      <w:bookmarkEnd w:id="24"/>
      <w:bookmarkEnd w:id="25"/>
      <w:bookmarkEnd w:id="26"/>
      <w:r w:rsidRPr="00BF0050">
        <w:rPr>
          <w:rFonts w:ascii="Times New Roman" w:hAnsi="Times New Roman"/>
          <w:color w:val="auto"/>
          <w:sz w:val="26"/>
          <w:szCs w:val="26"/>
        </w:rPr>
        <w:t xml:space="preserve">Характеристика </w:t>
      </w:r>
      <w:r w:rsidR="00133F21" w:rsidRPr="00BF0050">
        <w:rPr>
          <w:rFonts w:ascii="Times New Roman" w:hAnsi="Times New Roman"/>
          <w:color w:val="auto"/>
          <w:sz w:val="26"/>
          <w:szCs w:val="26"/>
        </w:rPr>
        <w:t>макроэкономических</w:t>
      </w:r>
      <w:r w:rsidR="00F1459D" w:rsidRPr="00BF0050">
        <w:rPr>
          <w:rFonts w:ascii="Times New Roman" w:hAnsi="Times New Roman"/>
          <w:color w:val="auto"/>
          <w:sz w:val="26"/>
          <w:szCs w:val="26"/>
        </w:rPr>
        <w:t xml:space="preserve"> </w:t>
      </w:r>
      <w:r w:rsidR="00563400" w:rsidRPr="00BF0050">
        <w:rPr>
          <w:rFonts w:ascii="Times New Roman" w:hAnsi="Times New Roman"/>
          <w:color w:val="auto"/>
          <w:sz w:val="26"/>
          <w:szCs w:val="26"/>
        </w:rPr>
        <w:t xml:space="preserve">параметров </w:t>
      </w:r>
      <w:r w:rsidR="0054596F" w:rsidRPr="00BF0050">
        <w:rPr>
          <w:rFonts w:ascii="Times New Roman" w:hAnsi="Times New Roman"/>
          <w:color w:val="auto"/>
          <w:sz w:val="26"/>
          <w:szCs w:val="26"/>
        </w:rPr>
        <w:t xml:space="preserve">                                              </w:t>
      </w:r>
      <w:r w:rsidR="00563400" w:rsidRPr="00BF0050">
        <w:rPr>
          <w:rFonts w:ascii="Times New Roman" w:hAnsi="Times New Roman"/>
          <w:color w:val="auto"/>
          <w:sz w:val="26"/>
          <w:szCs w:val="26"/>
        </w:rPr>
        <w:t>базового варианта прогноза</w:t>
      </w:r>
      <w:bookmarkEnd w:id="27"/>
    </w:p>
    <w:p w:rsidR="00820FCD" w:rsidRPr="00BF0050" w:rsidRDefault="006961CB" w:rsidP="008C1232">
      <w:pPr>
        <w:spacing w:after="0"/>
        <w:jc w:val="both"/>
        <w:rPr>
          <w:sz w:val="26"/>
          <w:szCs w:val="26"/>
        </w:rPr>
      </w:pPr>
      <w:r w:rsidRPr="00BF0050">
        <w:rPr>
          <w:sz w:val="26"/>
          <w:szCs w:val="26"/>
        </w:rPr>
        <w:t xml:space="preserve">В 2016 году основными факторами, вносящими положительный вклад в рост ВВП, являются рост экспорта и начало восстановления запасов. Остальные факторы сохраняют отрицательную динамику. В 2017 году к факторам роста ВВП добавляются рост инвестиций в основной капитал и рост конечного потребления домашних хозяйств. Вклад основного капитала последовательно возрастает от 0,2 до </w:t>
      </w:r>
      <w:r w:rsidR="00122191" w:rsidRPr="00BF0050">
        <w:rPr>
          <w:sz w:val="26"/>
          <w:szCs w:val="26"/>
        </w:rPr>
        <w:t>0,9</w:t>
      </w:r>
      <w:r w:rsidRPr="00BF0050">
        <w:rPr>
          <w:sz w:val="26"/>
          <w:szCs w:val="26"/>
        </w:rPr>
        <w:t xml:space="preserve"> п. п., потребления домашних хозяйств – от 0,6 до 1,7 п. п., соответственно. </w:t>
      </w:r>
      <w:r w:rsidR="00820FCD" w:rsidRPr="00BF0050">
        <w:rPr>
          <w:sz w:val="26"/>
          <w:szCs w:val="26"/>
        </w:rPr>
        <w:t>Вместе с тем восстановление положительной динамики импорта и более медленный рост экспорта приводят к  отрицательному вкладу чистого экспорта  в 2017 – 2019 годах.</w:t>
      </w:r>
    </w:p>
    <w:p w:rsidR="00820FCD" w:rsidRPr="00BF0050" w:rsidRDefault="00820FCD" w:rsidP="00820FCD">
      <w:pPr>
        <w:spacing w:before="0" w:after="0"/>
        <w:ind w:firstLine="720"/>
        <w:jc w:val="both"/>
        <w:rPr>
          <w:sz w:val="26"/>
          <w:szCs w:val="26"/>
        </w:rPr>
      </w:pPr>
      <w:r w:rsidRPr="00BF0050">
        <w:rPr>
          <w:sz w:val="26"/>
          <w:szCs w:val="26"/>
        </w:rPr>
        <w:t>В 2016 году падение ВВП замедлится до 0,</w:t>
      </w:r>
      <w:r w:rsidR="0054596F" w:rsidRPr="00BF0050">
        <w:rPr>
          <w:sz w:val="26"/>
          <w:szCs w:val="26"/>
        </w:rPr>
        <w:t>2 </w:t>
      </w:r>
      <w:r w:rsidRPr="00BF0050">
        <w:rPr>
          <w:sz w:val="26"/>
          <w:szCs w:val="26"/>
        </w:rPr>
        <w:t xml:space="preserve">%, при этом уже в конце года предполагается возобновление экономического роста. В 2017 году рост ВВП прогнозируется темпом </w:t>
      </w:r>
      <w:r w:rsidR="0054596F" w:rsidRPr="00BF0050">
        <w:rPr>
          <w:sz w:val="26"/>
          <w:szCs w:val="26"/>
        </w:rPr>
        <w:t>0,8</w:t>
      </w:r>
      <w:r w:rsidRPr="00BF0050">
        <w:rPr>
          <w:sz w:val="26"/>
          <w:szCs w:val="26"/>
        </w:rPr>
        <w:t xml:space="preserve"> %,  в 2018 году  – </w:t>
      </w:r>
      <w:r w:rsidR="0054596F" w:rsidRPr="00BF0050">
        <w:rPr>
          <w:sz w:val="26"/>
          <w:szCs w:val="26"/>
        </w:rPr>
        <w:t>1,8</w:t>
      </w:r>
      <w:r w:rsidRPr="00BF0050">
        <w:rPr>
          <w:sz w:val="26"/>
          <w:szCs w:val="26"/>
        </w:rPr>
        <w:t xml:space="preserve"> %  и в 2019 году – 2,</w:t>
      </w:r>
      <w:r w:rsidR="0054596F" w:rsidRPr="00BF0050">
        <w:rPr>
          <w:sz w:val="26"/>
          <w:szCs w:val="26"/>
        </w:rPr>
        <w:t>2 </w:t>
      </w:r>
      <w:r w:rsidRPr="00BF0050">
        <w:rPr>
          <w:sz w:val="26"/>
          <w:szCs w:val="26"/>
        </w:rPr>
        <w:t>процента.</w:t>
      </w:r>
    </w:p>
    <w:p w:rsidR="00BF6B36" w:rsidRPr="00BF0050" w:rsidRDefault="00D866FE" w:rsidP="008C1232">
      <w:pPr>
        <w:widowControl w:val="0"/>
        <w:spacing w:before="0" w:after="0"/>
        <w:ind w:right="-6"/>
        <w:jc w:val="both"/>
        <w:rPr>
          <w:sz w:val="26"/>
          <w:szCs w:val="26"/>
          <w:shd w:val="clear" w:color="auto" w:fill="FFFFFF"/>
        </w:rPr>
      </w:pPr>
      <w:r w:rsidRPr="00BF0050">
        <w:rPr>
          <w:sz w:val="26"/>
          <w:szCs w:val="26"/>
          <w:shd w:val="clear" w:color="auto" w:fill="FFFFFF"/>
        </w:rPr>
        <w:t xml:space="preserve">В </w:t>
      </w:r>
      <w:r w:rsidRPr="00BF0050">
        <w:rPr>
          <w:b/>
          <w:sz w:val="26"/>
          <w:szCs w:val="26"/>
          <w:shd w:val="clear" w:color="auto" w:fill="FFFFFF"/>
        </w:rPr>
        <w:t>ВВП по элементам использования</w:t>
      </w:r>
      <w:r w:rsidR="00497375" w:rsidRPr="00BF0050">
        <w:rPr>
          <w:b/>
          <w:sz w:val="26"/>
          <w:szCs w:val="26"/>
          <w:shd w:val="clear" w:color="auto" w:fill="FFFFFF"/>
        </w:rPr>
        <w:t xml:space="preserve"> </w:t>
      </w:r>
      <w:r w:rsidR="00497375" w:rsidRPr="00BF0050">
        <w:rPr>
          <w:sz w:val="26"/>
          <w:szCs w:val="26"/>
          <w:shd w:val="clear" w:color="auto" w:fill="FFFFFF"/>
        </w:rPr>
        <w:t>ведущую роль в сокращении динамики</w:t>
      </w:r>
      <w:r w:rsidR="008C1232" w:rsidRPr="00BF0050">
        <w:rPr>
          <w:sz w:val="26"/>
          <w:szCs w:val="26"/>
          <w:shd w:val="clear" w:color="auto" w:fill="FFFFFF"/>
        </w:rPr>
        <w:t xml:space="preserve">, </w:t>
      </w:r>
      <w:r w:rsidRPr="00BF0050">
        <w:rPr>
          <w:sz w:val="26"/>
          <w:szCs w:val="26"/>
          <w:shd w:val="clear" w:color="auto" w:fill="FFFFFF"/>
        </w:rPr>
        <w:t>к</w:t>
      </w:r>
      <w:r w:rsidR="00BF6B36" w:rsidRPr="00BF0050">
        <w:rPr>
          <w:sz w:val="26"/>
          <w:szCs w:val="26"/>
          <w:shd w:val="clear" w:color="auto" w:fill="FFFFFF"/>
        </w:rPr>
        <w:t>ак и в предыдущем году,</w:t>
      </w:r>
      <w:r w:rsidR="008C1232" w:rsidRPr="00BF0050">
        <w:rPr>
          <w:sz w:val="26"/>
          <w:szCs w:val="26"/>
          <w:shd w:val="clear" w:color="auto" w:fill="FFFFFF"/>
        </w:rPr>
        <w:t xml:space="preserve"> будет </w:t>
      </w:r>
      <w:r w:rsidR="00BF6B36" w:rsidRPr="00BF0050">
        <w:rPr>
          <w:sz w:val="26"/>
          <w:szCs w:val="26"/>
          <w:shd w:val="clear" w:color="auto" w:fill="FFFFFF"/>
        </w:rPr>
        <w:t>играть сжатие потребительского и</w:t>
      </w:r>
      <w:r w:rsidR="00122191" w:rsidRPr="00BF0050">
        <w:rPr>
          <w:sz w:val="26"/>
          <w:szCs w:val="26"/>
          <w:shd w:val="clear" w:color="auto" w:fill="FFFFFF"/>
        </w:rPr>
        <w:t xml:space="preserve"> </w:t>
      </w:r>
      <w:r w:rsidR="00BF6B36" w:rsidRPr="00BF0050">
        <w:rPr>
          <w:sz w:val="26"/>
          <w:szCs w:val="26"/>
          <w:shd w:val="clear" w:color="auto" w:fill="FFFFFF"/>
        </w:rPr>
        <w:t>инвестиционного</w:t>
      </w:r>
      <w:r w:rsidRPr="00BF0050">
        <w:rPr>
          <w:sz w:val="26"/>
          <w:szCs w:val="26"/>
          <w:shd w:val="clear" w:color="auto" w:fill="FFFFFF"/>
        </w:rPr>
        <w:t xml:space="preserve"> спроса (накопление основного капитала)</w:t>
      </w:r>
      <w:r w:rsidR="00BF6B36" w:rsidRPr="00BF0050">
        <w:rPr>
          <w:sz w:val="26"/>
          <w:szCs w:val="26"/>
          <w:shd w:val="clear" w:color="auto" w:fill="FFFFFF"/>
        </w:rPr>
        <w:t xml:space="preserve">. </w:t>
      </w:r>
    </w:p>
    <w:p w:rsidR="00BF6B36" w:rsidRPr="00BF0050" w:rsidRDefault="00BF6B36" w:rsidP="008C1232">
      <w:pPr>
        <w:spacing w:before="0" w:after="0"/>
        <w:jc w:val="both"/>
        <w:rPr>
          <w:sz w:val="26"/>
          <w:szCs w:val="26"/>
          <w:shd w:val="clear" w:color="auto" w:fill="FFFFFF"/>
        </w:rPr>
      </w:pPr>
      <w:r w:rsidRPr="00BF0050">
        <w:rPr>
          <w:sz w:val="26"/>
          <w:szCs w:val="26"/>
        </w:rPr>
        <w:t>Общие расходы на конечное потребление по базовому варианту сократятся на 2,</w:t>
      </w:r>
      <w:r w:rsidR="0054596F" w:rsidRPr="00BF0050">
        <w:rPr>
          <w:sz w:val="26"/>
          <w:szCs w:val="26"/>
        </w:rPr>
        <w:t>0 </w:t>
      </w:r>
      <w:r w:rsidRPr="00BF0050">
        <w:rPr>
          <w:sz w:val="26"/>
          <w:szCs w:val="26"/>
        </w:rPr>
        <w:t>%, прежде всего в результате сокращения на 2,</w:t>
      </w:r>
      <w:r w:rsidR="0054596F" w:rsidRPr="00BF0050">
        <w:rPr>
          <w:sz w:val="26"/>
          <w:szCs w:val="26"/>
        </w:rPr>
        <w:t>1 </w:t>
      </w:r>
      <w:r w:rsidRPr="00BF0050">
        <w:rPr>
          <w:sz w:val="26"/>
          <w:szCs w:val="26"/>
        </w:rPr>
        <w:t xml:space="preserve">% потребительского спроса домашних </w:t>
      </w:r>
      <w:proofErr w:type="gramStart"/>
      <w:r w:rsidRPr="00BF0050">
        <w:rPr>
          <w:sz w:val="26"/>
          <w:szCs w:val="26"/>
        </w:rPr>
        <w:t>хозяйств</w:t>
      </w:r>
      <w:proofErr w:type="gramEnd"/>
      <w:r w:rsidRPr="00BF0050">
        <w:rPr>
          <w:sz w:val="26"/>
          <w:szCs w:val="26"/>
        </w:rPr>
        <w:t xml:space="preserve"> в условиях ожидаемого </w:t>
      </w:r>
      <w:r w:rsidR="0054596F" w:rsidRPr="00BF0050">
        <w:rPr>
          <w:sz w:val="26"/>
          <w:szCs w:val="26"/>
        </w:rPr>
        <w:t xml:space="preserve">менее </w:t>
      </w:r>
      <w:r w:rsidRPr="00BF0050">
        <w:rPr>
          <w:sz w:val="26"/>
          <w:szCs w:val="26"/>
        </w:rPr>
        <w:t xml:space="preserve">чем </w:t>
      </w:r>
      <w:r w:rsidR="0054596F" w:rsidRPr="00BF0050">
        <w:rPr>
          <w:sz w:val="26"/>
          <w:szCs w:val="26"/>
        </w:rPr>
        <w:t>3</w:t>
      </w:r>
      <w:r w:rsidRPr="00BF0050">
        <w:rPr>
          <w:sz w:val="26"/>
          <w:szCs w:val="26"/>
        </w:rPr>
        <w:t>-</w:t>
      </w:r>
      <w:r w:rsidR="008C1232" w:rsidRPr="00BF0050">
        <w:rPr>
          <w:sz w:val="26"/>
          <w:szCs w:val="26"/>
        </w:rPr>
        <w:t>процент</w:t>
      </w:r>
      <w:r w:rsidRPr="00BF0050">
        <w:rPr>
          <w:sz w:val="26"/>
          <w:szCs w:val="26"/>
        </w:rPr>
        <w:t xml:space="preserve">ного </w:t>
      </w:r>
      <w:r w:rsidR="008C1232" w:rsidRPr="00BF0050">
        <w:rPr>
          <w:sz w:val="26"/>
          <w:szCs w:val="26"/>
        </w:rPr>
        <w:t>снижения</w:t>
      </w:r>
      <w:r w:rsidRPr="00BF0050">
        <w:rPr>
          <w:sz w:val="26"/>
          <w:szCs w:val="26"/>
        </w:rPr>
        <w:t xml:space="preserve"> реальных располагаемых доходов населения. Конечное потребление государства сократится на 1,5 процента.</w:t>
      </w:r>
    </w:p>
    <w:p w:rsidR="00BF6B36" w:rsidRPr="00BF0050" w:rsidRDefault="00160147" w:rsidP="008C1232">
      <w:pPr>
        <w:spacing w:before="0" w:after="0"/>
        <w:jc w:val="both"/>
        <w:rPr>
          <w:sz w:val="26"/>
          <w:szCs w:val="26"/>
        </w:rPr>
      </w:pPr>
      <w:r w:rsidRPr="00BF0050">
        <w:rPr>
          <w:sz w:val="26"/>
          <w:szCs w:val="26"/>
        </w:rPr>
        <w:t>Сохранение достаточно жестких условий заимствования капитала и общей неуверенности инвесторов</w:t>
      </w:r>
      <w:r w:rsidR="00BF6B36" w:rsidRPr="00BF0050">
        <w:rPr>
          <w:sz w:val="26"/>
          <w:szCs w:val="26"/>
        </w:rPr>
        <w:t xml:space="preserve"> </w:t>
      </w:r>
      <w:r w:rsidR="00191563" w:rsidRPr="00BF0050">
        <w:rPr>
          <w:sz w:val="26"/>
          <w:szCs w:val="26"/>
        </w:rPr>
        <w:t xml:space="preserve">приведет </w:t>
      </w:r>
      <w:r w:rsidR="00BF6B36" w:rsidRPr="00BF0050">
        <w:rPr>
          <w:sz w:val="26"/>
          <w:szCs w:val="26"/>
        </w:rPr>
        <w:t>к сокращению накопления основного капитала, однако темпы его падения в 2016 году замедлятся более чем в</w:t>
      </w:r>
      <w:r w:rsidR="00497375" w:rsidRPr="00BF0050">
        <w:rPr>
          <w:sz w:val="26"/>
          <w:szCs w:val="26"/>
        </w:rPr>
        <w:t xml:space="preserve"> 2 раза</w:t>
      </w:r>
      <w:r w:rsidR="00BF6B36" w:rsidRPr="00BF0050">
        <w:rPr>
          <w:sz w:val="26"/>
          <w:szCs w:val="26"/>
        </w:rPr>
        <w:t xml:space="preserve"> (до </w:t>
      </w:r>
      <w:r w:rsidR="0054596F" w:rsidRPr="00BF0050">
        <w:rPr>
          <w:sz w:val="26"/>
          <w:szCs w:val="26"/>
        </w:rPr>
        <w:t>2</w:t>
      </w:r>
      <w:r w:rsidR="00BF6B36" w:rsidRPr="00BF0050">
        <w:rPr>
          <w:sz w:val="26"/>
          <w:szCs w:val="26"/>
        </w:rPr>
        <w:t>,</w:t>
      </w:r>
      <w:r w:rsidR="0054596F" w:rsidRPr="00BF0050">
        <w:rPr>
          <w:sz w:val="26"/>
          <w:szCs w:val="26"/>
        </w:rPr>
        <w:t xml:space="preserve">9 </w:t>
      </w:r>
      <w:r w:rsidR="00BF6B36" w:rsidRPr="00BF0050">
        <w:rPr>
          <w:sz w:val="26"/>
          <w:szCs w:val="26"/>
        </w:rPr>
        <w:t>% против 7,</w:t>
      </w:r>
      <w:r w:rsidR="00497375" w:rsidRPr="00BF0050">
        <w:rPr>
          <w:sz w:val="26"/>
          <w:szCs w:val="26"/>
        </w:rPr>
        <w:t>6 </w:t>
      </w:r>
      <w:r w:rsidR="00BF6B36" w:rsidRPr="00BF0050">
        <w:rPr>
          <w:sz w:val="26"/>
          <w:szCs w:val="26"/>
        </w:rPr>
        <w:t xml:space="preserve">% в 2015 году). </w:t>
      </w:r>
    </w:p>
    <w:p w:rsidR="001E6AE7" w:rsidRPr="00BF0050" w:rsidRDefault="001E6AE7" w:rsidP="008C1232">
      <w:pPr>
        <w:spacing w:before="0" w:after="0"/>
        <w:jc w:val="both"/>
        <w:rPr>
          <w:sz w:val="26"/>
          <w:szCs w:val="26"/>
        </w:rPr>
      </w:pPr>
      <w:r w:rsidRPr="00BF0050">
        <w:rPr>
          <w:sz w:val="26"/>
          <w:szCs w:val="26"/>
        </w:rPr>
        <w:lastRenderedPageBreak/>
        <w:t xml:space="preserve">К концу 2015 </w:t>
      </w:r>
      <w:r w:rsidR="00497375" w:rsidRPr="00BF0050">
        <w:rPr>
          <w:sz w:val="26"/>
          <w:szCs w:val="26"/>
        </w:rPr>
        <w:t xml:space="preserve">г. </w:t>
      </w:r>
      <w:r w:rsidRPr="00BF0050">
        <w:rPr>
          <w:sz w:val="26"/>
          <w:szCs w:val="26"/>
        </w:rPr>
        <w:t>предприятия адаптировали уровень своих запасов материальных оборотных средств (МОС) к условиям сократившегося спроса. Ожидается, что                   в 2016 году ситуация с запасами нормализуется</w:t>
      </w:r>
      <w:r w:rsidR="00497375" w:rsidRPr="00BF0050">
        <w:rPr>
          <w:sz w:val="26"/>
          <w:szCs w:val="26"/>
        </w:rPr>
        <w:t xml:space="preserve">, и предприятия </w:t>
      </w:r>
      <w:r w:rsidRPr="00BF0050">
        <w:rPr>
          <w:sz w:val="26"/>
          <w:szCs w:val="26"/>
        </w:rPr>
        <w:t xml:space="preserve">начнут наращивать их </w:t>
      </w:r>
      <w:r w:rsidR="00AB708C" w:rsidRPr="00BF0050">
        <w:rPr>
          <w:sz w:val="26"/>
          <w:szCs w:val="26"/>
        </w:rPr>
        <w:t>в </w:t>
      </w:r>
      <w:r w:rsidRPr="00BF0050">
        <w:rPr>
          <w:sz w:val="26"/>
          <w:szCs w:val="26"/>
        </w:rPr>
        <w:t xml:space="preserve">соответствии с новыми параметрами спроса и производства. Переход прироста МОС </w:t>
      </w:r>
      <w:r w:rsidR="00AB708C" w:rsidRPr="00BF0050">
        <w:rPr>
          <w:sz w:val="26"/>
          <w:szCs w:val="26"/>
        </w:rPr>
        <w:t>в </w:t>
      </w:r>
      <w:r w:rsidRPr="00BF0050">
        <w:rPr>
          <w:sz w:val="26"/>
          <w:szCs w:val="26"/>
        </w:rPr>
        <w:t xml:space="preserve">область положительных значений приведет к ликвидации значительного разрыва </w:t>
      </w:r>
      <w:r w:rsidR="00AB708C" w:rsidRPr="00BF0050">
        <w:rPr>
          <w:sz w:val="26"/>
          <w:szCs w:val="26"/>
        </w:rPr>
        <w:t>в </w:t>
      </w:r>
      <w:r w:rsidRPr="00BF0050">
        <w:rPr>
          <w:sz w:val="26"/>
          <w:szCs w:val="26"/>
        </w:rPr>
        <w:t>динамике валового накопления основного капитала и валового накопления.</w:t>
      </w:r>
    </w:p>
    <w:p w:rsidR="002C0E6B" w:rsidRPr="00BF0050" w:rsidRDefault="002C0E6B" w:rsidP="002C0E6B">
      <w:pPr>
        <w:spacing w:before="0" w:after="0"/>
        <w:jc w:val="both"/>
        <w:rPr>
          <w:sz w:val="26"/>
          <w:szCs w:val="26"/>
        </w:rPr>
      </w:pPr>
      <w:r w:rsidRPr="00BF0050">
        <w:rPr>
          <w:sz w:val="26"/>
          <w:szCs w:val="26"/>
        </w:rPr>
        <w:t xml:space="preserve">В 2016 году рост валового накопления прогнозируется на уровне </w:t>
      </w:r>
      <w:r w:rsidR="0054596F" w:rsidRPr="00BF0050">
        <w:rPr>
          <w:sz w:val="26"/>
          <w:szCs w:val="26"/>
        </w:rPr>
        <w:t>0,9</w:t>
      </w:r>
      <w:r w:rsidRPr="00BF0050">
        <w:rPr>
          <w:sz w:val="26"/>
          <w:szCs w:val="26"/>
        </w:rPr>
        <w:t xml:space="preserve"> % (против сокращения на 18,7 % в 2015 году)  при сохранении отрицательной динамики накопления основного капитала. В экономике возможно повторение ситуации 2009 – 2010 гг. </w:t>
      </w:r>
      <w:r w:rsidR="00497375" w:rsidRPr="00BF0050">
        <w:rPr>
          <w:sz w:val="26"/>
          <w:szCs w:val="26"/>
        </w:rPr>
        <w:t xml:space="preserve">(когда </w:t>
      </w:r>
      <w:r w:rsidRPr="00BF0050">
        <w:rPr>
          <w:sz w:val="26"/>
          <w:szCs w:val="26"/>
        </w:rPr>
        <w:t xml:space="preserve">прирост материальных оборотных средств из </w:t>
      </w:r>
      <w:proofErr w:type="gramStart"/>
      <w:r w:rsidRPr="00BF0050">
        <w:rPr>
          <w:sz w:val="26"/>
          <w:szCs w:val="26"/>
        </w:rPr>
        <w:t>отрицательного</w:t>
      </w:r>
      <w:proofErr w:type="gramEnd"/>
      <w:r w:rsidRPr="00BF0050">
        <w:rPr>
          <w:sz w:val="26"/>
          <w:szCs w:val="26"/>
        </w:rPr>
        <w:t xml:space="preserve"> стал положительным</w:t>
      </w:r>
      <w:r w:rsidR="00497375" w:rsidRPr="00BF0050">
        <w:rPr>
          <w:sz w:val="26"/>
          <w:szCs w:val="26"/>
        </w:rPr>
        <w:t>)</w:t>
      </w:r>
      <w:r w:rsidRPr="00BF0050">
        <w:rPr>
          <w:sz w:val="26"/>
          <w:szCs w:val="26"/>
        </w:rPr>
        <w:t>, но с меньш</w:t>
      </w:r>
      <w:r w:rsidR="00BB2D69" w:rsidRPr="00BF0050">
        <w:rPr>
          <w:sz w:val="26"/>
          <w:szCs w:val="26"/>
        </w:rPr>
        <w:t>им</w:t>
      </w:r>
      <w:r w:rsidRPr="00BF0050">
        <w:rPr>
          <w:sz w:val="26"/>
          <w:szCs w:val="26"/>
        </w:rPr>
        <w:t xml:space="preserve"> </w:t>
      </w:r>
      <w:r w:rsidR="00BB2D69" w:rsidRPr="00BF0050">
        <w:rPr>
          <w:sz w:val="26"/>
          <w:szCs w:val="26"/>
        </w:rPr>
        <w:t>увеличением</w:t>
      </w:r>
      <w:r w:rsidRPr="00BF0050">
        <w:rPr>
          <w:sz w:val="26"/>
          <w:szCs w:val="26"/>
        </w:rPr>
        <w:t>.</w:t>
      </w:r>
    </w:p>
    <w:p w:rsidR="000C5AEE" w:rsidRPr="00BF0050" w:rsidRDefault="000C5AEE" w:rsidP="000D5110">
      <w:pPr>
        <w:spacing w:line="360" w:lineRule="atLeast"/>
        <w:ind w:firstLine="0"/>
        <w:jc w:val="center"/>
        <w:rPr>
          <w:b/>
          <w:sz w:val="26"/>
          <w:szCs w:val="26"/>
        </w:rPr>
      </w:pPr>
      <w:r w:rsidRPr="00BF0050">
        <w:rPr>
          <w:b/>
          <w:sz w:val="26"/>
          <w:szCs w:val="26"/>
        </w:rPr>
        <w:t xml:space="preserve">Динамика и структура элементов использования ВВП  </w:t>
      </w:r>
    </w:p>
    <w:p w:rsidR="000C5AEE" w:rsidRPr="00BF0050" w:rsidRDefault="000C5AEE" w:rsidP="000C5AEE">
      <w:pPr>
        <w:spacing w:before="0" w:after="0" w:line="240" w:lineRule="auto"/>
        <w:ind w:firstLine="0"/>
        <w:jc w:val="center"/>
        <w:rPr>
          <w:sz w:val="8"/>
          <w:szCs w:val="8"/>
        </w:rPr>
      </w:pPr>
    </w:p>
    <w:tbl>
      <w:tblPr>
        <w:tblW w:w="9776" w:type="dxa"/>
        <w:jc w:val="center"/>
        <w:tblLayout w:type="fixed"/>
        <w:tblCellMar>
          <w:left w:w="30" w:type="dxa"/>
          <w:right w:w="30" w:type="dxa"/>
        </w:tblCellMar>
        <w:tblLook w:val="0000" w:firstRow="0" w:lastRow="0" w:firstColumn="0" w:lastColumn="0" w:noHBand="0" w:noVBand="0"/>
      </w:tblPr>
      <w:tblGrid>
        <w:gridCol w:w="4348"/>
        <w:gridCol w:w="1168"/>
        <w:gridCol w:w="1024"/>
        <w:gridCol w:w="1060"/>
        <w:gridCol w:w="1042"/>
        <w:gridCol w:w="1134"/>
      </w:tblGrid>
      <w:tr w:rsidR="000C5AEE" w:rsidRPr="00BF0050" w:rsidTr="001E6AE7">
        <w:trPr>
          <w:trHeight w:val="281"/>
          <w:jc w:val="center"/>
        </w:trPr>
        <w:tc>
          <w:tcPr>
            <w:tcW w:w="4348" w:type="dxa"/>
            <w:tcBorders>
              <w:top w:val="single" w:sz="4" w:space="0" w:color="auto"/>
              <w:left w:val="single" w:sz="4" w:space="0" w:color="auto"/>
              <w:bottom w:val="single" w:sz="4" w:space="0" w:color="auto"/>
              <w:right w:val="single" w:sz="4" w:space="0" w:color="auto"/>
            </w:tcBorders>
            <w:shd w:val="solid" w:color="FFFFFF" w:fill="auto"/>
            <w:vAlign w:val="center"/>
          </w:tcPr>
          <w:p w:rsidR="000C5AEE" w:rsidRPr="00BF0050" w:rsidRDefault="000C5AEE" w:rsidP="000C5AEE">
            <w:pPr>
              <w:spacing w:before="40" w:after="40" w:line="240" w:lineRule="auto"/>
              <w:ind w:firstLine="0"/>
              <w:jc w:val="center"/>
              <w:rPr>
                <w:snapToGrid w:val="0"/>
              </w:rPr>
            </w:pPr>
          </w:p>
        </w:tc>
        <w:tc>
          <w:tcPr>
            <w:tcW w:w="1168" w:type="dxa"/>
            <w:tcBorders>
              <w:top w:val="single" w:sz="4" w:space="0" w:color="auto"/>
              <w:bottom w:val="single" w:sz="4" w:space="0" w:color="auto"/>
              <w:right w:val="single" w:sz="6" w:space="0" w:color="auto"/>
            </w:tcBorders>
            <w:shd w:val="solid" w:color="FFFFFF" w:fill="auto"/>
            <w:vAlign w:val="center"/>
          </w:tcPr>
          <w:p w:rsidR="000C5AEE" w:rsidRPr="00BF0050" w:rsidRDefault="000C5AEE" w:rsidP="000C5AEE">
            <w:pPr>
              <w:spacing w:before="40" w:after="40" w:line="240" w:lineRule="auto"/>
              <w:ind w:firstLine="0"/>
              <w:jc w:val="center"/>
              <w:rPr>
                <w:snapToGrid w:val="0"/>
              </w:rPr>
            </w:pPr>
            <w:r w:rsidRPr="00BF0050">
              <w:rPr>
                <w:snapToGrid w:val="0"/>
              </w:rPr>
              <w:t>2015 г.</w:t>
            </w:r>
          </w:p>
        </w:tc>
        <w:tc>
          <w:tcPr>
            <w:tcW w:w="1024" w:type="dxa"/>
            <w:tcBorders>
              <w:top w:val="single" w:sz="4" w:space="0" w:color="auto"/>
              <w:bottom w:val="single" w:sz="4" w:space="0" w:color="auto"/>
              <w:right w:val="single" w:sz="6" w:space="0" w:color="auto"/>
            </w:tcBorders>
            <w:shd w:val="solid" w:color="FFFFFF" w:fill="auto"/>
            <w:vAlign w:val="center"/>
          </w:tcPr>
          <w:p w:rsidR="000C5AEE" w:rsidRPr="00BF0050" w:rsidRDefault="000C5AEE" w:rsidP="000C5AEE">
            <w:pPr>
              <w:spacing w:before="40" w:after="40" w:line="240" w:lineRule="auto"/>
              <w:ind w:firstLine="0"/>
              <w:jc w:val="center"/>
              <w:rPr>
                <w:snapToGrid w:val="0"/>
              </w:rPr>
            </w:pPr>
            <w:r w:rsidRPr="00BF0050">
              <w:rPr>
                <w:snapToGrid w:val="0"/>
              </w:rPr>
              <w:t>2016 г.</w:t>
            </w:r>
          </w:p>
        </w:tc>
        <w:tc>
          <w:tcPr>
            <w:tcW w:w="1060" w:type="dxa"/>
            <w:tcBorders>
              <w:top w:val="single" w:sz="4" w:space="0" w:color="auto"/>
              <w:bottom w:val="single" w:sz="4" w:space="0" w:color="auto"/>
              <w:right w:val="single" w:sz="6" w:space="0" w:color="auto"/>
            </w:tcBorders>
            <w:shd w:val="solid" w:color="FFFFFF" w:fill="auto"/>
            <w:vAlign w:val="center"/>
          </w:tcPr>
          <w:p w:rsidR="000C5AEE" w:rsidRPr="00BF0050" w:rsidRDefault="000C5AEE" w:rsidP="000C5AEE">
            <w:pPr>
              <w:spacing w:before="40" w:after="40" w:line="240" w:lineRule="auto"/>
              <w:ind w:firstLine="0"/>
              <w:jc w:val="center"/>
              <w:rPr>
                <w:snapToGrid w:val="0"/>
              </w:rPr>
            </w:pPr>
            <w:r w:rsidRPr="00BF0050">
              <w:rPr>
                <w:snapToGrid w:val="0"/>
              </w:rPr>
              <w:t>2017 г.</w:t>
            </w:r>
          </w:p>
        </w:tc>
        <w:tc>
          <w:tcPr>
            <w:tcW w:w="1042" w:type="dxa"/>
            <w:tcBorders>
              <w:top w:val="single" w:sz="4" w:space="0" w:color="auto"/>
              <w:bottom w:val="single" w:sz="4" w:space="0" w:color="auto"/>
              <w:right w:val="single" w:sz="4" w:space="0" w:color="auto"/>
            </w:tcBorders>
            <w:shd w:val="solid" w:color="FFFFFF" w:fill="auto"/>
            <w:vAlign w:val="center"/>
          </w:tcPr>
          <w:p w:rsidR="000C5AEE" w:rsidRPr="00BF0050" w:rsidRDefault="000C5AEE" w:rsidP="000C5AEE">
            <w:pPr>
              <w:spacing w:before="40" w:after="40" w:line="240" w:lineRule="auto"/>
              <w:ind w:firstLine="0"/>
              <w:jc w:val="center"/>
              <w:rPr>
                <w:snapToGrid w:val="0"/>
              </w:rPr>
            </w:pPr>
            <w:r w:rsidRPr="00BF0050">
              <w:rPr>
                <w:snapToGrid w:val="0"/>
              </w:rPr>
              <w:t>2018 г.</w:t>
            </w:r>
          </w:p>
        </w:tc>
        <w:tc>
          <w:tcPr>
            <w:tcW w:w="1134" w:type="dxa"/>
            <w:tcBorders>
              <w:top w:val="single" w:sz="4" w:space="0" w:color="auto"/>
              <w:bottom w:val="single" w:sz="4" w:space="0" w:color="auto"/>
              <w:right w:val="single" w:sz="4" w:space="0" w:color="auto"/>
            </w:tcBorders>
            <w:shd w:val="solid" w:color="FFFFFF" w:fill="auto"/>
            <w:vAlign w:val="center"/>
          </w:tcPr>
          <w:p w:rsidR="000C5AEE" w:rsidRPr="00BF0050" w:rsidRDefault="000C5AEE" w:rsidP="000C5AEE">
            <w:pPr>
              <w:spacing w:before="40" w:after="40" w:line="240" w:lineRule="auto"/>
              <w:ind w:firstLine="0"/>
              <w:jc w:val="center"/>
              <w:rPr>
                <w:snapToGrid w:val="0"/>
              </w:rPr>
            </w:pPr>
            <w:r w:rsidRPr="00BF0050">
              <w:rPr>
                <w:snapToGrid w:val="0"/>
              </w:rPr>
              <w:t>2019 г.</w:t>
            </w:r>
          </w:p>
        </w:tc>
      </w:tr>
      <w:tr w:rsidR="000C5AEE" w:rsidRPr="00BF0050" w:rsidTr="001E6AE7">
        <w:trPr>
          <w:trHeight w:val="281"/>
          <w:jc w:val="center"/>
        </w:trPr>
        <w:tc>
          <w:tcPr>
            <w:tcW w:w="9776" w:type="dxa"/>
            <w:gridSpan w:val="6"/>
            <w:tcBorders>
              <w:top w:val="single" w:sz="4" w:space="0" w:color="auto"/>
              <w:left w:val="single" w:sz="4" w:space="0" w:color="auto"/>
              <w:bottom w:val="single" w:sz="4" w:space="0" w:color="auto"/>
              <w:right w:val="single" w:sz="4" w:space="0" w:color="auto"/>
            </w:tcBorders>
            <w:shd w:val="solid" w:color="FFFFFF" w:fill="auto"/>
            <w:vAlign w:val="center"/>
          </w:tcPr>
          <w:p w:rsidR="000C5AEE" w:rsidRPr="00BF0050" w:rsidRDefault="000C5AEE" w:rsidP="000C5AEE">
            <w:pPr>
              <w:spacing w:before="20" w:after="20" w:line="240" w:lineRule="auto"/>
              <w:ind w:firstLine="0"/>
              <w:jc w:val="center"/>
              <w:rPr>
                <w:b/>
              </w:rPr>
            </w:pPr>
            <w:r w:rsidRPr="00BF0050">
              <w:rPr>
                <w:b/>
              </w:rPr>
              <w:t xml:space="preserve">Динамика, </w:t>
            </w:r>
            <w:proofErr w:type="gramStart"/>
            <w:r w:rsidRPr="00BF0050">
              <w:rPr>
                <w:b/>
              </w:rPr>
              <w:t>в</w:t>
            </w:r>
            <w:proofErr w:type="gramEnd"/>
            <w:r w:rsidRPr="00BF0050">
              <w:rPr>
                <w:b/>
              </w:rPr>
              <w:t xml:space="preserve"> % </w:t>
            </w:r>
            <w:proofErr w:type="gramStart"/>
            <w:r w:rsidRPr="00BF0050">
              <w:rPr>
                <w:b/>
              </w:rPr>
              <w:t>к</w:t>
            </w:r>
            <w:proofErr w:type="gramEnd"/>
            <w:r w:rsidRPr="00BF0050">
              <w:rPr>
                <w:b/>
              </w:rPr>
              <w:t xml:space="preserve"> предыдущему году</w:t>
            </w:r>
          </w:p>
        </w:tc>
      </w:tr>
      <w:tr w:rsidR="0054596F" w:rsidRPr="00BF0050" w:rsidTr="00744601">
        <w:trPr>
          <w:trHeight w:val="243"/>
          <w:jc w:val="center"/>
        </w:trPr>
        <w:tc>
          <w:tcPr>
            <w:tcW w:w="4348" w:type="dxa"/>
            <w:tcBorders>
              <w:top w:val="single" w:sz="4" w:space="0" w:color="auto"/>
              <w:left w:val="single" w:sz="4" w:space="0" w:color="auto"/>
              <w:right w:val="single" w:sz="4" w:space="0" w:color="auto"/>
            </w:tcBorders>
            <w:shd w:val="solid" w:color="FFFFFF" w:fill="auto"/>
            <w:vAlign w:val="bottom"/>
          </w:tcPr>
          <w:p w:rsidR="0054596F" w:rsidRPr="00BF0050" w:rsidRDefault="0054596F" w:rsidP="001E6AE7">
            <w:pPr>
              <w:spacing w:after="60" w:line="240" w:lineRule="auto"/>
              <w:ind w:left="57" w:firstLine="0"/>
              <w:rPr>
                <w:b/>
              </w:rPr>
            </w:pPr>
            <w:r w:rsidRPr="00BF0050">
              <w:rPr>
                <w:b/>
              </w:rPr>
              <w:t>Валовой внутренний продукт</w:t>
            </w:r>
          </w:p>
        </w:tc>
        <w:tc>
          <w:tcPr>
            <w:tcW w:w="1168" w:type="dxa"/>
            <w:tcBorders>
              <w:top w:val="single" w:sz="4" w:space="0" w:color="auto"/>
            </w:tcBorders>
            <w:vAlign w:val="center"/>
          </w:tcPr>
          <w:p w:rsidR="0054596F" w:rsidRPr="00BF0050" w:rsidRDefault="0054596F" w:rsidP="001E6AE7">
            <w:pPr>
              <w:spacing w:after="60" w:line="240" w:lineRule="auto"/>
              <w:ind w:left="57" w:firstLine="0"/>
              <w:jc w:val="center"/>
              <w:rPr>
                <w:b/>
                <w:snapToGrid w:val="0"/>
              </w:rPr>
            </w:pPr>
            <w:r w:rsidRPr="00BF0050">
              <w:rPr>
                <w:b/>
                <w:bCs/>
              </w:rPr>
              <w:t xml:space="preserve">-3,7 </w:t>
            </w:r>
          </w:p>
        </w:tc>
        <w:tc>
          <w:tcPr>
            <w:tcW w:w="1024" w:type="dxa"/>
            <w:tcBorders>
              <w:top w:val="single" w:sz="4" w:space="0" w:color="auto"/>
            </w:tcBorders>
            <w:vAlign w:val="center"/>
          </w:tcPr>
          <w:p w:rsidR="0054596F" w:rsidRPr="00BF0050" w:rsidRDefault="0054596F" w:rsidP="001E6AE7">
            <w:pPr>
              <w:spacing w:after="60" w:line="240" w:lineRule="auto"/>
              <w:ind w:left="57" w:firstLine="0"/>
              <w:jc w:val="center"/>
              <w:rPr>
                <w:b/>
                <w:snapToGrid w:val="0"/>
              </w:rPr>
            </w:pPr>
            <w:r w:rsidRPr="00BF0050">
              <w:rPr>
                <w:b/>
                <w:bCs/>
              </w:rPr>
              <w:t xml:space="preserve">-0,2 </w:t>
            </w:r>
          </w:p>
        </w:tc>
        <w:tc>
          <w:tcPr>
            <w:tcW w:w="1060" w:type="dxa"/>
            <w:tcBorders>
              <w:top w:val="single" w:sz="4" w:space="0" w:color="auto"/>
            </w:tcBorders>
            <w:vAlign w:val="center"/>
          </w:tcPr>
          <w:p w:rsidR="0054596F" w:rsidRPr="00BF0050" w:rsidRDefault="0054596F" w:rsidP="001E6AE7">
            <w:pPr>
              <w:spacing w:after="60" w:line="240" w:lineRule="auto"/>
              <w:ind w:left="57" w:firstLine="0"/>
              <w:jc w:val="center"/>
              <w:rPr>
                <w:b/>
                <w:snapToGrid w:val="0"/>
              </w:rPr>
            </w:pPr>
            <w:r w:rsidRPr="00BF0050">
              <w:rPr>
                <w:b/>
                <w:bCs/>
              </w:rPr>
              <w:t xml:space="preserve">0,8 </w:t>
            </w:r>
          </w:p>
        </w:tc>
        <w:tc>
          <w:tcPr>
            <w:tcW w:w="1042" w:type="dxa"/>
            <w:tcBorders>
              <w:top w:val="single" w:sz="4" w:space="0" w:color="auto"/>
            </w:tcBorders>
            <w:shd w:val="clear" w:color="C0C0C0" w:fill="auto"/>
            <w:vAlign w:val="center"/>
          </w:tcPr>
          <w:p w:rsidR="0054596F" w:rsidRPr="00BF0050" w:rsidRDefault="0054596F" w:rsidP="001E6AE7">
            <w:pPr>
              <w:spacing w:after="60" w:line="240" w:lineRule="auto"/>
              <w:ind w:left="57" w:firstLine="0"/>
              <w:jc w:val="center"/>
              <w:rPr>
                <w:b/>
                <w:snapToGrid w:val="0"/>
              </w:rPr>
            </w:pPr>
            <w:r w:rsidRPr="00BF0050">
              <w:rPr>
                <w:b/>
                <w:bCs/>
              </w:rPr>
              <w:t xml:space="preserve">1,8 </w:t>
            </w:r>
          </w:p>
        </w:tc>
        <w:tc>
          <w:tcPr>
            <w:tcW w:w="1134" w:type="dxa"/>
            <w:tcBorders>
              <w:top w:val="single" w:sz="4" w:space="0" w:color="auto"/>
              <w:left w:val="nil"/>
              <w:right w:val="single" w:sz="4" w:space="0" w:color="auto"/>
            </w:tcBorders>
            <w:shd w:val="clear" w:color="C0C0C0" w:fill="auto"/>
            <w:vAlign w:val="center"/>
          </w:tcPr>
          <w:p w:rsidR="0054596F" w:rsidRPr="00BF0050" w:rsidRDefault="0054596F" w:rsidP="001E6AE7">
            <w:pPr>
              <w:spacing w:after="60" w:line="240" w:lineRule="auto"/>
              <w:ind w:left="57" w:firstLine="0"/>
              <w:jc w:val="center"/>
              <w:rPr>
                <w:b/>
                <w:snapToGrid w:val="0"/>
              </w:rPr>
            </w:pPr>
            <w:r w:rsidRPr="00BF0050">
              <w:rPr>
                <w:b/>
                <w:bCs/>
              </w:rPr>
              <w:t xml:space="preserve">2,2 </w:t>
            </w:r>
          </w:p>
        </w:tc>
      </w:tr>
      <w:tr w:rsidR="0054596F" w:rsidRPr="00BF0050" w:rsidTr="00744601">
        <w:trPr>
          <w:trHeight w:val="187"/>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pPr>
            <w:r w:rsidRPr="00BF0050">
              <w:t xml:space="preserve">     Расходы на конечное потребление</w:t>
            </w:r>
          </w:p>
        </w:tc>
        <w:tc>
          <w:tcPr>
            <w:tcW w:w="1168"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-7,5 </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-2,0 </w:t>
            </w:r>
          </w:p>
        </w:tc>
        <w:tc>
          <w:tcPr>
            <w:tcW w:w="1060" w:type="dxa"/>
            <w:vAlign w:val="center"/>
          </w:tcPr>
          <w:p w:rsidR="0054596F" w:rsidRPr="00BF0050" w:rsidRDefault="0054596F" w:rsidP="000C5AEE">
            <w:pPr>
              <w:spacing w:before="20" w:after="20" w:line="240" w:lineRule="auto"/>
              <w:ind w:left="57" w:firstLine="0"/>
              <w:jc w:val="center"/>
              <w:rPr>
                <w:snapToGrid w:val="0"/>
              </w:rPr>
            </w:pPr>
            <w:r w:rsidRPr="00BF0050">
              <w:t xml:space="preserve">0,5 </w:t>
            </w:r>
          </w:p>
        </w:tc>
        <w:tc>
          <w:tcPr>
            <w:tcW w:w="1042" w:type="dxa"/>
            <w:shd w:val="clear" w:color="C0C0C0" w:fill="auto"/>
            <w:vAlign w:val="center"/>
          </w:tcPr>
          <w:p w:rsidR="0054596F" w:rsidRPr="00BF0050" w:rsidRDefault="0054596F" w:rsidP="000C5AEE">
            <w:pPr>
              <w:spacing w:before="20" w:after="20" w:line="240" w:lineRule="auto"/>
              <w:ind w:left="57" w:firstLine="0"/>
              <w:jc w:val="center"/>
              <w:rPr>
                <w:snapToGrid w:val="0"/>
              </w:rPr>
            </w:pPr>
            <w:r w:rsidRPr="00BF0050">
              <w:t xml:space="preserve">1,7 </w:t>
            </w:r>
          </w:p>
        </w:tc>
        <w:tc>
          <w:tcPr>
            <w:tcW w:w="1134" w:type="dxa"/>
            <w:tcBorders>
              <w:left w:val="nil"/>
              <w:right w:val="single" w:sz="4" w:space="0" w:color="auto"/>
            </w:tcBorders>
            <w:shd w:val="clear" w:color="C0C0C0" w:fill="auto"/>
            <w:vAlign w:val="center"/>
          </w:tcPr>
          <w:p w:rsidR="0054596F" w:rsidRPr="00BF0050" w:rsidRDefault="0054596F" w:rsidP="000C5AEE">
            <w:pPr>
              <w:spacing w:before="20" w:after="20" w:line="240" w:lineRule="auto"/>
              <w:ind w:left="57" w:firstLine="0"/>
              <w:jc w:val="center"/>
              <w:rPr>
                <w:snapToGrid w:val="0"/>
              </w:rPr>
            </w:pPr>
            <w:r w:rsidRPr="00BF0050">
              <w:t>2,4</w:t>
            </w:r>
          </w:p>
        </w:tc>
      </w:tr>
      <w:tr w:rsidR="0054596F" w:rsidRPr="00BF0050" w:rsidTr="00744601">
        <w:trPr>
          <w:trHeight w:val="187"/>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pPr>
            <w:r w:rsidRPr="00BF0050">
              <w:t xml:space="preserve">         в том числе:</w:t>
            </w:r>
          </w:p>
        </w:tc>
        <w:tc>
          <w:tcPr>
            <w:tcW w:w="1168" w:type="dxa"/>
            <w:shd w:val="solid" w:color="FFFFFF" w:fill="auto"/>
            <w:vAlign w:val="center"/>
          </w:tcPr>
          <w:p w:rsidR="0054596F" w:rsidRPr="00BF0050" w:rsidRDefault="0054596F" w:rsidP="000C5AEE">
            <w:pPr>
              <w:spacing w:before="20" w:after="20" w:line="240" w:lineRule="auto"/>
              <w:ind w:left="57" w:firstLine="0"/>
              <w:jc w:val="center"/>
              <w:rPr>
                <w:snapToGrid w:val="0"/>
              </w:rPr>
            </w:pP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p>
        </w:tc>
        <w:tc>
          <w:tcPr>
            <w:tcW w:w="1060" w:type="dxa"/>
            <w:vAlign w:val="center"/>
          </w:tcPr>
          <w:p w:rsidR="0054596F" w:rsidRPr="00BF0050" w:rsidRDefault="0054596F" w:rsidP="000C5AEE">
            <w:pPr>
              <w:spacing w:before="20" w:after="20" w:line="240" w:lineRule="auto"/>
              <w:ind w:left="57" w:firstLine="0"/>
              <w:jc w:val="center"/>
              <w:rPr>
                <w:snapToGrid w:val="0"/>
              </w:rPr>
            </w:pPr>
          </w:p>
        </w:tc>
        <w:tc>
          <w:tcPr>
            <w:tcW w:w="1042" w:type="dxa"/>
            <w:shd w:val="clear" w:color="C0C0C0" w:fill="auto"/>
            <w:vAlign w:val="center"/>
          </w:tcPr>
          <w:p w:rsidR="0054596F" w:rsidRPr="00BF0050" w:rsidRDefault="0054596F" w:rsidP="000C5AEE">
            <w:pPr>
              <w:spacing w:before="20" w:after="20" w:line="240" w:lineRule="auto"/>
              <w:ind w:left="57" w:firstLine="0"/>
              <w:jc w:val="center"/>
              <w:rPr>
                <w:snapToGrid w:val="0"/>
              </w:rPr>
            </w:pPr>
          </w:p>
        </w:tc>
        <w:tc>
          <w:tcPr>
            <w:tcW w:w="1134" w:type="dxa"/>
            <w:tcBorders>
              <w:left w:val="nil"/>
              <w:right w:val="single" w:sz="4" w:space="0" w:color="auto"/>
            </w:tcBorders>
            <w:shd w:val="clear" w:color="C0C0C0" w:fill="auto"/>
            <w:vAlign w:val="center"/>
          </w:tcPr>
          <w:p w:rsidR="0054596F" w:rsidRPr="00BF0050" w:rsidRDefault="0054596F" w:rsidP="000C5AEE">
            <w:pPr>
              <w:spacing w:before="20" w:after="20" w:line="240" w:lineRule="auto"/>
              <w:ind w:left="57" w:firstLine="0"/>
              <w:jc w:val="center"/>
              <w:rPr>
                <w:snapToGrid w:val="0"/>
              </w:rPr>
            </w:pPr>
          </w:p>
        </w:tc>
      </w:tr>
      <w:tr w:rsidR="0054596F" w:rsidRPr="00BF0050" w:rsidTr="00744601">
        <w:trPr>
          <w:trHeight w:val="234"/>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pPr>
            <w:r w:rsidRPr="00BF0050">
              <w:t xml:space="preserve">            Домашних хозяйств</w:t>
            </w:r>
          </w:p>
        </w:tc>
        <w:tc>
          <w:tcPr>
            <w:tcW w:w="1168"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-9,6 </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-2,1 </w:t>
            </w:r>
          </w:p>
        </w:tc>
        <w:tc>
          <w:tcPr>
            <w:tcW w:w="1060"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1,1 </w:t>
            </w:r>
          </w:p>
        </w:tc>
        <w:tc>
          <w:tcPr>
            <w:tcW w:w="1042"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2,6 </w:t>
            </w:r>
          </w:p>
        </w:tc>
        <w:tc>
          <w:tcPr>
            <w:tcW w:w="1134" w:type="dxa"/>
            <w:tcBorders>
              <w:left w:val="nil"/>
              <w:right w:val="single" w:sz="4" w:space="0" w:color="auto"/>
            </w:tcBorders>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3,2 </w:t>
            </w:r>
          </w:p>
        </w:tc>
      </w:tr>
      <w:tr w:rsidR="0054596F"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pPr>
            <w:r w:rsidRPr="00BF0050">
              <w:t xml:space="preserve">            Государственного управления</w:t>
            </w:r>
          </w:p>
        </w:tc>
        <w:tc>
          <w:tcPr>
            <w:tcW w:w="1168"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-1,8 </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-1,5 </w:t>
            </w:r>
          </w:p>
        </w:tc>
        <w:tc>
          <w:tcPr>
            <w:tcW w:w="1060"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-1,0 </w:t>
            </w:r>
          </w:p>
        </w:tc>
        <w:tc>
          <w:tcPr>
            <w:tcW w:w="1042"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-1,0 </w:t>
            </w:r>
          </w:p>
        </w:tc>
        <w:tc>
          <w:tcPr>
            <w:tcW w:w="1134" w:type="dxa"/>
            <w:tcBorders>
              <w:left w:val="nil"/>
              <w:right w:val="single" w:sz="4" w:space="0" w:color="auto"/>
            </w:tcBorders>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 xml:space="preserve">0,0 </w:t>
            </w:r>
          </w:p>
        </w:tc>
      </w:tr>
      <w:tr w:rsidR="0054596F"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pPr>
            <w:r w:rsidRPr="00BF0050">
              <w:t xml:space="preserve">     Валовое накопление</w:t>
            </w:r>
          </w:p>
        </w:tc>
        <w:tc>
          <w:tcPr>
            <w:tcW w:w="1168"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-18,7</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0,9</w:t>
            </w:r>
          </w:p>
        </w:tc>
        <w:tc>
          <w:tcPr>
            <w:tcW w:w="1060" w:type="dxa"/>
            <w:shd w:val="solid" w:color="FFFFFF" w:fill="auto"/>
            <w:vAlign w:val="center"/>
          </w:tcPr>
          <w:p w:rsidR="0054596F" w:rsidRPr="00BF0050" w:rsidRDefault="0054596F" w:rsidP="0056696E">
            <w:pPr>
              <w:spacing w:before="20" w:after="20" w:line="240" w:lineRule="auto"/>
              <w:ind w:left="57" w:firstLine="0"/>
              <w:jc w:val="center"/>
              <w:rPr>
                <w:snapToGrid w:val="0"/>
              </w:rPr>
            </w:pPr>
            <w:r w:rsidRPr="00BF0050">
              <w:t>4,3</w:t>
            </w:r>
          </w:p>
        </w:tc>
        <w:tc>
          <w:tcPr>
            <w:tcW w:w="1042" w:type="dxa"/>
            <w:shd w:val="solid" w:color="FFFFFF" w:fill="auto"/>
            <w:vAlign w:val="center"/>
          </w:tcPr>
          <w:p w:rsidR="0054596F" w:rsidRPr="00BF0050" w:rsidRDefault="0054596F" w:rsidP="00955135">
            <w:pPr>
              <w:spacing w:before="20" w:after="20" w:line="240" w:lineRule="auto"/>
              <w:ind w:left="57" w:firstLine="0"/>
              <w:jc w:val="center"/>
              <w:rPr>
                <w:snapToGrid w:val="0"/>
              </w:rPr>
            </w:pPr>
            <w:r w:rsidRPr="00BF0050">
              <w:t>4,3</w:t>
            </w:r>
          </w:p>
        </w:tc>
        <w:tc>
          <w:tcPr>
            <w:tcW w:w="1134" w:type="dxa"/>
            <w:tcBorders>
              <w:left w:val="nil"/>
              <w:right w:val="single" w:sz="4" w:space="0" w:color="auto"/>
            </w:tcBorders>
            <w:shd w:val="solid" w:color="FFFFFF" w:fill="auto"/>
            <w:vAlign w:val="center"/>
          </w:tcPr>
          <w:p w:rsidR="0054596F" w:rsidRPr="00BF0050" w:rsidRDefault="0054596F" w:rsidP="009251A6">
            <w:pPr>
              <w:spacing w:before="20" w:after="20" w:line="240" w:lineRule="auto"/>
              <w:ind w:left="57" w:firstLine="0"/>
              <w:jc w:val="center"/>
              <w:rPr>
                <w:snapToGrid w:val="0"/>
              </w:rPr>
            </w:pPr>
            <w:r w:rsidRPr="00BF0050">
              <w:t>4,0</w:t>
            </w:r>
          </w:p>
        </w:tc>
      </w:tr>
      <w:tr w:rsidR="0054596F"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5458C8">
            <w:pPr>
              <w:spacing w:before="20" w:after="20" w:line="240" w:lineRule="auto"/>
              <w:ind w:left="678" w:hanging="44"/>
            </w:pPr>
            <w:r w:rsidRPr="00BF0050">
              <w:t xml:space="preserve"> Валовое накопление основного          капитала</w:t>
            </w:r>
            <w:r w:rsidRPr="00BF0050">
              <w:rPr>
                <w:vertAlign w:val="superscript"/>
              </w:rPr>
              <w:t>*</w:t>
            </w:r>
          </w:p>
        </w:tc>
        <w:tc>
          <w:tcPr>
            <w:tcW w:w="1168"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-7,6</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-2,9</w:t>
            </w:r>
          </w:p>
        </w:tc>
        <w:tc>
          <w:tcPr>
            <w:tcW w:w="1060"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1,0</w:t>
            </w:r>
          </w:p>
        </w:tc>
        <w:tc>
          <w:tcPr>
            <w:tcW w:w="1042"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3,2</w:t>
            </w:r>
          </w:p>
        </w:tc>
        <w:tc>
          <w:tcPr>
            <w:tcW w:w="1134" w:type="dxa"/>
            <w:tcBorders>
              <w:left w:val="nil"/>
              <w:right w:val="single" w:sz="4" w:space="0" w:color="auto"/>
            </w:tcBorders>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4,4</w:t>
            </w:r>
          </w:p>
        </w:tc>
      </w:tr>
      <w:tr w:rsidR="0054596F" w:rsidRPr="00BF0050" w:rsidTr="00744601">
        <w:trPr>
          <w:trHeight w:val="220"/>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rPr>
                <w:i/>
              </w:rPr>
            </w:pPr>
            <w:r w:rsidRPr="00BF0050">
              <w:rPr>
                <w:i/>
              </w:rPr>
              <w:t xml:space="preserve">     Внутренний спрос</w:t>
            </w:r>
          </w:p>
        </w:tc>
        <w:tc>
          <w:tcPr>
            <w:tcW w:w="1168" w:type="dxa"/>
            <w:shd w:val="solid" w:color="FFFFFF" w:fill="auto"/>
            <w:vAlign w:val="center"/>
          </w:tcPr>
          <w:p w:rsidR="0054596F" w:rsidRPr="00BF0050" w:rsidRDefault="0054596F" w:rsidP="003F45F6">
            <w:pPr>
              <w:spacing w:before="20" w:after="20" w:line="240" w:lineRule="auto"/>
              <w:ind w:left="57" w:firstLine="0"/>
              <w:jc w:val="center"/>
              <w:rPr>
                <w:i/>
                <w:snapToGrid w:val="0"/>
              </w:rPr>
            </w:pPr>
            <w:r w:rsidRPr="00BF0050">
              <w:rPr>
                <w:i/>
              </w:rPr>
              <w:t>-9,</w:t>
            </w:r>
            <w:r w:rsidR="00093F97" w:rsidRPr="00BF0050">
              <w:rPr>
                <w:i/>
              </w:rPr>
              <w:t>4</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i/>
                <w:snapToGrid w:val="0"/>
              </w:rPr>
            </w:pPr>
            <w:r w:rsidRPr="00BF0050">
              <w:rPr>
                <w:i/>
              </w:rPr>
              <w:t>-1,3</w:t>
            </w:r>
          </w:p>
        </w:tc>
        <w:tc>
          <w:tcPr>
            <w:tcW w:w="1060" w:type="dxa"/>
            <w:shd w:val="solid" w:color="FFFFFF" w:fill="auto"/>
            <w:vAlign w:val="center"/>
          </w:tcPr>
          <w:p w:rsidR="0054596F" w:rsidRPr="00BF0050" w:rsidRDefault="0054596F" w:rsidP="000C5AEE">
            <w:pPr>
              <w:spacing w:before="20" w:after="20" w:line="240" w:lineRule="auto"/>
              <w:ind w:left="57" w:firstLine="0"/>
              <w:jc w:val="center"/>
              <w:rPr>
                <w:i/>
                <w:snapToGrid w:val="0"/>
              </w:rPr>
            </w:pPr>
            <w:r w:rsidRPr="00BF0050">
              <w:rPr>
                <w:i/>
              </w:rPr>
              <w:t>1,4</w:t>
            </w:r>
          </w:p>
        </w:tc>
        <w:tc>
          <w:tcPr>
            <w:tcW w:w="1042" w:type="dxa"/>
            <w:shd w:val="solid" w:color="FFFFFF" w:fill="auto"/>
            <w:vAlign w:val="center"/>
          </w:tcPr>
          <w:p w:rsidR="0054596F" w:rsidRPr="00BF0050" w:rsidRDefault="0054596F" w:rsidP="0056696E">
            <w:pPr>
              <w:spacing w:before="20" w:after="20" w:line="240" w:lineRule="auto"/>
              <w:ind w:left="57" w:firstLine="0"/>
              <w:jc w:val="center"/>
              <w:rPr>
                <w:i/>
                <w:snapToGrid w:val="0"/>
              </w:rPr>
            </w:pPr>
            <w:r w:rsidRPr="00BF0050">
              <w:rPr>
                <w:i/>
              </w:rPr>
              <w:t>2,3</w:t>
            </w:r>
          </w:p>
        </w:tc>
        <w:tc>
          <w:tcPr>
            <w:tcW w:w="1134" w:type="dxa"/>
            <w:tcBorders>
              <w:left w:val="nil"/>
              <w:right w:val="single" w:sz="4" w:space="0" w:color="auto"/>
            </w:tcBorders>
            <w:shd w:val="solid" w:color="FFFFFF" w:fill="auto"/>
            <w:vAlign w:val="center"/>
          </w:tcPr>
          <w:p w:rsidR="0054596F" w:rsidRPr="00BF0050" w:rsidRDefault="0054596F" w:rsidP="000C5AEE">
            <w:pPr>
              <w:spacing w:before="20" w:after="20" w:line="240" w:lineRule="auto"/>
              <w:ind w:left="57" w:firstLine="0"/>
              <w:jc w:val="center"/>
              <w:rPr>
                <w:i/>
                <w:snapToGrid w:val="0"/>
              </w:rPr>
            </w:pPr>
            <w:r w:rsidRPr="00BF0050">
              <w:rPr>
                <w:i/>
              </w:rPr>
              <w:t>2,8</w:t>
            </w:r>
          </w:p>
        </w:tc>
      </w:tr>
      <w:tr w:rsidR="0054596F" w:rsidRPr="00BF0050" w:rsidTr="00744601">
        <w:trPr>
          <w:trHeight w:val="235"/>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pPr>
            <w:r w:rsidRPr="00BF0050">
              <w:t xml:space="preserve">     Чистый экспорт </w:t>
            </w:r>
          </w:p>
        </w:tc>
        <w:tc>
          <w:tcPr>
            <w:tcW w:w="1168"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72,4</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12,5</w:t>
            </w:r>
          </w:p>
        </w:tc>
        <w:tc>
          <w:tcPr>
            <w:tcW w:w="1060"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-8,1</w:t>
            </w:r>
          </w:p>
        </w:tc>
        <w:tc>
          <w:tcPr>
            <w:tcW w:w="1042"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-6,8</w:t>
            </w:r>
          </w:p>
        </w:tc>
        <w:tc>
          <w:tcPr>
            <w:tcW w:w="1134" w:type="dxa"/>
            <w:tcBorders>
              <w:left w:val="nil"/>
              <w:right w:val="single" w:sz="4" w:space="0" w:color="auto"/>
            </w:tcBorders>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-8,4</w:t>
            </w:r>
          </w:p>
        </w:tc>
      </w:tr>
      <w:tr w:rsidR="0054596F"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54596F" w:rsidRPr="00BF0050" w:rsidRDefault="0054596F" w:rsidP="000C5AEE">
            <w:pPr>
              <w:spacing w:before="20" w:after="20" w:line="240" w:lineRule="auto"/>
              <w:ind w:left="57" w:firstLine="0"/>
            </w:pPr>
            <w:r w:rsidRPr="00BF0050">
              <w:t xml:space="preserve">            Экспорт</w:t>
            </w:r>
          </w:p>
        </w:tc>
        <w:tc>
          <w:tcPr>
            <w:tcW w:w="1168" w:type="dxa"/>
            <w:shd w:val="solid" w:color="FFFFFF" w:fill="auto"/>
            <w:vAlign w:val="center"/>
          </w:tcPr>
          <w:p w:rsidR="0054596F" w:rsidRPr="00BF0050" w:rsidRDefault="0054596F" w:rsidP="000C5AEE">
            <w:pPr>
              <w:spacing w:before="20" w:after="20" w:line="240" w:lineRule="auto"/>
              <w:ind w:left="57" w:firstLine="0"/>
              <w:jc w:val="center"/>
            </w:pPr>
            <w:r w:rsidRPr="00BF0050">
              <w:t>3,6</w:t>
            </w:r>
          </w:p>
        </w:tc>
        <w:tc>
          <w:tcPr>
            <w:tcW w:w="1024"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-0,7</w:t>
            </w:r>
          </w:p>
        </w:tc>
        <w:tc>
          <w:tcPr>
            <w:tcW w:w="1060"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0,9</w:t>
            </w:r>
          </w:p>
        </w:tc>
        <w:tc>
          <w:tcPr>
            <w:tcW w:w="1042" w:type="dxa"/>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1,9</w:t>
            </w:r>
          </w:p>
        </w:tc>
        <w:tc>
          <w:tcPr>
            <w:tcW w:w="1134" w:type="dxa"/>
            <w:tcBorders>
              <w:left w:val="nil"/>
              <w:right w:val="single" w:sz="4" w:space="0" w:color="auto"/>
            </w:tcBorders>
            <w:shd w:val="solid" w:color="FFFFFF" w:fill="auto"/>
            <w:vAlign w:val="center"/>
          </w:tcPr>
          <w:p w:rsidR="0054596F" w:rsidRPr="00BF0050" w:rsidRDefault="0054596F" w:rsidP="000C5AEE">
            <w:pPr>
              <w:spacing w:before="20" w:after="20" w:line="240" w:lineRule="auto"/>
              <w:ind w:left="57" w:firstLine="0"/>
              <w:jc w:val="center"/>
              <w:rPr>
                <w:snapToGrid w:val="0"/>
              </w:rPr>
            </w:pPr>
            <w:r w:rsidRPr="00BF0050">
              <w:t>2,2</w:t>
            </w:r>
          </w:p>
        </w:tc>
      </w:tr>
      <w:tr w:rsidR="0054596F" w:rsidRPr="00BF0050" w:rsidTr="00744601">
        <w:trPr>
          <w:trHeight w:val="225"/>
          <w:jc w:val="center"/>
        </w:trPr>
        <w:tc>
          <w:tcPr>
            <w:tcW w:w="4348" w:type="dxa"/>
            <w:tcBorders>
              <w:left w:val="single" w:sz="4" w:space="0" w:color="auto"/>
              <w:bottom w:val="single" w:sz="4" w:space="0" w:color="auto"/>
              <w:right w:val="single" w:sz="4" w:space="0" w:color="auto"/>
            </w:tcBorders>
            <w:shd w:val="solid" w:color="FFFFFF" w:fill="auto"/>
            <w:vAlign w:val="bottom"/>
          </w:tcPr>
          <w:p w:rsidR="0054596F" w:rsidRPr="00BF0050" w:rsidRDefault="0054596F" w:rsidP="001E6AE7">
            <w:pPr>
              <w:spacing w:before="20" w:line="240" w:lineRule="auto"/>
              <w:ind w:left="57" w:firstLine="0"/>
            </w:pPr>
            <w:r w:rsidRPr="00BF0050">
              <w:t xml:space="preserve">            Импорт</w:t>
            </w:r>
          </w:p>
        </w:tc>
        <w:tc>
          <w:tcPr>
            <w:tcW w:w="1168" w:type="dxa"/>
            <w:tcBorders>
              <w:bottom w:val="single" w:sz="4" w:space="0" w:color="auto"/>
            </w:tcBorders>
            <w:shd w:val="solid" w:color="FFFFFF" w:fill="auto"/>
            <w:vAlign w:val="center"/>
          </w:tcPr>
          <w:p w:rsidR="0054596F" w:rsidRPr="00BF0050" w:rsidRDefault="0054596F" w:rsidP="001E6AE7">
            <w:pPr>
              <w:spacing w:before="20" w:line="240" w:lineRule="auto"/>
              <w:ind w:left="57" w:firstLine="0"/>
              <w:jc w:val="center"/>
            </w:pPr>
            <w:r w:rsidRPr="00BF0050">
              <w:t>-25,7</w:t>
            </w:r>
          </w:p>
        </w:tc>
        <w:tc>
          <w:tcPr>
            <w:tcW w:w="1024" w:type="dxa"/>
            <w:tcBorders>
              <w:bottom w:val="single" w:sz="4" w:space="0" w:color="auto"/>
            </w:tcBorders>
            <w:shd w:val="solid" w:color="FFFFFF" w:fill="auto"/>
            <w:vAlign w:val="center"/>
          </w:tcPr>
          <w:p w:rsidR="0054596F" w:rsidRPr="00BF0050" w:rsidRDefault="0054596F" w:rsidP="001E6AE7">
            <w:pPr>
              <w:spacing w:before="20" w:line="240" w:lineRule="auto"/>
              <w:ind w:left="57" w:firstLine="0"/>
              <w:jc w:val="center"/>
              <w:rPr>
                <w:snapToGrid w:val="0"/>
              </w:rPr>
            </w:pPr>
            <w:r w:rsidRPr="00BF0050">
              <w:rPr>
                <w:snapToGrid w:val="0"/>
              </w:rPr>
              <w:t>-5,8</w:t>
            </w:r>
          </w:p>
        </w:tc>
        <w:tc>
          <w:tcPr>
            <w:tcW w:w="1060" w:type="dxa"/>
            <w:tcBorders>
              <w:bottom w:val="single" w:sz="4" w:space="0" w:color="auto"/>
            </w:tcBorders>
            <w:shd w:val="solid" w:color="FFFFFF" w:fill="auto"/>
            <w:vAlign w:val="center"/>
          </w:tcPr>
          <w:p w:rsidR="0054596F" w:rsidRPr="00BF0050" w:rsidRDefault="0054596F" w:rsidP="001E6AE7">
            <w:pPr>
              <w:spacing w:before="20" w:line="240" w:lineRule="auto"/>
              <w:ind w:left="57" w:firstLine="0"/>
              <w:jc w:val="center"/>
              <w:rPr>
                <w:snapToGrid w:val="0"/>
              </w:rPr>
            </w:pPr>
            <w:r w:rsidRPr="00BF0050">
              <w:rPr>
                <w:snapToGrid w:val="0"/>
              </w:rPr>
              <w:t>3,7</w:t>
            </w:r>
          </w:p>
        </w:tc>
        <w:tc>
          <w:tcPr>
            <w:tcW w:w="1042" w:type="dxa"/>
            <w:tcBorders>
              <w:bottom w:val="single" w:sz="4" w:space="0" w:color="auto"/>
            </w:tcBorders>
            <w:shd w:val="clear" w:color="C0C0C0" w:fill="auto"/>
            <w:vAlign w:val="center"/>
          </w:tcPr>
          <w:p w:rsidR="0054596F" w:rsidRPr="00BF0050" w:rsidRDefault="0054596F" w:rsidP="001E6AE7">
            <w:pPr>
              <w:spacing w:before="20" w:line="240" w:lineRule="auto"/>
              <w:ind w:left="57" w:firstLine="0"/>
              <w:jc w:val="center"/>
              <w:rPr>
                <w:snapToGrid w:val="0"/>
              </w:rPr>
            </w:pPr>
            <w:r w:rsidRPr="00BF0050">
              <w:rPr>
                <w:snapToGrid w:val="0"/>
              </w:rPr>
              <w:t>4,6</w:t>
            </w:r>
          </w:p>
        </w:tc>
        <w:tc>
          <w:tcPr>
            <w:tcW w:w="1134" w:type="dxa"/>
            <w:tcBorders>
              <w:left w:val="nil"/>
              <w:bottom w:val="single" w:sz="4" w:space="0" w:color="auto"/>
              <w:right w:val="single" w:sz="4" w:space="0" w:color="auto"/>
            </w:tcBorders>
            <w:shd w:val="clear" w:color="C0C0C0" w:fill="auto"/>
            <w:vAlign w:val="center"/>
          </w:tcPr>
          <w:p w:rsidR="0054596F" w:rsidRPr="00BF0050" w:rsidRDefault="0054596F" w:rsidP="001E6AE7">
            <w:pPr>
              <w:spacing w:before="20" w:line="240" w:lineRule="auto"/>
              <w:ind w:left="57" w:firstLine="0"/>
              <w:jc w:val="center"/>
              <w:rPr>
                <w:snapToGrid w:val="0"/>
              </w:rPr>
            </w:pPr>
            <w:r w:rsidRPr="00BF0050">
              <w:rPr>
                <w:snapToGrid w:val="0"/>
              </w:rPr>
              <w:t>5,3</w:t>
            </w:r>
          </w:p>
        </w:tc>
      </w:tr>
      <w:tr w:rsidR="000C5AEE" w:rsidRPr="00BF0050" w:rsidTr="00744601">
        <w:trPr>
          <w:trHeight w:val="235"/>
          <w:jc w:val="center"/>
        </w:trPr>
        <w:tc>
          <w:tcPr>
            <w:tcW w:w="9776" w:type="dxa"/>
            <w:gridSpan w:val="6"/>
            <w:tcBorders>
              <w:top w:val="single" w:sz="4" w:space="0" w:color="auto"/>
              <w:left w:val="single" w:sz="4" w:space="0" w:color="auto"/>
              <w:bottom w:val="single" w:sz="4" w:space="0" w:color="auto"/>
              <w:right w:val="single" w:sz="4" w:space="0" w:color="auto"/>
            </w:tcBorders>
            <w:shd w:val="solid" w:color="FFFFFF" w:fill="auto"/>
            <w:vAlign w:val="center"/>
          </w:tcPr>
          <w:p w:rsidR="000C5AEE" w:rsidRPr="00BF0050" w:rsidRDefault="000C5AEE" w:rsidP="000C5AEE">
            <w:pPr>
              <w:spacing w:before="20" w:after="20" w:line="240" w:lineRule="auto"/>
              <w:ind w:firstLine="0"/>
              <w:jc w:val="center"/>
              <w:rPr>
                <w:b/>
                <w:snapToGrid w:val="0"/>
              </w:rPr>
            </w:pPr>
            <w:r w:rsidRPr="00BF0050">
              <w:rPr>
                <w:b/>
                <w:snapToGrid w:val="0"/>
              </w:rPr>
              <w:t xml:space="preserve">Структура, </w:t>
            </w:r>
            <w:proofErr w:type="gramStart"/>
            <w:r w:rsidRPr="00BF0050">
              <w:rPr>
                <w:b/>
                <w:snapToGrid w:val="0"/>
              </w:rPr>
              <w:t>в</w:t>
            </w:r>
            <w:proofErr w:type="gramEnd"/>
            <w:r w:rsidRPr="00BF0050">
              <w:rPr>
                <w:b/>
                <w:snapToGrid w:val="0"/>
              </w:rPr>
              <w:t xml:space="preserve"> % к итогу</w:t>
            </w:r>
          </w:p>
        </w:tc>
      </w:tr>
      <w:tr w:rsidR="000C5AEE" w:rsidRPr="00BF0050" w:rsidTr="00744601">
        <w:trPr>
          <w:trHeight w:val="247"/>
          <w:jc w:val="center"/>
        </w:trPr>
        <w:tc>
          <w:tcPr>
            <w:tcW w:w="4348" w:type="dxa"/>
            <w:tcBorders>
              <w:top w:val="single" w:sz="4" w:space="0" w:color="auto"/>
              <w:left w:val="single" w:sz="4" w:space="0" w:color="auto"/>
              <w:right w:val="single" w:sz="4" w:space="0" w:color="auto"/>
            </w:tcBorders>
            <w:shd w:val="solid" w:color="FFFFFF" w:fill="auto"/>
            <w:vAlign w:val="bottom"/>
          </w:tcPr>
          <w:p w:rsidR="000C5AEE" w:rsidRPr="00BF0050" w:rsidRDefault="000C5AEE" w:rsidP="001E6AE7">
            <w:pPr>
              <w:spacing w:after="20" w:line="240" w:lineRule="auto"/>
              <w:ind w:left="57" w:firstLine="0"/>
              <w:rPr>
                <w:b/>
              </w:rPr>
            </w:pPr>
            <w:r w:rsidRPr="00BF0050">
              <w:rPr>
                <w:b/>
              </w:rPr>
              <w:t>Валовой внутренний продукт</w:t>
            </w:r>
          </w:p>
        </w:tc>
        <w:tc>
          <w:tcPr>
            <w:tcW w:w="1168" w:type="dxa"/>
            <w:tcBorders>
              <w:top w:val="single" w:sz="4" w:space="0" w:color="auto"/>
            </w:tcBorders>
            <w:shd w:val="solid" w:color="FFFFFF" w:fill="auto"/>
            <w:vAlign w:val="center"/>
          </w:tcPr>
          <w:p w:rsidR="000C5AEE" w:rsidRPr="00BF0050" w:rsidRDefault="000C5AEE" w:rsidP="001E6AE7">
            <w:pPr>
              <w:spacing w:after="20" w:line="240" w:lineRule="auto"/>
              <w:ind w:firstLine="0"/>
              <w:jc w:val="center"/>
              <w:rPr>
                <w:b/>
                <w:snapToGrid w:val="0"/>
              </w:rPr>
            </w:pPr>
            <w:r w:rsidRPr="00BF0050">
              <w:rPr>
                <w:b/>
                <w:snapToGrid w:val="0"/>
              </w:rPr>
              <w:t>100</w:t>
            </w:r>
          </w:p>
        </w:tc>
        <w:tc>
          <w:tcPr>
            <w:tcW w:w="1024" w:type="dxa"/>
            <w:tcBorders>
              <w:top w:val="single" w:sz="4" w:space="0" w:color="auto"/>
            </w:tcBorders>
            <w:shd w:val="solid" w:color="FFFFFF" w:fill="auto"/>
            <w:vAlign w:val="center"/>
          </w:tcPr>
          <w:p w:rsidR="000C5AEE" w:rsidRPr="00BF0050" w:rsidRDefault="000C5AEE" w:rsidP="001E6AE7">
            <w:pPr>
              <w:spacing w:after="20" w:line="240" w:lineRule="auto"/>
              <w:ind w:firstLine="0"/>
              <w:jc w:val="center"/>
              <w:rPr>
                <w:b/>
                <w:snapToGrid w:val="0"/>
              </w:rPr>
            </w:pPr>
            <w:r w:rsidRPr="00BF0050">
              <w:rPr>
                <w:b/>
                <w:snapToGrid w:val="0"/>
              </w:rPr>
              <w:t>100</w:t>
            </w:r>
          </w:p>
        </w:tc>
        <w:tc>
          <w:tcPr>
            <w:tcW w:w="1060" w:type="dxa"/>
            <w:tcBorders>
              <w:top w:val="single" w:sz="4" w:space="0" w:color="auto"/>
            </w:tcBorders>
            <w:shd w:val="solid" w:color="FFFFFF" w:fill="auto"/>
            <w:vAlign w:val="center"/>
          </w:tcPr>
          <w:p w:rsidR="000C5AEE" w:rsidRPr="00BF0050" w:rsidRDefault="000C5AEE" w:rsidP="001E6AE7">
            <w:pPr>
              <w:spacing w:after="20" w:line="240" w:lineRule="auto"/>
              <w:ind w:firstLine="0"/>
              <w:jc w:val="center"/>
              <w:rPr>
                <w:b/>
                <w:snapToGrid w:val="0"/>
              </w:rPr>
            </w:pPr>
            <w:r w:rsidRPr="00BF0050">
              <w:rPr>
                <w:b/>
                <w:snapToGrid w:val="0"/>
              </w:rPr>
              <w:t>100</w:t>
            </w:r>
          </w:p>
        </w:tc>
        <w:tc>
          <w:tcPr>
            <w:tcW w:w="1042" w:type="dxa"/>
            <w:tcBorders>
              <w:top w:val="single" w:sz="4" w:space="0" w:color="auto"/>
            </w:tcBorders>
            <w:shd w:val="solid" w:color="FFFFFF" w:fill="auto"/>
            <w:vAlign w:val="center"/>
          </w:tcPr>
          <w:p w:rsidR="000C5AEE" w:rsidRPr="00BF0050" w:rsidRDefault="000C5AEE" w:rsidP="001E6AE7">
            <w:pPr>
              <w:spacing w:after="20" w:line="240" w:lineRule="auto"/>
              <w:ind w:firstLine="0"/>
              <w:jc w:val="center"/>
              <w:rPr>
                <w:b/>
                <w:snapToGrid w:val="0"/>
              </w:rPr>
            </w:pPr>
            <w:r w:rsidRPr="00BF0050">
              <w:rPr>
                <w:b/>
                <w:snapToGrid w:val="0"/>
              </w:rPr>
              <w:t>100</w:t>
            </w:r>
          </w:p>
        </w:tc>
        <w:tc>
          <w:tcPr>
            <w:tcW w:w="1134" w:type="dxa"/>
            <w:tcBorders>
              <w:top w:val="single" w:sz="4" w:space="0" w:color="auto"/>
              <w:left w:val="nil"/>
              <w:right w:val="single" w:sz="4" w:space="0" w:color="auto"/>
            </w:tcBorders>
            <w:shd w:val="solid" w:color="FFFFFF" w:fill="auto"/>
            <w:vAlign w:val="center"/>
          </w:tcPr>
          <w:p w:rsidR="000C5AEE" w:rsidRPr="00BF0050" w:rsidRDefault="000C5AEE" w:rsidP="001E6AE7">
            <w:pPr>
              <w:spacing w:after="20" w:line="240" w:lineRule="auto"/>
              <w:ind w:firstLine="0"/>
              <w:jc w:val="center"/>
              <w:rPr>
                <w:b/>
                <w:snapToGrid w:val="0"/>
              </w:rPr>
            </w:pPr>
            <w:r w:rsidRPr="00BF0050">
              <w:rPr>
                <w:b/>
                <w:snapToGrid w:val="0"/>
              </w:rPr>
              <w:t>100</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pPr>
            <w:r w:rsidRPr="00BF0050">
              <w:t xml:space="preserve">     Расходы на конечное потребление</w:t>
            </w:r>
          </w:p>
        </w:tc>
        <w:tc>
          <w:tcPr>
            <w:tcW w:w="1168" w:type="dxa"/>
            <w:shd w:val="solid" w:color="FFFFFF" w:fill="auto"/>
            <w:vAlign w:val="center"/>
          </w:tcPr>
          <w:p w:rsidR="00CF121B" w:rsidRPr="00BF0050" w:rsidRDefault="00776E0C" w:rsidP="000C5AEE">
            <w:pPr>
              <w:spacing w:before="20" w:after="20" w:line="240" w:lineRule="auto"/>
              <w:ind w:firstLine="0"/>
              <w:jc w:val="center"/>
              <w:rPr>
                <w:snapToGrid w:val="0"/>
              </w:rPr>
            </w:pPr>
            <w:r w:rsidRPr="00BF0050">
              <w:rPr>
                <w:bCs/>
              </w:rPr>
              <w:t>71,5</w:t>
            </w:r>
            <w:r w:rsidR="00CF121B" w:rsidRPr="00BF0050">
              <w:rPr>
                <w:bCs/>
              </w:rPr>
              <w:t xml:space="preserve"> </w:t>
            </w:r>
          </w:p>
        </w:tc>
        <w:tc>
          <w:tcPr>
            <w:tcW w:w="1024" w:type="dxa"/>
            <w:shd w:val="solid" w:color="FFFFFF" w:fill="auto"/>
            <w:vAlign w:val="center"/>
          </w:tcPr>
          <w:p w:rsidR="00CF121B" w:rsidRPr="00BF0050" w:rsidRDefault="00776E0C" w:rsidP="000434CD">
            <w:pPr>
              <w:spacing w:before="20" w:after="20" w:line="240" w:lineRule="auto"/>
              <w:ind w:firstLine="0"/>
              <w:jc w:val="center"/>
              <w:rPr>
                <w:snapToGrid w:val="0"/>
              </w:rPr>
            </w:pPr>
            <w:r w:rsidRPr="00BF0050">
              <w:rPr>
                <w:bCs/>
              </w:rPr>
              <w:t>72,3</w:t>
            </w:r>
          </w:p>
        </w:tc>
        <w:tc>
          <w:tcPr>
            <w:tcW w:w="1060"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7</w:t>
            </w:r>
            <w:r w:rsidR="00776E0C" w:rsidRPr="00BF0050">
              <w:rPr>
                <w:bCs/>
              </w:rPr>
              <w:t>1</w:t>
            </w:r>
            <w:r w:rsidRPr="00BF0050">
              <w:rPr>
                <w:bCs/>
              </w:rPr>
              <w:t>,</w:t>
            </w:r>
            <w:r w:rsidR="00776E0C" w:rsidRPr="00BF0050">
              <w:rPr>
                <w:bCs/>
              </w:rPr>
              <w:t>7</w:t>
            </w:r>
            <w:r w:rsidRPr="00BF0050">
              <w:rPr>
                <w:bCs/>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7</w:t>
            </w:r>
            <w:r w:rsidR="00776E0C" w:rsidRPr="00BF0050">
              <w:rPr>
                <w:bCs/>
              </w:rPr>
              <w:t>1,</w:t>
            </w:r>
            <w:r w:rsidRPr="00BF0050">
              <w:rPr>
                <w:bCs/>
              </w:rPr>
              <w:t xml:space="preserve">2 </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snapToGrid w:val="0"/>
              </w:rPr>
            </w:pPr>
            <w:r w:rsidRPr="00BF0050">
              <w:rPr>
                <w:bCs/>
              </w:rPr>
              <w:t>71,0</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pPr>
            <w:r w:rsidRPr="00BF0050">
              <w:t xml:space="preserve">         в том числе:</w:t>
            </w:r>
          </w:p>
        </w:tc>
        <w:tc>
          <w:tcPr>
            <w:tcW w:w="1168" w:type="dxa"/>
            <w:shd w:val="solid" w:color="FFFFFF" w:fill="auto"/>
            <w:vAlign w:val="center"/>
          </w:tcPr>
          <w:p w:rsidR="00CF121B" w:rsidRPr="00BF0050" w:rsidRDefault="00CF121B" w:rsidP="000C5AEE">
            <w:pPr>
              <w:spacing w:before="20" w:after="20" w:line="240" w:lineRule="auto"/>
              <w:ind w:firstLine="0"/>
              <w:jc w:val="center"/>
              <w:rPr>
                <w:snapToGrid w:val="0"/>
              </w:rPr>
            </w:pPr>
          </w:p>
        </w:tc>
        <w:tc>
          <w:tcPr>
            <w:tcW w:w="1024" w:type="dxa"/>
            <w:shd w:val="solid" w:color="FFFFFF" w:fill="auto"/>
            <w:vAlign w:val="center"/>
          </w:tcPr>
          <w:p w:rsidR="00CF121B" w:rsidRPr="00BF0050" w:rsidRDefault="00CF121B" w:rsidP="000434CD">
            <w:pPr>
              <w:spacing w:before="20" w:after="20" w:line="240" w:lineRule="auto"/>
              <w:ind w:firstLine="0"/>
              <w:jc w:val="center"/>
              <w:rPr>
                <w:snapToGrid w:val="0"/>
              </w:rPr>
            </w:pPr>
          </w:p>
        </w:tc>
        <w:tc>
          <w:tcPr>
            <w:tcW w:w="1060" w:type="dxa"/>
            <w:shd w:val="solid" w:color="FFFFFF" w:fill="auto"/>
            <w:vAlign w:val="center"/>
          </w:tcPr>
          <w:p w:rsidR="00CF121B" w:rsidRPr="00BF0050" w:rsidRDefault="00CF121B" w:rsidP="000434CD">
            <w:pPr>
              <w:spacing w:before="20" w:after="20" w:line="240" w:lineRule="auto"/>
              <w:ind w:firstLine="0"/>
              <w:jc w:val="center"/>
              <w:rPr>
                <w:snapToGrid w:val="0"/>
              </w:rPr>
            </w:pPr>
          </w:p>
        </w:tc>
        <w:tc>
          <w:tcPr>
            <w:tcW w:w="1042" w:type="dxa"/>
            <w:shd w:val="solid" w:color="FFFFFF" w:fill="auto"/>
            <w:vAlign w:val="center"/>
          </w:tcPr>
          <w:p w:rsidR="00CF121B" w:rsidRPr="00BF0050" w:rsidRDefault="00CF121B" w:rsidP="000434CD">
            <w:pPr>
              <w:spacing w:before="20" w:after="20" w:line="240" w:lineRule="auto"/>
              <w:ind w:firstLine="0"/>
              <w:jc w:val="center"/>
              <w:rPr>
                <w:snapToGrid w:val="0"/>
              </w:rPr>
            </w:pP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snapToGrid w:val="0"/>
              </w:rPr>
            </w:pP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pPr>
            <w:r w:rsidRPr="00BF0050">
              <w:t xml:space="preserve">            Домашних хозяйств</w:t>
            </w:r>
          </w:p>
        </w:tc>
        <w:tc>
          <w:tcPr>
            <w:tcW w:w="1168"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5</w:t>
            </w:r>
            <w:r w:rsidR="00776E0C" w:rsidRPr="00BF0050">
              <w:rPr>
                <w:bCs/>
              </w:rPr>
              <w:t>2</w:t>
            </w:r>
            <w:r w:rsidRPr="00BF0050">
              <w:rPr>
                <w:bCs/>
              </w:rPr>
              <w:t>,</w:t>
            </w:r>
            <w:r w:rsidR="00776E0C" w:rsidRPr="00BF0050">
              <w:rPr>
                <w:bCs/>
              </w:rPr>
              <w:t>5</w:t>
            </w:r>
            <w:r w:rsidRPr="00BF0050">
              <w:rPr>
                <w:bCs/>
              </w:rPr>
              <w:t xml:space="preserve"> </w:t>
            </w:r>
          </w:p>
        </w:tc>
        <w:tc>
          <w:tcPr>
            <w:tcW w:w="1024"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53</w:t>
            </w:r>
            <w:r w:rsidR="00776E0C" w:rsidRPr="00BF0050">
              <w:rPr>
                <w:bCs/>
              </w:rPr>
              <w:t>,2</w:t>
            </w:r>
            <w:r w:rsidRPr="00BF0050">
              <w:rPr>
                <w:bCs/>
              </w:rPr>
              <w:t xml:space="preserve"> </w:t>
            </w:r>
          </w:p>
        </w:tc>
        <w:tc>
          <w:tcPr>
            <w:tcW w:w="1060"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5</w:t>
            </w:r>
            <w:r w:rsidR="00776E0C" w:rsidRPr="00BF0050">
              <w:rPr>
                <w:bCs/>
              </w:rPr>
              <w:t>3,4</w:t>
            </w:r>
            <w:r w:rsidRPr="00BF0050">
              <w:rPr>
                <w:bCs/>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5</w:t>
            </w:r>
            <w:r w:rsidR="00776E0C" w:rsidRPr="00BF0050">
              <w:rPr>
                <w:bCs/>
              </w:rPr>
              <w:t>3</w:t>
            </w:r>
            <w:r w:rsidRPr="00BF0050">
              <w:rPr>
                <w:bCs/>
              </w:rPr>
              <w:t xml:space="preserve">,8 </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snapToGrid w:val="0"/>
              </w:rPr>
            </w:pPr>
            <w:r w:rsidRPr="00BF0050">
              <w:rPr>
                <w:bCs/>
              </w:rPr>
              <w:t xml:space="preserve">54,3 </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pPr>
            <w:r w:rsidRPr="00BF0050">
              <w:t xml:space="preserve">            Государственного управления</w:t>
            </w:r>
          </w:p>
        </w:tc>
        <w:tc>
          <w:tcPr>
            <w:tcW w:w="1168"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1</w:t>
            </w:r>
            <w:r w:rsidR="00776E0C" w:rsidRPr="00BF0050">
              <w:rPr>
                <w:bCs/>
              </w:rPr>
              <w:t>8,7</w:t>
            </w:r>
            <w:r w:rsidRPr="00BF0050">
              <w:rPr>
                <w:bCs/>
              </w:rPr>
              <w:t xml:space="preserve"> </w:t>
            </w:r>
          </w:p>
        </w:tc>
        <w:tc>
          <w:tcPr>
            <w:tcW w:w="1024" w:type="dxa"/>
            <w:shd w:val="solid" w:color="FFFFFF" w:fill="auto"/>
            <w:vAlign w:val="center"/>
          </w:tcPr>
          <w:p w:rsidR="00CF121B" w:rsidRPr="00BF0050" w:rsidRDefault="00776E0C" w:rsidP="000434CD">
            <w:pPr>
              <w:spacing w:before="20" w:after="20" w:line="240" w:lineRule="auto"/>
              <w:ind w:firstLine="0"/>
              <w:jc w:val="center"/>
              <w:rPr>
                <w:snapToGrid w:val="0"/>
              </w:rPr>
            </w:pPr>
            <w:r w:rsidRPr="00BF0050">
              <w:rPr>
                <w:bCs/>
              </w:rPr>
              <w:t>18,7</w:t>
            </w:r>
          </w:p>
        </w:tc>
        <w:tc>
          <w:tcPr>
            <w:tcW w:w="1060"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1</w:t>
            </w:r>
            <w:r w:rsidR="00776E0C" w:rsidRPr="00BF0050">
              <w:rPr>
                <w:bCs/>
              </w:rPr>
              <w:t>7,9</w:t>
            </w:r>
            <w:r w:rsidRPr="00BF0050">
              <w:rPr>
                <w:bCs/>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17,</w:t>
            </w:r>
            <w:r w:rsidR="00776E0C" w:rsidRPr="00BF0050">
              <w:rPr>
                <w:bCs/>
              </w:rPr>
              <w:t>0</w:t>
            </w:r>
            <w:r w:rsidRPr="00BF0050">
              <w:rPr>
                <w:bCs/>
              </w:rPr>
              <w:t xml:space="preserve"> </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snapToGrid w:val="0"/>
              </w:rPr>
            </w:pPr>
            <w:r w:rsidRPr="00BF0050">
              <w:rPr>
                <w:bCs/>
              </w:rPr>
              <w:t xml:space="preserve">16,3 </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pPr>
            <w:r w:rsidRPr="00BF0050">
              <w:t xml:space="preserve">     Валовое накопление</w:t>
            </w:r>
          </w:p>
        </w:tc>
        <w:tc>
          <w:tcPr>
            <w:tcW w:w="1168"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20,</w:t>
            </w:r>
            <w:r w:rsidR="00776E0C" w:rsidRPr="00BF0050">
              <w:rPr>
                <w:bCs/>
              </w:rPr>
              <w:t>3</w:t>
            </w:r>
            <w:r w:rsidRPr="00BF0050">
              <w:rPr>
                <w:bCs/>
              </w:rPr>
              <w:t xml:space="preserve"> </w:t>
            </w:r>
          </w:p>
        </w:tc>
        <w:tc>
          <w:tcPr>
            <w:tcW w:w="1024"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21,</w:t>
            </w:r>
            <w:r w:rsidR="00776E0C" w:rsidRPr="00BF0050">
              <w:rPr>
                <w:bCs/>
              </w:rPr>
              <w:t>4</w:t>
            </w:r>
          </w:p>
        </w:tc>
        <w:tc>
          <w:tcPr>
            <w:tcW w:w="1060"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w:t>
            </w:r>
            <w:r w:rsidR="00776E0C" w:rsidRPr="00BF0050">
              <w:rPr>
                <w:bCs/>
              </w:rPr>
              <w:t>2</w:t>
            </w:r>
            <w:r w:rsidRPr="00BF0050">
              <w:rPr>
                <w:bCs/>
              </w:rPr>
              <w:t>,</w:t>
            </w:r>
            <w:r w:rsidR="00776E0C" w:rsidRPr="00BF0050">
              <w:rPr>
                <w:bCs/>
              </w:rPr>
              <w:t>6</w:t>
            </w:r>
            <w:r w:rsidRPr="00BF0050">
              <w:rPr>
                <w:bCs/>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23,</w:t>
            </w:r>
            <w:r w:rsidR="00776E0C" w:rsidRPr="00BF0050">
              <w:rPr>
                <w:bCs/>
              </w:rPr>
              <w:t>4</w:t>
            </w:r>
            <w:r w:rsidRPr="00BF0050">
              <w:rPr>
                <w:bCs/>
              </w:rPr>
              <w:t xml:space="preserve"> </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snapToGrid w:val="0"/>
              </w:rPr>
            </w:pPr>
            <w:r w:rsidRPr="00BF0050">
              <w:rPr>
                <w:bCs/>
              </w:rPr>
              <w:t>24,0</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776" w:firstLine="0"/>
            </w:pPr>
            <w:r w:rsidRPr="00BF0050">
              <w:t>Валовое накопление основного капитала*</w:t>
            </w:r>
          </w:p>
        </w:tc>
        <w:tc>
          <w:tcPr>
            <w:tcW w:w="1168"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21,</w:t>
            </w:r>
            <w:r w:rsidR="00776E0C" w:rsidRPr="00BF0050">
              <w:rPr>
                <w:bCs/>
              </w:rPr>
              <w:t>4</w:t>
            </w:r>
            <w:r w:rsidRPr="00BF0050">
              <w:rPr>
                <w:bCs/>
              </w:rPr>
              <w:t xml:space="preserve"> </w:t>
            </w:r>
          </w:p>
        </w:tc>
        <w:tc>
          <w:tcPr>
            <w:tcW w:w="1024"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21,</w:t>
            </w:r>
            <w:r w:rsidR="00776E0C" w:rsidRPr="00BF0050">
              <w:rPr>
                <w:bCs/>
              </w:rPr>
              <w:t>1</w:t>
            </w:r>
            <w:r w:rsidRPr="00BF0050">
              <w:rPr>
                <w:bCs/>
              </w:rPr>
              <w:t xml:space="preserve"> </w:t>
            </w:r>
          </w:p>
        </w:tc>
        <w:tc>
          <w:tcPr>
            <w:tcW w:w="1060"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21,</w:t>
            </w:r>
            <w:r w:rsidR="00776E0C" w:rsidRPr="00BF0050">
              <w:rPr>
                <w:bCs/>
              </w:rPr>
              <w:t>2</w:t>
            </w:r>
            <w:r w:rsidRPr="00BF0050">
              <w:rPr>
                <w:bCs/>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21,</w:t>
            </w:r>
            <w:r w:rsidR="00776E0C" w:rsidRPr="00BF0050">
              <w:rPr>
                <w:bCs/>
              </w:rPr>
              <w:t>5</w:t>
            </w:r>
            <w:r w:rsidRPr="00BF0050">
              <w:rPr>
                <w:bCs/>
              </w:rPr>
              <w:t xml:space="preserve"> </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snapToGrid w:val="0"/>
              </w:rPr>
            </w:pPr>
            <w:r w:rsidRPr="00BF0050">
              <w:rPr>
                <w:bCs/>
              </w:rPr>
              <w:t xml:space="preserve">22,0 </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rPr>
                <w:i/>
              </w:rPr>
            </w:pPr>
            <w:r w:rsidRPr="00BF0050">
              <w:rPr>
                <w:i/>
              </w:rPr>
              <w:t xml:space="preserve">     Внутренний спрос</w:t>
            </w:r>
          </w:p>
        </w:tc>
        <w:tc>
          <w:tcPr>
            <w:tcW w:w="1168" w:type="dxa"/>
            <w:shd w:val="solid" w:color="FFFFFF" w:fill="auto"/>
            <w:vAlign w:val="center"/>
          </w:tcPr>
          <w:p w:rsidR="00CF121B" w:rsidRPr="00BF0050" w:rsidRDefault="00CF121B" w:rsidP="00776E0C">
            <w:pPr>
              <w:spacing w:before="20" w:after="20" w:line="240" w:lineRule="auto"/>
              <w:ind w:firstLine="0"/>
              <w:jc w:val="center"/>
              <w:rPr>
                <w:i/>
                <w:snapToGrid w:val="0"/>
              </w:rPr>
            </w:pPr>
            <w:r w:rsidRPr="00BF0050">
              <w:rPr>
                <w:bCs/>
                <w:i/>
              </w:rPr>
              <w:t>9</w:t>
            </w:r>
            <w:r w:rsidR="00776E0C" w:rsidRPr="00BF0050">
              <w:rPr>
                <w:bCs/>
                <w:i/>
              </w:rPr>
              <w:t>1,9</w:t>
            </w:r>
            <w:r w:rsidRPr="00BF0050">
              <w:rPr>
                <w:bCs/>
                <w:i/>
              </w:rPr>
              <w:t xml:space="preserve"> </w:t>
            </w:r>
          </w:p>
        </w:tc>
        <w:tc>
          <w:tcPr>
            <w:tcW w:w="1024" w:type="dxa"/>
            <w:shd w:val="solid" w:color="FFFFFF" w:fill="auto"/>
            <w:vAlign w:val="center"/>
          </w:tcPr>
          <w:p w:rsidR="00CF121B" w:rsidRPr="00BF0050" w:rsidRDefault="00CF121B" w:rsidP="00776E0C">
            <w:pPr>
              <w:spacing w:before="20" w:after="20" w:line="240" w:lineRule="auto"/>
              <w:ind w:firstLine="0"/>
              <w:jc w:val="center"/>
              <w:rPr>
                <w:i/>
                <w:snapToGrid w:val="0"/>
              </w:rPr>
            </w:pPr>
            <w:r w:rsidRPr="00BF0050">
              <w:rPr>
                <w:bCs/>
                <w:i/>
              </w:rPr>
              <w:t>9</w:t>
            </w:r>
            <w:r w:rsidR="00776E0C" w:rsidRPr="00BF0050">
              <w:rPr>
                <w:bCs/>
                <w:i/>
              </w:rPr>
              <w:t>3,8</w:t>
            </w:r>
          </w:p>
        </w:tc>
        <w:tc>
          <w:tcPr>
            <w:tcW w:w="1060" w:type="dxa"/>
            <w:shd w:val="solid" w:color="FFFFFF" w:fill="auto"/>
            <w:vAlign w:val="center"/>
          </w:tcPr>
          <w:p w:rsidR="00CF121B" w:rsidRPr="00BF0050" w:rsidRDefault="00CF121B" w:rsidP="00776E0C">
            <w:pPr>
              <w:spacing w:before="20" w:after="20" w:line="240" w:lineRule="auto"/>
              <w:ind w:firstLine="0"/>
              <w:jc w:val="center"/>
              <w:rPr>
                <w:i/>
                <w:snapToGrid w:val="0"/>
              </w:rPr>
            </w:pPr>
            <w:r w:rsidRPr="00BF0050">
              <w:rPr>
                <w:bCs/>
                <w:i/>
              </w:rPr>
              <w:t>9</w:t>
            </w:r>
            <w:r w:rsidR="00776E0C" w:rsidRPr="00BF0050">
              <w:rPr>
                <w:bCs/>
                <w:i/>
              </w:rPr>
              <w:t>4,3</w:t>
            </w:r>
            <w:r w:rsidRPr="00BF0050">
              <w:rPr>
                <w:bCs/>
                <w:i/>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i/>
                <w:snapToGrid w:val="0"/>
              </w:rPr>
            </w:pPr>
            <w:r w:rsidRPr="00BF0050">
              <w:rPr>
                <w:bCs/>
                <w:i/>
              </w:rPr>
              <w:t>9</w:t>
            </w:r>
            <w:r w:rsidR="00776E0C" w:rsidRPr="00BF0050">
              <w:rPr>
                <w:bCs/>
                <w:i/>
              </w:rPr>
              <w:t>4,</w:t>
            </w:r>
            <w:r w:rsidRPr="00BF0050">
              <w:rPr>
                <w:bCs/>
                <w:i/>
              </w:rPr>
              <w:t>6</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i/>
                <w:snapToGrid w:val="0"/>
              </w:rPr>
            </w:pPr>
            <w:r w:rsidRPr="00BF0050">
              <w:rPr>
                <w:bCs/>
                <w:i/>
              </w:rPr>
              <w:t xml:space="preserve">95,0 </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pPr>
            <w:r w:rsidRPr="00BF0050">
              <w:t xml:space="preserve">     Чистый экспорт </w:t>
            </w:r>
          </w:p>
        </w:tc>
        <w:tc>
          <w:tcPr>
            <w:tcW w:w="1168"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8,</w:t>
            </w:r>
            <w:r w:rsidR="00776E0C" w:rsidRPr="00BF0050">
              <w:rPr>
                <w:bCs/>
              </w:rPr>
              <w:t>1</w:t>
            </w:r>
            <w:r w:rsidRPr="00BF0050">
              <w:rPr>
                <w:bCs/>
              </w:rPr>
              <w:t xml:space="preserve"> </w:t>
            </w:r>
          </w:p>
        </w:tc>
        <w:tc>
          <w:tcPr>
            <w:tcW w:w="1024"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6,</w:t>
            </w:r>
            <w:r w:rsidR="00776E0C" w:rsidRPr="00BF0050">
              <w:rPr>
                <w:bCs/>
              </w:rPr>
              <w:t>2</w:t>
            </w:r>
            <w:r w:rsidRPr="00BF0050">
              <w:rPr>
                <w:bCs/>
              </w:rPr>
              <w:t xml:space="preserve"> </w:t>
            </w:r>
          </w:p>
        </w:tc>
        <w:tc>
          <w:tcPr>
            <w:tcW w:w="1060"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5,</w:t>
            </w:r>
            <w:r w:rsidR="00776E0C" w:rsidRPr="00BF0050">
              <w:rPr>
                <w:bCs/>
              </w:rPr>
              <w:t>7</w:t>
            </w:r>
            <w:r w:rsidRPr="00BF0050">
              <w:rPr>
                <w:bCs/>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5,</w:t>
            </w:r>
            <w:r w:rsidR="00776E0C" w:rsidRPr="00BF0050">
              <w:rPr>
                <w:bCs/>
              </w:rPr>
              <w:t>4</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left="-120" w:firstLine="0"/>
              <w:jc w:val="center"/>
              <w:rPr>
                <w:snapToGrid w:val="0"/>
              </w:rPr>
            </w:pPr>
            <w:r w:rsidRPr="00BF0050">
              <w:rPr>
                <w:bCs/>
              </w:rPr>
              <w:t xml:space="preserve">5,0 </w:t>
            </w:r>
          </w:p>
        </w:tc>
      </w:tr>
      <w:tr w:rsidR="00CF121B" w:rsidRPr="00BF0050" w:rsidTr="00744601">
        <w:trPr>
          <w:trHeight w:val="247"/>
          <w:jc w:val="center"/>
        </w:trPr>
        <w:tc>
          <w:tcPr>
            <w:tcW w:w="4348" w:type="dxa"/>
            <w:tcBorders>
              <w:left w:val="single" w:sz="4" w:space="0" w:color="auto"/>
              <w:right w:val="single" w:sz="4" w:space="0" w:color="auto"/>
            </w:tcBorders>
            <w:shd w:val="solid" w:color="FFFFFF" w:fill="auto"/>
            <w:vAlign w:val="bottom"/>
          </w:tcPr>
          <w:p w:rsidR="00CF121B" w:rsidRPr="00BF0050" w:rsidRDefault="00CF121B" w:rsidP="000C5AEE">
            <w:pPr>
              <w:spacing w:before="20" w:after="20" w:line="240" w:lineRule="auto"/>
              <w:ind w:left="57" w:firstLine="0"/>
            </w:pPr>
            <w:r w:rsidRPr="00BF0050">
              <w:t xml:space="preserve">            Экспорт</w:t>
            </w:r>
          </w:p>
        </w:tc>
        <w:tc>
          <w:tcPr>
            <w:tcW w:w="1168" w:type="dxa"/>
            <w:shd w:val="solid" w:color="FFFFFF" w:fill="auto"/>
            <w:vAlign w:val="center"/>
          </w:tcPr>
          <w:p w:rsidR="00CF121B" w:rsidRPr="00BF0050" w:rsidRDefault="00CF121B" w:rsidP="00776E0C">
            <w:pPr>
              <w:spacing w:before="20" w:after="20" w:line="240" w:lineRule="auto"/>
              <w:ind w:firstLine="0"/>
              <w:jc w:val="center"/>
            </w:pPr>
            <w:r w:rsidRPr="00BF0050">
              <w:rPr>
                <w:bCs/>
              </w:rPr>
              <w:t>2</w:t>
            </w:r>
            <w:r w:rsidR="00776E0C" w:rsidRPr="00BF0050">
              <w:rPr>
                <w:bCs/>
              </w:rPr>
              <w:t>8,</w:t>
            </w:r>
            <w:r w:rsidRPr="00BF0050">
              <w:rPr>
                <w:bCs/>
              </w:rPr>
              <w:t xml:space="preserve">9 </w:t>
            </w:r>
          </w:p>
        </w:tc>
        <w:tc>
          <w:tcPr>
            <w:tcW w:w="1024"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25</w:t>
            </w:r>
            <w:r w:rsidR="00776E0C" w:rsidRPr="00BF0050">
              <w:rPr>
                <w:bCs/>
              </w:rPr>
              <w:t>,9</w:t>
            </w:r>
          </w:p>
        </w:tc>
        <w:tc>
          <w:tcPr>
            <w:tcW w:w="1060"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24,</w:t>
            </w:r>
            <w:r w:rsidR="00776E0C" w:rsidRPr="00BF0050">
              <w:rPr>
                <w:bCs/>
              </w:rPr>
              <w:t>4</w:t>
            </w:r>
            <w:r w:rsidRPr="00BF0050">
              <w:rPr>
                <w:bCs/>
              </w:rPr>
              <w:t xml:space="preserve"> </w:t>
            </w:r>
          </w:p>
        </w:tc>
        <w:tc>
          <w:tcPr>
            <w:tcW w:w="1042" w:type="dxa"/>
            <w:shd w:val="solid" w:color="FFFFFF" w:fill="auto"/>
            <w:vAlign w:val="center"/>
          </w:tcPr>
          <w:p w:rsidR="00CF121B" w:rsidRPr="00BF0050" w:rsidRDefault="00CF121B" w:rsidP="00776E0C">
            <w:pPr>
              <w:spacing w:before="20" w:after="20" w:line="240" w:lineRule="auto"/>
              <w:ind w:firstLine="0"/>
              <w:jc w:val="center"/>
              <w:rPr>
                <w:snapToGrid w:val="0"/>
              </w:rPr>
            </w:pPr>
            <w:r w:rsidRPr="00BF0050">
              <w:rPr>
                <w:bCs/>
              </w:rPr>
              <w:t>2</w:t>
            </w:r>
            <w:r w:rsidR="00776E0C" w:rsidRPr="00BF0050">
              <w:rPr>
                <w:bCs/>
              </w:rPr>
              <w:t>3</w:t>
            </w:r>
            <w:r w:rsidRPr="00BF0050">
              <w:rPr>
                <w:bCs/>
              </w:rPr>
              <w:t>,</w:t>
            </w:r>
            <w:r w:rsidR="00776E0C" w:rsidRPr="00BF0050">
              <w:rPr>
                <w:bCs/>
              </w:rPr>
              <w:t>6</w:t>
            </w:r>
            <w:r w:rsidRPr="00BF0050">
              <w:rPr>
                <w:bCs/>
              </w:rPr>
              <w:t xml:space="preserve"> </w:t>
            </w:r>
          </w:p>
        </w:tc>
        <w:tc>
          <w:tcPr>
            <w:tcW w:w="1134" w:type="dxa"/>
            <w:tcBorders>
              <w:left w:val="nil"/>
              <w:right w:val="single" w:sz="4" w:space="0" w:color="auto"/>
            </w:tcBorders>
            <w:shd w:val="solid" w:color="FFFFFF" w:fill="auto"/>
            <w:vAlign w:val="center"/>
          </w:tcPr>
          <w:p w:rsidR="00CF121B" w:rsidRPr="00BF0050" w:rsidRDefault="00CF121B" w:rsidP="000434CD">
            <w:pPr>
              <w:spacing w:before="20" w:after="20" w:line="240" w:lineRule="auto"/>
              <w:ind w:firstLine="0"/>
              <w:jc w:val="center"/>
              <w:rPr>
                <w:snapToGrid w:val="0"/>
              </w:rPr>
            </w:pPr>
            <w:r w:rsidRPr="00BF0050">
              <w:rPr>
                <w:bCs/>
              </w:rPr>
              <w:t xml:space="preserve">22,7 </w:t>
            </w:r>
          </w:p>
        </w:tc>
      </w:tr>
      <w:tr w:rsidR="00CF121B" w:rsidRPr="00BF0050" w:rsidTr="00744601">
        <w:trPr>
          <w:trHeight w:val="247"/>
          <w:jc w:val="center"/>
        </w:trPr>
        <w:tc>
          <w:tcPr>
            <w:tcW w:w="4348" w:type="dxa"/>
            <w:tcBorders>
              <w:left w:val="single" w:sz="4" w:space="0" w:color="auto"/>
              <w:bottom w:val="single" w:sz="4" w:space="0" w:color="auto"/>
              <w:right w:val="single" w:sz="4" w:space="0" w:color="auto"/>
            </w:tcBorders>
            <w:shd w:val="solid" w:color="FFFFFF" w:fill="auto"/>
            <w:vAlign w:val="bottom"/>
          </w:tcPr>
          <w:p w:rsidR="00CF121B" w:rsidRPr="00BF0050" w:rsidRDefault="00CF121B" w:rsidP="001E6AE7">
            <w:pPr>
              <w:spacing w:before="20" w:line="240" w:lineRule="auto"/>
              <w:ind w:left="57" w:firstLine="0"/>
            </w:pPr>
            <w:r w:rsidRPr="00BF0050">
              <w:t xml:space="preserve">            Импорт</w:t>
            </w:r>
          </w:p>
        </w:tc>
        <w:tc>
          <w:tcPr>
            <w:tcW w:w="1168" w:type="dxa"/>
            <w:tcBorders>
              <w:bottom w:val="single" w:sz="4" w:space="0" w:color="auto"/>
            </w:tcBorders>
            <w:shd w:val="solid" w:color="FFFFFF" w:fill="auto"/>
            <w:vAlign w:val="center"/>
          </w:tcPr>
          <w:p w:rsidR="00CF121B" w:rsidRPr="00BF0050" w:rsidRDefault="00CF121B" w:rsidP="00776E0C">
            <w:pPr>
              <w:spacing w:before="20" w:line="240" w:lineRule="auto"/>
              <w:ind w:firstLine="0"/>
              <w:jc w:val="center"/>
            </w:pPr>
            <w:r w:rsidRPr="00BF0050">
              <w:rPr>
                <w:bCs/>
              </w:rPr>
              <w:t>2</w:t>
            </w:r>
            <w:r w:rsidR="00776E0C" w:rsidRPr="00BF0050">
              <w:rPr>
                <w:bCs/>
              </w:rPr>
              <w:t>0,8</w:t>
            </w:r>
            <w:r w:rsidRPr="00BF0050">
              <w:rPr>
                <w:bCs/>
              </w:rPr>
              <w:t xml:space="preserve"> </w:t>
            </w:r>
          </w:p>
        </w:tc>
        <w:tc>
          <w:tcPr>
            <w:tcW w:w="1024" w:type="dxa"/>
            <w:tcBorders>
              <w:bottom w:val="single" w:sz="4" w:space="0" w:color="auto"/>
            </w:tcBorders>
            <w:shd w:val="solid" w:color="FFFFFF" w:fill="auto"/>
            <w:vAlign w:val="center"/>
          </w:tcPr>
          <w:p w:rsidR="00CF121B" w:rsidRPr="00BF0050" w:rsidRDefault="00776E0C" w:rsidP="000434CD">
            <w:pPr>
              <w:spacing w:before="20" w:line="240" w:lineRule="auto"/>
              <w:ind w:firstLine="0"/>
              <w:jc w:val="center"/>
              <w:rPr>
                <w:snapToGrid w:val="0"/>
              </w:rPr>
            </w:pPr>
            <w:r w:rsidRPr="00BF0050">
              <w:rPr>
                <w:bCs/>
              </w:rPr>
              <w:t>19,7</w:t>
            </w:r>
            <w:r w:rsidR="00CF121B" w:rsidRPr="00BF0050">
              <w:rPr>
                <w:bCs/>
              </w:rPr>
              <w:t xml:space="preserve"> </w:t>
            </w:r>
          </w:p>
        </w:tc>
        <w:tc>
          <w:tcPr>
            <w:tcW w:w="1060" w:type="dxa"/>
            <w:tcBorders>
              <w:bottom w:val="single" w:sz="4" w:space="0" w:color="auto"/>
            </w:tcBorders>
            <w:shd w:val="solid" w:color="FFFFFF" w:fill="auto"/>
            <w:vAlign w:val="center"/>
          </w:tcPr>
          <w:p w:rsidR="00CF121B" w:rsidRPr="00BF0050" w:rsidRDefault="00776E0C" w:rsidP="000434CD">
            <w:pPr>
              <w:spacing w:before="20" w:line="240" w:lineRule="auto"/>
              <w:ind w:firstLine="0"/>
              <w:jc w:val="center"/>
              <w:rPr>
                <w:snapToGrid w:val="0"/>
              </w:rPr>
            </w:pPr>
            <w:r w:rsidRPr="00BF0050">
              <w:rPr>
                <w:bCs/>
              </w:rPr>
              <w:t>18,7</w:t>
            </w:r>
            <w:r w:rsidR="00CF121B" w:rsidRPr="00BF0050">
              <w:rPr>
                <w:bCs/>
              </w:rPr>
              <w:t xml:space="preserve"> </w:t>
            </w:r>
          </w:p>
        </w:tc>
        <w:tc>
          <w:tcPr>
            <w:tcW w:w="1042" w:type="dxa"/>
            <w:tcBorders>
              <w:bottom w:val="single" w:sz="4" w:space="0" w:color="auto"/>
            </w:tcBorders>
            <w:shd w:val="solid" w:color="FFFFFF" w:fill="auto"/>
            <w:vAlign w:val="center"/>
          </w:tcPr>
          <w:p w:rsidR="00CF121B" w:rsidRPr="00BF0050" w:rsidRDefault="00CF121B" w:rsidP="00776E0C">
            <w:pPr>
              <w:spacing w:before="20" w:line="240" w:lineRule="auto"/>
              <w:ind w:firstLine="0"/>
              <w:jc w:val="center"/>
              <w:rPr>
                <w:snapToGrid w:val="0"/>
              </w:rPr>
            </w:pPr>
            <w:r w:rsidRPr="00BF0050">
              <w:rPr>
                <w:bCs/>
              </w:rPr>
              <w:t>18,</w:t>
            </w:r>
            <w:r w:rsidR="00776E0C" w:rsidRPr="00BF0050">
              <w:rPr>
                <w:bCs/>
              </w:rPr>
              <w:t>2</w:t>
            </w:r>
          </w:p>
        </w:tc>
        <w:tc>
          <w:tcPr>
            <w:tcW w:w="1134" w:type="dxa"/>
            <w:tcBorders>
              <w:left w:val="nil"/>
              <w:bottom w:val="single" w:sz="4" w:space="0" w:color="auto"/>
              <w:right w:val="single" w:sz="4" w:space="0" w:color="auto"/>
            </w:tcBorders>
            <w:shd w:val="solid" w:color="FFFFFF" w:fill="auto"/>
            <w:vAlign w:val="center"/>
          </w:tcPr>
          <w:p w:rsidR="00CF121B" w:rsidRPr="00BF0050" w:rsidRDefault="00CF121B" w:rsidP="000434CD">
            <w:pPr>
              <w:spacing w:before="20" w:line="240" w:lineRule="auto"/>
              <w:ind w:firstLine="0"/>
              <w:jc w:val="center"/>
              <w:rPr>
                <w:snapToGrid w:val="0"/>
              </w:rPr>
            </w:pPr>
            <w:r w:rsidRPr="00BF0050">
              <w:rPr>
                <w:bCs/>
              </w:rPr>
              <w:t xml:space="preserve">17,7 </w:t>
            </w:r>
          </w:p>
        </w:tc>
      </w:tr>
    </w:tbl>
    <w:p w:rsidR="000C5AEE" w:rsidRPr="00BF0050" w:rsidRDefault="000C5AEE" w:rsidP="000C5AEE">
      <w:pPr>
        <w:spacing w:after="0" w:line="240" w:lineRule="auto"/>
        <w:ind w:firstLine="0"/>
        <w:rPr>
          <w:sz w:val="22"/>
          <w:szCs w:val="22"/>
        </w:rPr>
      </w:pPr>
      <w:r w:rsidRPr="00BF0050">
        <w:rPr>
          <w:sz w:val="22"/>
          <w:szCs w:val="22"/>
        </w:rPr>
        <w:t xml:space="preserve">       </w:t>
      </w:r>
      <w:proofErr w:type="gramStart"/>
      <w:r w:rsidRPr="00BF0050">
        <w:rPr>
          <w:sz w:val="22"/>
          <w:szCs w:val="22"/>
        </w:rPr>
        <w:t>*</w:t>
      </w:r>
      <w:r w:rsidRPr="00BF0050">
        <w:rPr>
          <w:sz w:val="22"/>
          <w:szCs w:val="22"/>
          <w:vertAlign w:val="superscript"/>
        </w:rPr>
        <w:t>)</w:t>
      </w:r>
      <w:r w:rsidRPr="00BF0050">
        <w:rPr>
          <w:sz w:val="22"/>
          <w:szCs w:val="22"/>
        </w:rPr>
        <w:t xml:space="preserve"> Включая чистое приобретение ценностей.</w:t>
      </w:r>
      <w:proofErr w:type="gramEnd"/>
    </w:p>
    <w:p w:rsidR="000C5AEE" w:rsidRPr="00BF0050" w:rsidRDefault="000C5AEE" w:rsidP="008C1232">
      <w:pPr>
        <w:spacing w:before="0" w:after="0"/>
        <w:jc w:val="both"/>
        <w:rPr>
          <w:sz w:val="26"/>
          <w:szCs w:val="26"/>
        </w:rPr>
      </w:pPr>
    </w:p>
    <w:p w:rsidR="00C1551D" w:rsidRPr="00BF0050" w:rsidRDefault="00C1551D" w:rsidP="001E6AE7">
      <w:pPr>
        <w:spacing w:before="0" w:after="0"/>
        <w:jc w:val="both"/>
        <w:rPr>
          <w:sz w:val="26"/>
          <w:szCs w:val="26"/>
        </w:rPr>
      </w:pPr>
      <w:r w:rsidRPr="00BF0050">
        <w:rPr>
          <w:sz w:val="26"/>
          <w:szCs w:val="26"/>
        </w:rPr>
        <w:lastRenderedPageBreak/>
        <w:t xml:space="preserve">В целом внутренний спрос в 2016 году сократится на 1,3 %, при этом его сжатие будет значительно слабее, чем в предыдущем году (9,4 процента). </w:t>
      </w:r>
    </w:p>
    <w:p w:rsidR="00BF6B36" w:rsidRPr="00BF0050" w:rsidRDefault="00D866FE" w:rsidP="001E6AE7">
      <w:pPr>
        <w:spacing w:before="0" w:after="0"/>
        <w:jc w:val="both"/>
        <w:rPr>
          <w:sz w:val="26"/>
          <w:szCs w:val="26"/>
        </w:rPr>
      </w:pPr>
      <w:r w:rsidRPr="00BF0050">
        <w:rPr>
          <w:sz w:val="26"/>
          <w:szCs w:val="26"/>
        </w:rPr>
        <w:t>Производство</w:t>
      </w:r>
      <w:r w:rsidR="00BF6B36" w:rsidRPr="00BF0050">
        <w:rPr>
          <w:sz w:val="26"/>
          <w:szCs w:val="26"/>
        </w:rPr>
        <w:t xml:space="preserve"> ВВП </w:t>
      </w:r>
      <w:r w:rsidR="001E6AE7" w:rsidRPr="00BF0050">
        <w:rPr>
          <w:sz w:val="26"/>
          <w:szCs w:val="26"/>
        </w:rPr>
        <w:t xml:space="preserve">будет </w:t>
      </w:r>
      <w:r w:rsidR="00BF6B36" w:rsidRPr="00BF0050">
        <w:rPr>
          <w:sz w:val="26"/>
          <w:szCs w:val="26"/>
        </w:rPr>
        <w:t>поддержи</w:t>
      </w:r>
      <w:r w:rsidR="001E6AE7" w:rsidRPr="00BF0050">
        <w:rPr>
          <w:sz w:val="26"/>
          <w:szCs w:val="26"/>
        </w:rPr>
        <w:t>ва</w:t>
      </w:r>
      <w:r w:rsidR="00BF6B36" w:rsidRPr="00BF0050">
        <w:rPr>
          <w:sz w:val="26"/>
          <w:szCs w:val="26"/>
        </w:rPr>
        <w:t>т</w:t>
      </w:r>
      <w:r w:rsidR="001E6AE7" w:rsidRPr="00BF0050">
        <w:rPr>
          <w:sz w:val="26"/>
          <w:szCs w:val="26"/>
        </w:rPr>
        <w:t>ь</w:t>
      </w:r>
      <w:r w:rsidR="00BF6B36" w:rsidRPr="00BF0050">
        <w:rPr>
          <w:sz w:val="26"/>
          <w:szCs w:val="26"/>
        </w:rPr>
        <w:t xml:space="preserve"> внешний спрос. Падение внутреннего спроса части</w:t>
      </w:r>
      <w:r w:rsidR="001E6AE7" w:rsidRPr="00BF0050">
        <w:rPr>
          <w:sz w:val="26"/>
          <w:szCs w:val="26"/>
        </w:rPr>
        <w:t>чно</w:t>
      </w:r>
      <w:r w:rsidR="00BF6B36" w:rsidRPr="00BF0050">
        <w:rPr>
          <w:sz w:val="26"/>
          <w:szCs w:val="26"/>
        </w:rPr>
        <w:t xml:space="preserve"> </w:t>
      </w:r>
      <w:r w:rsidR="001E6AE7" w:rsidRPr="00BF0050">
        <w:rPr>
          <w:sz w:val="26"/>
          <w:szCs w:val="26"/>
        </w:rPr>
        <w:t xml:space="preserve">будет </w:t>
      </w:r>
      <w:r w:rsidR="00BF6B36" w:rsidRPr="00BF0050">
        <w:rPr>
          <w:sz w:val="26"/>
          <w:szCs w:val="26"/>
        </w:rPr>
        <w:t xml:space="preserve">компенсировано </w:t>
      </w:r>
      <w:r w:rsidR="00FD75DA" w:rsidRPr="00BF0050">
        <w:rPr>
          <w:sz w:val="26"/>
          <w:szCs w:val="26"/>
        </w:rPr>
        <w:t xml:space="preserve">слабой динамикой </w:t>
      </w:r>
      <w:r w:rsidR="00BF6B36" w:rsidRPr="00BF0050">
        <w:rPr>
          <w:sz w:val="26"/>
          <w:szCs w:val="26"/>
        </w:rPr>
        <w:t>экспорта (</w:t>
      </w:r>
      <w:r w:rsidR="00FD75DA" w:rsidRPr="00BF0050">
        <w:rPr>
          <w:sz w:val="26"/>
          <w:szCs w:val="26"/>
        </w:rPr>
        <w:t>-</w:t>
      </w:r>
      <w:r w:rsidR="0054596F" w:rsidRPr="00BF0050">
        <w:rPr>
          <w:sz w:val="26"/>
          <w:szCs w:val="26"/>
        </w:rPr>
        <w:t>0,7</w:t>
      </w:r>
      <w:r w:rsidR="00BF6B36" w:rsidRPr="00BF0050">
        <w:rPr>
          <w:sz w:val="26"/>
          <w:szCs w:val="26"/>
        </w:rPr>
        <w:t xml:space="preserve"> %) и</w:t>
      </w:r>
      <w:r w:rsidR="003D611F" w:rsidRPr="00BF0050">
        <w:rPr>
          <w:sz w:val="26"/>
          <w:szCs w:val="26"/>
        </w:rPr>
        <w:t> </w:t>
      </w:r>
      <w:r w:rsidR="00BF6B36" w:rsidRPr="00BF0050">
        <w:rPr>
          <w:sz w:val="26"/>
          <w:szCs w:val="26"/>
        </w:rPr>
        <w:t xml:space="preserve">продолжением снижения импорта (на </w:t>
      </w:r>
      <w:r w:rsidR="0054596F" w:rsidRPr="00BF0050">
        <w:rPr>
          <w:sz w:val="26"/>
          <w:szCs w:val="26"/>
        </w:rPr>
        <w:t>5,8</w:t>
      </w:r>
      <w:r w:rsidR="00665F81" w:rsidRPr="00BF0050">
        <w:rPr>
          <w:sz w:val="26"/>
          <w:szCs w:val="26"/>
        </w:rPr>
        <w:t xml:space="preserve"> процента</w:t>
      </w:r>
      <w:r w:rsidR="00BF6B36" w:rsidRPr="00BF0050">
        <w:rPr>
          <w:sz w:val="26"/>
          <w:szCs w:val="26"/>
        </w:rPr>
        <w:t>). В результате чистый экспорт товаров и услуг в 2016 году может вырасти на 1</w:t>
      </w:r>
      <w:r w:rsidR="0054596F" w:rsidRPr="00BF0050">
        <w:rPr>
          <w:sz w:val="26"/>
          <w:szCs w:val="26"/>
        </w:rPr>
        <w:t>2,5</w:t>
      </w:r>
      <w:r w:rsidR="00BF6B36" w:rsidRPr="00BF0050">
        <w:rPr>
          <w:sz w:val="26"/>
          <w:szCs w:val="26"/>
        </w:rPr>
        <w:t xml:space="preserve"> % (72,4 % в 2015 году). </w:t>
      </w:r>
    </w:p>
    <w:p w:rsidR="00D866FE" w:rsidRPr="00BF0050" w:rsidRDefault="00BF6B36" w:rsidP="008C1232">
      <w:pPr>
        <w:spacing w:before="0" w:after="0"/>
        <w:jc w:val="both"/>
        <w:rPr>
          <w:sz w:val="26"/>
          <w:szCs w:val="26"/>
        </w:rPr>
      </w:pPr>
      <w:r w:rsidRPr="00BF0050">
        <w:rPr>
          <w:sz w:val="26"/>
          <w:szCs w:val="26"/>
        </w:rPr>
        <w:t xml:space="preserve">С учетом прогнозируемых тенденций в 2016 году в ВВП по элементам использования ожидается качественный структурный сдвиг. Благодаря </w:t>
      </w:r>
      <w:r w:rsidR="00BB2D69" w:rsidRPr="00BF0050">
        <w:rPr>
          <w:sz w:val="26"/>
          <w:szCs w:val="26"/>
        </w:rPr>
        <w:t xml:space="preserve">наращиванию запасов </w:t>
      </w:r>
      <w:r w:rsidR="001E6AE7" w:rsidRPr="00BF0050">
        <w:rPr>
          <w:sz w:val="26"/>
          <w:szCs w:val="26"/>
        </w:rPr>
        <w:t>материальных оборотных средств</w:t>
      </w:r>
      <w:r w:rsidRPr="00BF0050">
        <w:rPr>
          <w:sz w:val="26"/>
          <w:szCs w:val="26"/>
        </w:rPr>
        <w:t xml:space="preserve"> доля валового накопления в ВВП (норма накопления) возрастет до 21,</w:t>
      </w:r>
      <w:r w:rsidR="00A045FB" w:rsidRPr="00BF0050">
        <w:rPr>
          <w:sz w:val="26"/>
          <w:szCs w:val="26"/>
        </w:rPr>
        <w:t>4</w:t>
      </w:r>
      <w:r w:rsidR="00FD75DA" w:rsidRPr="00BF0050">
        <w:rPr>
          <w:sz w:val="26"/>
          <w:szCs w:val="26"/>
        </w:rPr>
        <w:t xml:space="preserve"> </w:t>
      </w:r>
      <w:r w:rsidRPr="00BF0050">
        <w:rPr>
          <w:sz w:val="26"/>
          <w:szCs w:val="26"/>
        </w:rPr>
        <w:t>% (20,</w:t>
      </w:r>
      <w:r w:rsidR="00A045FB" w:rsidRPr="00BF0050">
        <w:rPr>
          <w:sz w:val="26"/>
          <w:szCs w:val="26"/>
        </w:rPr>
        <w:t>3</w:t>
      </w:r>
      <w:r w:rsidRPr="00BF0050">
        <w:rPr>
          <w:sz w:val="26"/>
          <w:szCs w:val="26"/>
        </w:rPr>
        <w:t xml:space="preserve"> % ВВП в 2015 году). </w:t>
      </w:r>
      <w:r w:rsidR="00AF238D" w:rsidRPr="00BF0050">
        <w:rPr>
          <w:sz w:val="26"/>
          <w:szCs w:val="26"/>
        </w:rPr>
        <w:t>Вс</w:t>
      </w:r>
      <w:r w:rsidRPr="00BF0050">
        <w:rPr>
          <w:sz w:val="26"/>
          <w:szCs w:val="26"/>
        </w:rPr>
        <w:t xml:space="preserve">ледствие </w:t>
      </w:r>
      <w:r w:rsidR="00AF238D" w:rsidRPr="00BF0050">
        <w:rPr>
          <w:sz w:val="26"/>
          <w:szCs w:val="26"/>
        </w:rPr>
        <w:t>этого</w:t>
      </w:r>
      <w:r w:rsidRPr="00BF0050">
        <w:rPr>
          <w:sz w:val="26"/>
          <w:szCs w:val="26"/>
        </w:rPr>
        <w:t xml:space="preserve"> возобновится </w:t>
      </w:r>
      <w:r w:rsidR="00BB2D69" w:rsidRPr="00BF0050">
        <w:rPr>
          <w:sz w:val="26"/>
          <w:szCs w:val="26"/>
        </w:rPr>
        <w:t xml:space="preserve">повышение доли </w:t>
      </w:r>
      <w:r w:rsidRPr="00BF0050">
        <w:rPr>
          <w:sz w:val="26"/>
          <w:szCs w:val="26"/>
        </w:rPr>
        <w:t xml:space="preserve">внутреннего спроса в структуре использования ВВП (до </w:t>
      </w:r>
      <w:r w:rsidR="0054596F" w:rsidRPr="00BF0050">
        <w:rPr>
          <w:sz w:val="26"/>
          <w:szCs w:val="26"/>
        </w:rPr>
        <w:t>9</w:t>
      </w:r>
      <w:r w:rsidR="00A045FB" w:rsidRPr="00BF0050">
        <w:rPr>
          <w:sz w:val="26"/>
          <w:szCs w:val="26"/>
        </w:rPr>
        <w:t>3,</w:t>
      </w:r>
      <w:r w:rsidR="0054596F" w:rsidRPr="00BF0050">
        <w:rPr>
          <w:sz w:val="26"/>
          <w:szCs w:val="26"/>
        </w:rPr>
        <w:t>8</w:t>
      </w:r>
      <w:r w:rsidR="00A045FB" w:rsidRPr="00BF0050">
        <w:rPr>
          <w:sz w:val="26"/>
          <w:szCs w:val="26"/>
        </w:rPr>
        <w:t> </w:t>
      </w:r>
      <w:r w:rsidRPr="00BF0050">
        <w:rPr>
          <w:sz w:val="26"/>
          <w:szCs w:val="26"/>
        </w:rPr>
        <w:t>% ВВП)</w:t>
      </w:r>
      <w:r w:rsidR="00A045FB" w:rsidRPr="00BF0050">
        <w:rPr>
          <w:sz w:val="26"/>
          <w:szCs w:val="26"/>
        </w:rPr>
        <w:t xml:space="preserve"> после</w:t>
      </w:r>
      <w:r w:rsidRPr="00BF0050">
        <w:rPr>
          <w:sz w:val="26"/>
          <w:szCs w:val="26"/>
        </w:rPr>
        <w:t xml:space="preserve"> </w:t>
      </w:r>
      <w:r w:rsidR="00A045FB" w:rsidRPr="00BF0050">
        <w:rPr>
          <w:sz w:val="26"/>
          <w:szCs w:val="26"/>
        </w:rPr>
        <w:t xml:space="preserve">последовательного снижения </w:t>
      </w:r>
      <w:r w:rsidRPr="00BF0050">
        <w:rPr>
          <w:sz w:val="26"/>
          <w:szCs w:val="26"/>
        </w:rPr>
        <w:t>в  201</w:t>
      </w:r>
      <w:r w:rsidR="00D866FE" w:rsidRPr="00BF0050">
        <w:rPr>
          <w:sz w:val="26"/>
          <w:szCs w:val="26"/>
        </w:rPr>
        <w:t>4</w:t>
      </w:r>
      <w:r w:rsidR="00AF238D" w:rsidRPr="00BF0050">
        <w:rPr>
          <w:sz w:val="26"/>
          <w:szCs w:val="26"/>
        </w:rPr>
        <w:t> – </w:t>
      </w:r>
      <w:r w:rsidRPr="00BF0050">
        <w:rPr>
          <w:sz w:val="26"/>
          <w:szCs w:val="26"/>
        </w:rPr>
        <w:t>2015 г</w:t>
      </w:r>
      <w:r w:rsidR="00A045FB" w:rsidRPr="00BF0050">
        <w:rPr>
          <w:sz w:val="26"/>
          <w:szCs w:val="26"/>
        </w:rPr>
        <w:t>одах</w:t>
      </w:r>
      <w:r w:rsidRPr="00BF0050">
        <w:rPr>
          <w:sz w:val="26"/>
          <w:szCs w:val="26"/>
        </w:rPr>
        <w:t xml:space="preserve">.  </w:t>
      </w:r>
    </w:p>
    <w:p w:rsidR="00BF6B36" w:rsidRPr="00BF0050" w:rsidRDefault="00BB2D69" w:rsidP="008C1232">
      <w:pPr>
        <w:spacing w:before="0" w:after="0"/>
        <w:jc w:val="both"/>
        <w:rPr>
          <w:sz w:val="26"/>
          <w:szCs w:val="26"/>
        </w:rPr>
      </w:pPr>
      <w:r w:rsidRPr="00BF0050">
        <w:rPr>
          <w:sz w:val="26"/>
          <w:szCs w:val="26"/>
        </w:rPr>
        <w:t>Начиная с 2017 года</w:t>
      </w:r>
      <w:r w:rsidR="00BF6B36" w:rsidRPr="00BF0050">
        <w:rPr>
          <w:sz w:val="26"/>
          <w:szCs w:val="26"/>
        </w:rPr>
        <w:t xml:space="preserve"> возобновление </w:t>
      </w:r>
      <w:r w:rsidR="00D9412B" w:rsidRPr="00BF0050">
        <w:rPr>
          <w:sz w:val="26"/>
          <w:szCs w:val="26"/>
        </w:rPr>
        <w:t xml:space="preserve">роста </w:t>
      </w:r>
      <w:r w:rsidR="00BF6B36" w:rsidRPr="00BF0050">
        <w:rPr>
          <w:sz w:val="26"/>
          <w:szCs w:val="26"/>
        </w:rPr>
        <w:t xml:space="preserve">промышленного </w:t>
      </w:r>
      <w:r w:rsidR="00D9412B" w:rsidRPr="00BF0050">
        <w:rPr>
          <w:sz w:val="26"/>
          <w:szCs w:val="26"/>
        </w:rPr>
        <w:t xml:space="preserve">производства </w:t>
      </w:r>
      <w:r w:rsidR="00BF6B36" w:rsidRPr="00BF0050">
        <w:rPr>
          <w:sz w:val="26"/>
          <w:szCs w:val="26"/>
        </w:rPr>
        <w:t>и</w:t>
      </w:r>
      <w:r w:rsidR="00D9412B" w:rsidRPr="00BF0050">
        <w:rPr>
          <w:sz w:val="26"/>
          <w:szCs w:val="26"/>
        </w:rPr>
        <w:t> </w:t>
      </w:r>
      <w:proofErr w:type="gramStart"/>
      <w:r w:rsidR="00BF6B36" w:rsidRPr="00BF0050">
        <w:rPr>
          <w:sz w:val="26"/>
          <w:szCs w:val="26"/>
        </w:rPr>
        <w:t>реальных</w:t>
      </w:r>
      <w:proofErr w:type="gramEnd"/>
      <w:r w:rsidR="00BF6B36" w:rsidRPr="00BF0050">
        <w:rPr>
          <w:sz w:val="26"/>
          <w:szCs w:val="26"/>
        </w:rPr>
        <w:t xml:space="preserve"> располагаемых доходов </w:t>
      </w:r>
      <w:r w:rsidR="00390991" w:rsidRPr="00BF0050">
        <w:rPr>
          <w:sz w:val="26"/>
          <w:szCs w:val="26"/>
        </w:rPr>
        <w:t>населения</w:t>
      </w:r>
      <w:r w:rsidR="00BF6B36" w:rsidRPr="00BF0050">
        <w:rPr>
          <w:sz w:val="26"/>
          <w:szCs w:val="26"/>
        </w:rPr>
        <w:t xml:space="preserve"> стан</w:t>
      </w:r>
      <w:r w:rsidRPr="00BF0050">
        <w:rPr>
          <w:sz w:val="26"/>
          <w:szCs w:val="26"/>
        </w:rPr>
        <w:t>е</w:t>
      </w:r>
      <w:r w:rsidR="00BF6B36" w:rsidRPr="00BF0050">
        <w:rPr>
          <w:sz w:val="26"/>
          <w:szCs w:val="26"/>
        </w:rPr>
        <w:t>т определяющим внутренним фактор</w:t>
      </w:r>
      <w:r w:rsidRPr="00BF0050">
        <w:rPr>
          <w:sz w:val="26"/>
          <w:szCs w:val="26"/>
        </w:rPr>
        <w:t>о</w:t>
      </w:r>
      <w:r w:rsidR="00BF6B36" w:rsidRPr="00BF0050">
        <w:rPr>
          <w:sz w:val="26"/>
          <w:szCs w:val="26"/>
        </w:rPr>
        <w:t xml:space="preserve">м для </w:t>
      </w:r>
      <w:r w:rsidR="00E46980" w:rsidRPr="00BF0050">
        <w:rPr>
          <w:sz w:val="26"/>
          <w:szCs w:val="26"/>
        </w:rPr>
        <w:t xml:space="preserve">восстановления инвестиционной активности и </w:t>
      </w:r>
      <w:r w:rsidR="00BF6B36" w:rsidRPr="00BF0050">
        <w:rPr>
          <w:sz w:val="26"/>
          <w:szCs w:val="26"/>
        </w:rPr>
        <w:t>потребительского спроса.</w:t>
      </w:r>
      <w:r w:rsidR="00BF6B36" w:rsidRPr="00BF0050">
        <w:rPr>
          <w:i/>
          <w:sz w:val="26"/>
          <w:szCs w:val="26"/>
        </w:rPr>
        <w:t xml:space="preserve"> </w:t>
      </w:r>
      <w:r w:rsidR="00BF6B36" w:rsidRPr="00BF0050">
        <w:rPr>
          <w:sz w:val="26"/>
          <w:szCs w:val="26"/>
        </w:rPr>
        <w:t xml:space="preserve">Накопление основного капитала за </w:t>
      </w:r>
      <w:r w:rsidR="00665F81" w:rsidRPr="00BF0050">
        <w:rPr>
          <w:sz w:val="26"/>
          <w:szCs w:val="26"/>
        </w:rPr>
        <w:t xml:space="preserve"> </w:t>
      </w:r>
      <w:r w:rsidR="00BF6B36" w:rsidRPr="00BF0050">
        <w:rPr>
          <w:sz w:val="26"/>
          <w:szCs w:val="26"/>
        </w:rPr>
        <w:t>2017</w:t>
      </w:r>
      <w:r w:rsidR="00AF238D" w:rsidRPr="00BF0050">
        <w:rPr>
          <w:sz w:val="26"/>
          <w:szCs w:val="26"/>
        </w:rPr>
        <w:t> </w:t>
      </w:r>
      <w:r w:rsidR="00BF6B36" w:rsidRPr="00BF0050">
        <w:rPr>
          <w:sz w:val="26"/>
          <w:szCs w:val="26"/>
        </w:rPr>
        <w:t>–</w:t>
      </w:r>
      <w:r w:rsidR="00AF238D" w:rsidRPr="00BF0050">
        <w:rPr>
          <w:sz w:val="26"/>
          <w:szCs w:val="26"/>
        </w:rPr>
        <w:t> </w:t>
      </w:r>
      <w:r w:rsidR="00665F81" w:rsidRPr="00BF0050">
        <w:rPr>
          <w:sz w:val="26"/>
          <w:szCs w:val="26"/>
        </w:rPr>
        <w:t>2019 </w:t>
      </w:r>
      <w:r w:rsidR="00BF6B36" w:rsidRPr="00BF0050">
        <w:rPr>
          <w:sz w:val="26"/>
          <w:szCs w:val="26"/>
        </w:rPr>
        <w:t xml:space="preserve">гг. суммарно вырастет на </w:t>
      </w:r>
      <w:r w:rsidR="0054596F" w:rsidRPr="00BF0050">
        <w:rPr>
          <w:sz w:val="26"/>
          <w:szCs w:val="26"/>
        </w:rPr>
        <w:t xml:space="preserve">8,8 </w:t>
      </w:r>
      <w:r w:rsidR="00BF6B36" w:rsidRPr="00BF0050">
        <w:rPr>
          <w:sz w:val="26"/>
          <w:szCs w:val="26"/>
        </w:rPr>
        <w:t>%, а валовое накопление в целом –</w:t>
      </w:r>
      <w:r w:rsidR="00390991" w:rsidRPr="00BF0050">
        <w:rPr>
          <w:sz w:val="26"/>
          <w:szCs w:val="26"/>
        </w:rPr>
        <w:t xml:space="preserve"> </w:t>
      </w:r>
      <w:r w:rsidR="00BF6B36" w:rsidRPr="00BF0050">
        <w:rPr>
          <w:sz w:val="26"/>
          <w:szCs w:val="26"/>
        </w:rPr>
        <w:t xml:space="preserve">на </w:t>
      </w:r>
      <w:r w:rsidR="0054596F" w:rsidRPr="00BF0050">
        <w:rPr>
          <w:sz w:val="26"/>
          <w:szCs w:val="26"/>
        </w:rPr>
        <w:t>13,1 процента</w:t>
      </w:r>
      <w:r w:rsidR="00BF6B36" w:rsidRPr="00BF0050">
        <w:rPr>
          <w:sz w:val="26"/>
          <w:szCs w:val="26"/>
        </w:rPr>
        <w:t>.</w:t>
      </w:r>
      <w:r w:rsidR="00BF6B36" w:rsidRPr="00BF0050">
        <w:rPr>
          <w:i/>
          <w:sz w:val="26"/>
          <w:szCs w:val="26"/>
        </w:rPr>
        <w:t xml:space="preserve"> </w:t>
      </w:r>
      <w:r w:rsidR="00BF6B36" w:rsidRPr="00BF0050">
        <w:rPr>
          <w:sz w:val="26"/>
          <w:szCs w:val="26"/>
        </w:rPr>
        <w:t xml:space="preserve">Внутренний спрос </w:t>
      </w:r>
      <w:r w:rsidR="00AF238D" w:rsidRPr="00BF0050">
        <w:rPr>
          <w:sz w:val="26"/>
          <w:szCs w:val="26"/>
        </w:rPr>
        <w:t>за три года</w:t>
      </w:r>
      <w:r w:rsidR="00BF6B36" w:rsidRPr="00BF0050">
        <w:rPr>
          <w:sz w:val="26"/>
          <w:szCs w:val="26"/>
        </w:rPr>
        <w:t xml:space="preserve"> возрастет на </w:t>
      </w:r>
      <w:r w:rsidR="0054596F" w:rsidRPr="00BF0050">
        <w:rPr>
          <w:sz w:val="26"/>
          <w:szCs w:val="26"/>
        </w:rPr>
        <w:t>6</w:t>
      </w:r>
      <w:r w:rsidR="00BF6B36" w:rsidRPr="00BF0050">
        <w:rPr>
          <w:sz w:val="26"/>
          <w:szCs w:val="26"/>
        </w:rPr>
        <w:t>,</w:t>
      </w:r>
      <w:r w:rsidR="00390991" w:rsidRPr="00BF0050">
        <w:rPr>
          <w:sz w:val="26"/>
          <w:szCs w:val="26"/>
        </w:rPr>
        <w:t>6 </w:t>
      </w:r>
      <w:r w:rsidR="00BF6B36" w:rsidRPr="00BF0050">
        <w:rPr>
          <w:sz w:val="26"/>
          <w:szCs w:val="26"/>
        </w:rPr>
        <w:t xml:space="preserve">%, но не отыграет </w:t>
      </w:r>
      <w:r w:rsidR="00FD75DA" w:rsidRPr="00BF0050">
        <w:rPr>
          <w:sz w:val="26"/>
          <w:szCs w:val="26"/>
        </w:rPr>
        <w:t xml:space="preserve">снижения </w:t>
      </w:r>
      <w:r w:rsidR="00BF6B36" w:rsidRPr="00BF0050">
        <w:rPr>
          <w:sz w:val="26"/>
          <w:szCs w:val="26"/>
        </w:rPr>
        <w:t>2014 – 2016 годов. Динамика чистого экспорта, при сохранении опережающего роста импорт</w:t>
      </w:r>
      <w:r w:rsidR="00D866FE" w:rsidRPr="00BF0050">
        <w:rPr>
          <w:sz w:val="26"/>
          <w:szCs w:val="26"/>
        </w:rPr>
        <w:t>а</w:t>
      </w:r>
      <w:r w:rsidR="00BF6B36" w:rsidRPr="00BF0050">
        <w:rPr>
          <w:sz w:val="26"/>
          <w:szCs w:val="26"/>
        </w:rPr>
        <w:t>, перейдет в область отрицательных значений и будет оказывать сдерживающее влияние на общеэкономическую динамику.</w:t>
      </w:r>
    </w:p>
    <w:p w:rsidR="00BF6B36" w:rsidRPr="00BF0050" w:rsidRDefault="00BF6B36" w:rsidP="008C1232">
      <w:pPr>
        <w:spacing w:before="0" w:after="0"/>
        <w:jc w:val="both"/>
        <w:rPr>
          <w:sz w:val="26"/>
          <w:szCs w:val="26"/>
        </w:rPr>
      </w:pPr>
      <w:r w:rsidRPr="00BF0050">
        <w:rPr>
          <w:sz w:val="26"/>
          <w:szCs w:val="26"/>
        </w:rPr>
        <w:t>Поскольку параметры внешних операций с товарами и услугами в 2016 году определя</w:t>
      </w:r>
      <w:r w:rsidR="00E44196" w:rsidRPr="00BF0050">
        <w:rPr>
          <w:sz w:val="26"/>
          <w:szCs w:val="26"/>
        </w:rPr>
        <w:t>ю</w:t>
      </w:r>
      <w:r w:rsidRPr="00BF0050">
        <w:rPr>
          <w:sz w:val="26"/>
          <w:szCs w:val="26"/>
        </w:rPr>
        <w:t>т неблагоприятн</w:t>
      </w:r>
      <w:r w:rsidR="00E44196" w:rsidRPr="00BF0050">
        <w:rPr>
          <w:sz w:val="26"/>
          <w:szCs w:val="26"/>
        </w:rPr>
        <w:t>ая</w:t>
      </w:r>
      <w:r w:rsidRPr="00BF0050">
        <w:rPr>
          <w:sz w:val="26"/>
          <w:szCs w:val="26"/>
        </w:rPr>
        <w:t xml:space="preserve"> </w:t>
      </w:r>
      <w:r w:rsidR="00AF238D" w:rsidRPr="00BF0050">
        <w:rPr>
          <w:sz w:val="26"/>
          <w:szCs w:val="26"/>
        </w:rPr>
        <w:t xml:space="preserve">для российских экспортеров </w:t>
      </w:r>
      <w:r w:rsidRPr="00BF0050">
        <w:rPr>
          <w:sz w:val="26"/>
          <w:szCs w:val="26"/>
        </w:rPr>
        <w:t>ценовая конъюнктура мировых рынков и сокращение располагаемых доходов у российских потребителей импортной продукции, основным источником покрытия внутреннего спроса будет становиться отечественное производство.</w:t>
      </w:r>
    </w:p>
    <w:p w:rsidR="00BF6B36" w:rsidRPr="00BF0050" w:rsidRDefault="001A1E84" w:rsidP="008C1232">
      <w:pPr>
        <w:spacing w:before="0" w:after="0"/>
        <w:jc w:val="both"/>
        <w:rPr>
          <w:b/>
          <w:sz w:val="26"/>
          <w:szCs w:val="26"/>
        </w:rPr>
      </w:pPr>
      <w:r w:rsidRPr="00BF0050">
        <w:rPr>
          <w:sz w:val="26"/>
          <w:szCs w:val="26"/>
        </w:rPr>
        <w:t xml:space="preserve">Сохранение отрицательной динамики </w:t>
      </w:r>
      <w:r w:rsidR="00BF6B36" w:rsidRPr="00BF0050">
        <w:rPr>
          <w:b/>
          <w:sz w:val="26"/>
          <w:szCs w:val="26"/>
        </w:rPr>
        <w:t xml:space="preserve">производства ВВП </w:t>
      </w:r>
      <w:r w:rsidR="00BF6B36" w:rsidRPr="00BF0050">
        <w:rPr>
          <w:sz w:val="26"/>
          <w:szCs w:val="26"/>
        </w:rPr>
        <w:t xml:space="preserve">в 2016 году </w:t>
      </w:r>
      <w:r w:rsidRPr="00BF0050">
        <w:rPr>
          <w:sz w:val="26"/>
          <w:szCs w:val="26"/>
        </w:rPr>
        <w:t>(-0,</w:t>
      </w:r>
      <w:r w:rsidR="00B100F7" w:rsidRPr="00BF0050">
        <w:rPr>
          <w:sz w:val="26"/>
          <w:szCs w:val="26"/>
        </w:rPr>
        <w:t xml:space="preserve">2 </w:t>
      </w:r>
      <w:r w:rsidRPr="00BF0050">
        <w:rPr>
          <w:sz w:val="26"/>
          <w:szCs w:val="26"/>
        </w:rPr>
        <w:t xml:space="preserve">%) </w:t>
      </w:r>
      <w:r w:rsidR="00E44196" w:rsidRPr="00BF0050">
        <w:rPr>
          <w:sz w:val="26"/>
          <w:szCs w:val="26"/>
        </w:rPr>
        <w:t>будет являться</w:t>
      </w:r>
      <w:r w:rsidR="00BF6B36" w:rsidRPr="00BF0050">
        <w:rPr>
          <w:sz w:val="26"/>
          <w:szCs w:val="26"/>
        </w:rPr>
        <w:t xml:space="preserve"> результатом</w:t>
      </w:r>
      <w:r w:rsidR="00BF6B36" w:rsidRPr="00BF0050">
        <w:rPr>
          <w:b/>
          <w:sz w:val="26"/>
          <w:szCs w:val="26"/>
        </w:rPr>
        <w:t xml:space="preserve"> </w:t>
      </w:r>
      <w:r w:rsidR="00BF6B36" w:rsidRPr="00BF0050">
        <w:rPr>
          <w:sz w:val="26"/>
          <w:szCs w:val="26"/>
          <w:shd w:val="clear" w:color="auto" w:fill="FFFFFF"/>
        </w:rPr>
        <w:t>стагнации валовой добавленной стоимости (ВДС) в д</w:t>
      </w:r>
      <w:r w:rsidR="00AF238D" w:rsidRPr="00BF0050">
        <w:rPr>
          <w:sz w:val="26"/>
          <w:szCs w:val="26"/>
          <w:shd w:val="clear" w:color="auto" w:fill="FFFFFF"/>
        </w:rPr>
        <w:t>обыче полезных ископаемых (0,</w:t>
      </w:r>
      <w:r w:rsidR="00B100F7" w:rsidRPr="00BF0050">
        <w:rPr>
          <w:sz w:val="26"/>
          <w:szCs w:val="26"/>
          <w:shd w:val="clear" w:color="auto" w:fill="FFFFFF"/>
        </w:rPr>
        <w:t>2 </w:t>
      </w:r>
      <w:r w:rsidR="00BF6B36" w:rsidRPr="00BF0050">
        <w:rPr>
          <w:sz w:val="26"/>
          <w:szCs w:val="26"/>
          <w:shd w:val="clear" w:color="auto" w:fill="FFFFFF"/>
        </w:rPr>
        <w:t xml:space="preserve">%), </w:t>
      </w:r>
      <w:r w:rsidR="009141FD" w:rsidRPr="00BF0050">
        <w:rPr>
          <w:sz w:val="26"/>
          <w:szCs w:val="26"/>
          <w:shd w:val="clear" w:color="auto" w:fill="FFFFFF"/>
        </w:rPr>
        <w:t xml:space="preserve">в </w:t>
      </w:r>
      <w:r w:rsidR="00BF6B36" w:rsidRPr="00BF0050">
        <w:rPr>
          <w:sz w:val="26"/>
          <w:szCs w:val="26"/>
          <w:shd w:val="clear" w:color="auto" w:fill="FFFFFF"/>
        </w:rPr>
        <w:t>обрабатывающих производствах (-0,</w:t>
      </w:r>
      <w:r w:rsidR="00B100F7" w:rsidRPr="00BF0050">
        <w:rPr>
          <w:sz w:val="26"/>
          <w:szCs w:val="26"/>
          <w:shd w:val="clear" w:color="auto" w:fill="FFFFFF"/>
        </w:rPr>
        <w:t xml:space="preserve">5 </w:t>
      </w:r>
      <w:r w:rsidR="00BF6B36" w:rsidRPr="00BF0050">
        <w:rPr>
          <w:sz w:val="26"/>
          <w:szCs w:val="26"/>
          <w:shd w:val="clear" w:color="auto" w:fill="FFFFFF"/>
        </w:rPr>
        <w:t>%) и строительстве (</w:t>
      </w:r>
      <w:r w:rsidR="00B100F7" w:rsidRPr="00BF0050">
        <w:rPr>
          <w:sz w:val="26"/>
          <w:szCs w:val="26"/>
          <w:shd w:val="clear" w:color="auto" w:fill="FFFFFF"/>
        </w:rPr>
        <w:t>2,0</w:t>
      </w:r>
      <w:r w:rsidR="00BF6B36" w:rsidRPr="00BF0050">
        <w:rPr>
          <w:sz w:val="26"/>
          <w:szCs w:val="26"/>
          <w:shd w:val="clear" w:color="auto" w:fill="FFFFFF"/>
        </w:rPr>
        <w:t xml:space="preserve"> %) при продолжени</w:t>
      </w:r>
      <w:r w:rsidR="00AF238D" w:rsidRPr="00BF0050">
        <w:rPr>
          <w:sz w:val="26"/>
          <w:szCs w:val="26"/>
          <w:shd w:val="clear" w:color="auto" w:fill="FFFFFF"/>
        </w:rPr>
        <w:t>и</w:t>
      </w:r>
      <w:r w:rsidR="00BF6B36" w:rsidRPr="00BF0050">
        <w:rPr>
          <w:sz w:val="26"/>
          <w:szCs w:val="26"/>
          <w:shd w:val="clear" w:color="auto" w:fill="FFFFFF"/>
        </w:rPr>
        <w:t xml:space="preserve"> </w:t>
      </w:r>
      <w:r w:rsidR="00BF6B36" w:rsidRPr="00BF0050">
        <w:rPr>
          <w:sz w:val="26"/>
          <w:szCs w:val="26"/>
        </w:rPr>
        <w:t xml:space="preserve">ее снижения в производстве и распределении электроэнергии, газа </w:t>
      </w:r>
      <w:r w:rsidR="00665F81" w:rsidRPr="00BF0050">
        <w:rPr>
          <w:sz w:val="26"/>
          <w:szCs w:val="26"/>
        </w:rPr>
        <w:t>и </w:t>
      </w:r>
      <w:r w:rsidR="00BF6B36" w:rsidRPr="00BF0050">
        <w:rPr>
          <w:sz w:val="26"/>
          <w:szCs w:val="26"/>
        </w:rPr>
        <w:t xml:space="preserve">воды </w:t>
      </w:r>
      <w:r w:rsidR="00BF6B36" w:rsidRPr="00BF0050">
        <w:rPr>
          <w:sz w:val="26"/>
          <w:szCs w:val="26"/>
          <w:shd w:val="clear" w:color="auto" w:fill="FFFFFF"/>
        </w:rPr>
        <w:t>(-</w:t>
      </w:r>
      <w:r w:rsidR="00B100F7" w:rsidRPr="00BF0050">
        <w:rPr>
          <w:sz w:val="26"/>
          <w:szCs w:val="26"/>
          <w:shd w:val="clear" w:color="auto" w:fill="FFFFFF"/>
        </w:rPr>
        <w:t>0,6</w:t>
      </w:r>
      <w:r w:rsidR="00BF6B36" w:rsidRPr="00BF0050">
        <w:rPr>
          <w:sz w:val="26"/>
          <w:szCs w:val="26"/>
          <w:shd w:val="clear" w:color="auto" w:fill="FFFFFF"/>
        </w:rPr>
        <w:t xml:space="preserve"> %), оптовой и розничной торговле  (-2,</w:t>
      </w:r>
      <w:r w:rsidR="00B100F7" w:rsidRPr="00BF0050">
        <w:rPr>
          <w:sz w:val="26"/>
          <w:szCs w:val="26"/>
          <w:shd w:val="clear" w:color="auto" w:fill="FFFFFF"/>
        </w:rPr>
        <w:t xml:space="preserve">3 </w:t>
      </w:r>
      <w:r w:rsidR="00AF238D" w:rsidRPr="00BF0050">
        <w:rPr>
          <w:sz w:val="26"/>
          <w:szCs w:val="26"/>
          <w:shd w:val="clear" w:color="auto" w:fill="FFFFFF"/>
        </w:rPr>
        <w:t>процента</w:t>
      </w:r>
      <w:r w:rsidR="00BF6B36" w:rsidRPr="00BF0050">
        <w:rPr>
          <w:sz w:val="26"/>
          <w:szCs w:val="26"/>
          <w:shd w:val="clear" w:color="auto" w:fill="FFFFFF"/>
        </w:rPr>
        <w:t>).</w:t>
      </w:r>
      <w:r w:rsidR="00BF6B36" w:rsidRPr="00BF0050">
        <w:rPr>
          <w:b/>
          <w:sz w:val="26"/>
          <w:szCs w:val="26"/>
        </w:rPr>
        <w:t xml:space="preserve"> </w:t>
      </w:r>
    </w:p>
    <w:p w:rsidR="0019777A" w:rsidRPr="00BF0050" w:rsidRDefault="0019777A" w:rsidP="0019777A">
      <w:pPr>
        <w:spacing w:before="0" w:after="0"/>
        <w:jc w:val="both"/>
        <w:rPr>
          <w:sz w:val="26"/>
          <w:szCs w:val="26"/>
          <w:shd w:val="clear" w:color="auto" w:fill="FFFFFF"/>
        </w:rPr>
      </w:pPr>
      <w:r w:rsidRPr="00BF0050">
        <w:rPr>
          <w:sz w:val="26"/>
          <w:szCs w:val="26"/>
          <w:shd w:val="clear" w:color="auto" w:fill="FFFFFF"/>
        </w:rPr>
        <w:t>Практически будет исчерпан положительный эффект импортозамещения в</w:t>
      </w:r>
      <w:r w:rsidR="00BB2D69" w:rsidRPr="00BF0050">
        <w:rPr>
          <w:sz w:val="26"/>
          <w:szCs w:val="26"/>
          <w:shd w:val="clear" w:color="auto" w:fill="FFFFFF"/>
        </w:rPr>
        <w:t> </w:t>
      </w:r>
      <w:r w:rsidRPr="00BF0050">
        <w:rPr>
          <w:sz w:val="26"/>
          <w:szCs w:val="26"/>
          <w:shd w:val="clear" w:color="auto" w:fill="FFFFFF"/>
        </w:rPr>
        <w:t xml:space="preserve">сельскохозяйственном производстве. </w:t>
      </w:r>
      <w:r w:rsidR="00BB2D69" w:rsidRPr="00BF0050">
        <w:rPr>
          <w:sz w:val="26"/>
          <w:szCs w:val="26"/>
          <w:shd w:val="clear" w:color="auto" w:fill="FFFFFF"/>
        </w:rPr>
        <w:t>Р</w:t>
      </w:r>
      <w:r w:rsidRPr="00BF0050">
        <w:rPr>
          <w:sz w:val="26"/>
          <w:szCs w:val="26"/>
          <w:shd w:val="clear" w:color="auto" w:fill="FFFFFF"/>
        </w:rPr>
        <w:t xml:space="preserve">ост </w:t>
      </w:r>
      <w:r w:rsidR="00BB2D69" w:rsidRPr="00BF0050">
        <w:rPr>
          <w:sz w:val="26"/>
          <w:szCs w:val="26"/>
          <w:shd w:val="clear" w:color="auto" w:fill="FFFFFF"/>
        </w:rPr>
        <w:t xml:space="preserve">валовой добавленной стоимости </w:t>
      </w:r>
      <w:r w:rsidR="00665F81" w:rsidRPr="00BF0050">
        <w:rPr>
          <w:sz w:val="26"/>
          <w:szCs w:val="26"/>
          <w:shd w:val="clear" w:color="auto" w:fill="FFFFFF"/>
        </w:rPr>
        <w:t>в </w:t>
      </w:r>
      <w:r w:rsidRPr="00BF0050">
        <w:rPr>
          <w:sz w:val="26"/>
          <w:szCs w:val="26"/>
          <w:shd w:val="clear" w:color="auto" w:fill="FFFFFF"/>
        </w:rPr>
        <w:t xml:space="preserve">сельском хозяйстве в 2016 году замедлится до 1,1 % против 3,1 % в 2015 году. </w:t>
      </w:r>
    </w:p>
    <w:p w:rsidR="0019777A" w:rsidRPr="00BF0050" w:rsidRDefault="0019777A" w:rsidP="0019777A">
      <w:pPr>
        <w:spacing w:before="0" w:after="0"/>
        <w:jc w:val="both"/>
        <w:rPr>
          <w:sz w:val="26"/>
          <w:szCs w:val="26"/>
          <w:shd w:val="clear" w:color="auto" w:fill="FFFFFF"/>
        </w:rPr>
      </w:pPr>
      <w:r w:rsidRPr="00BF0050">
        <w:rPr>
          <w:sz w:val="26"/>
          <w:szCs w:val="26"/>
          <w:shd w:val="clear" w:color="auto" w:fill="FFFFFF"/>
        </w:rPr>
        <w:t xml:space="preserve">Оптовая и розничная торговля в условиях сжатия потребительского спроса </w:t>
      </w:r>
      <w:r w:rsidR="009141FD" w:rsidRPr="00BF0050">
        <w:rPr>
          <w:sz w:val="26"/>
          <w:szCs w:val="26"/>
          <w:shd w:val="clear" w:color="auto" w:fill="FFFFFF"/>
        </w:rPr>
        <w:t xml:space="preserve">будет иметь </w:t>
      </w:r>
      <w:r w:rsidRPr="00BF0050">
        <w:rPr>
          <w:sz w:val="26"/>
          <w:szCs w:val="26"/>
          <w:shd w:val="clear" w:color="auto" w:fill="FFFFFF"/>
        </w:rPr>
        <w:t xml:space="preserve">отрицательную динамику </w:t>
      </w:r>
      <w:r w:rsidR="00E44196" w:rsidRPr="00BF0050">
        <w:rPr>
          <w:sz w:val="26"/>
          <w:szCs w:val="26"/>
          <w:shd w:val="clear" w:color="auto" w:fill="FFFFFF"/>
        </w:rPr>
        <w:t>–</w:t>
      </w:r>
      <w:r w:rsidRPr="00BF0050">
        <w:rPr>
          <w:sz w:val="26"/>
          <w:szCs w:val="26"/>
          <w:shd w:val="clear" w:color="auto" w:fill="FFFFFF"/>
        </w:rPr>
        <w:t xml:space="preserve"> </w:t>
      </w:r>
      <w:r w:rsidR="00E44196" w:rsidRPr="00BF0050">
        <w:rPr>
          <w:sz w:val="26"/>
          <w:szCs w:val="26"/>
          <w:shd w:val="clear" w:color="auto" w:fill="FFFFFF"/>
        </w:rPr>
        <w:t>п</w:t>
      </w:r>
      <w:r w:rsidRPr="00BF0050">
        <w:rPr>
          <w:sz w:val="26"/>
          <w:szCs w:val="26"/>
          <w:shd w:val="clear" w:color="auto" w:fill="FFFFFF"/>
        </w:rPr>
        <w:t xml:space="preserve">роизводство добавленной стоимости в отрасли </w:t>
      </w:r>
      <w:r w:rsidR="00BB2D69" w:rsidRPr="00BF0050">
        <w:rPr>
          <w:sz w:val="26"/>
          <w:szCs w:val="26"/>
          <w:shd w:val="clear" w:color="auto" w:fill="FFFFFF"/>
        </w:rPr>
        <w:t xml:space="preserve">              </w:t>
      </w:r>
      <w:r w:rsidRPr="00BF0050">
        <w:rPr>
          <w:sz w:val="26"/>
          <w:szCs w:val="26"/>
          <w:shd w:val="clear" w:color="auto" w:fill="FFFFFF"/>
        </w:rPr>
        <w:t>в 2016 году, на фоне стагнации промышленного производства</w:t>
      </w:r>
      <w:r w:rsidR="00C95BEC" w:rsidRPr="00BF0050">
        <w:rPr>
          <w:sz w:val="26"/>
          <w:szCs w:val="26"/>
          <w:shd w:val="clear" w:color="auto" w:fill="FFFFFF"/>
        </w:rPr>
        <w:t xml:space="preserve"> и</w:t>
      </w:r>
      <w:r w:rsidRPr="00BF0050">
        <w:rPr>
          <w:sz w:val="26"/>
          <w:szCs w:val="26"/>
          <w:shd w:val="clear" w:color="auto" w:fill="FFFFFF"/>
        </w:rPr>
        <w:t xml:space="preserve"> </w:t>
      </w:r>
      <w:r w:rsidR="00C95BEC" w:rsidRPr="00BF0050">
        <w:rPr>
          <w:sz w:val="26"/>
          <w:szCs w:val="26"/>
          <w:shd w:val="clear" w:color="auto" w:fill="FFFFFF"/>
        </w:rPr>
        <w:t>почти</w:t>
      </w:r>
      <w:r w:rsidRPr="00BF0050">
        <w:rPr>
          <w:sz w:val="26"/>
          <w:szCs w:val="26"/>
          <w:shd w:val="clear" w:color="auto" w:fill="FFFFFF"/>
        </w:rPr>
        <w:t xml:space="preserve"> </w:t>
      </w:r>
      <w:r w:rsidR="00B100F7" w:rsidRPr="00BF0050">
        <w:rPr>
          <w:sz w:val="26"/>
          <w:szCs w:val="26"/>
          <w:shd w:val="clear" w:color="auto" w:fill="FFFFFF"/>
        </w:rPr>
        <w:t>3</w:t>
      </w:r>
      <w:r w:rsidRPr="00BF0050">
        <w:rPr>
          <w:sz w:val="26"/>
          <w:szCs w:val="26"/>
          <w:shd w:val="clear" w:color="auto" w:fill="FFFFFF"/>
        </w:rPr>
        <w:t>-</w:t>
      </w:r>
      <w:r w:rsidR="00862985" w:rsidRPr="00BF0050">
        <w:rPr>
          <w:sz w:val="26"/>
          <w:szCs w:val="26"/>
          <w:shd w:val="clear" w:color="auto" w:fill="FFFFFF"/>
        </w:rPr>
        <w:t>процент</w:t>
      </w:r>
      <w:r w:rsidRPr="00BF0050">
        <w:rPr>
          <w:sz w:val="26"/>
          <w:szCs w:val="26"/>
          <w:shd w:val="clear" w:color="auto" w:fill="FFFFFF"/>
        </w:rPr>
        <w:t>ного падения реальных располагаемых доходов населения, сократится на 2,</w:t>
      </w:r>
      <w:r w:rsidR="00B100F7" w:rsidRPr="00BF0050">
        <w:rPr>
          <w:sz w:val="26"/>
          <w:szCs w:val="26"/>
          <w:shd w:val="clear" w:color="auto" w:fill="FFFFFF"/>
        </w:rPr>
        <w:t xml:space="preserve">3 </w:t>
      </w:r>
      <w:r w:rsidRPr="00BF0050">
        <w:rPr>
          <w:sz w:val="26"/>
          <w:szCs w:val="26"/>
          <w:shd w:val="clear" w:color="auto" w:fill="FFFFFF"/>
        </w:rPr>
        <w:t>процента.</w:t>
      </w:r>
    </w:p>
    <w:p w:rsidR="0019777A" w:rsidRPr="00BF0050" w:rsidRDefault="0019777A" w:rsidP="00744601">
      <w:pPr>
        <w:spacing w:before="0" w:after="0"/>
        <w:jc w:val="both"/>
        <w:rPr>
          <w:sz w:val="26"/>
          <w:szCs w:val="26"/>
          <w:shd w:val="clear" w:color="auto" w:fill="FFFFFF"/>
        </w:rPr>
      </w:pPr>
      <w:r w:rsidRPr="00BF0050">
        <w:rPr>
          <w:sz w:val="26"/>
          <w:szCs w:val="26"/>
          <w:shd w:val="clear" w:color="auto" w:fill="FFFFFF"/>
        </w:rPr>
        <w:t xml:space="preserve">Динамику валовой добавленной стоимости транспорта и связи (рост на 1,7 %) будут определять </w:t>
      </w:r>
      <w:r w:rsidR="001A1E84" w:rsidRPr="00BF0050">
        <w:rPr>
          <w:sz w:val="26"/>
          <w:szCs w:val="26"/>
          <w:shd w:val="clear" w:color="auto" w:fill="FFFFFF"/>
        </w:rPr>
        <w:t xml:space="preserve">слабая отрицательная </w:t>
      </w:r>
      <w:r w:rsidRPr="00BF0050">
        <w:rPr>
          <w:sz w:val="26"/>
          <w:szCs w:val="26"/>
          <w:shd w:val="clear" w:color="auto" w:fill="FFFFFF"/>
        </w:rPr>
        <w:t xml:space="preserve">динамика промышленного производства </w:t>
      </w:r>
      <w:r w:rsidR="00665F81" w:rsidRPr="00BF0050">
        <w:rPr>
          <w:sz w:val="26"/>
          <w:szCs w:val="26"/>
          <w:shd w:val="clear" w:color="auto" w:fill="FFFFFF"/>
        </w:rPr>
        <w:lastRenderedPageBreak/>
        <w:t>и</w:t>
      </w:r>
      <w:r w:rsidR="00744601" w:rsidRPr="00BF0050">
        <w:rPr>
          <w:sz w:val="26"/>
          <w:szCs w:val="26"/>
          <w:shd w:val="clear" w:color="auto" w:fill="FFFFFF"/>
        </w:rPr>
        <w:t xml:space="preserve"> </w:t>
      </w:r>
      <w:r w:rsidR="00665F81" w:rsidRPr="00BF0050">
        <w:rPr>
          <w:sz w:val="26"/>
          <w:szCs w:val="26"/>
          <w:shd w:val="clear" w:color="auto" w:fill="FFFFFF"/>
        </w:rPr>
        <w:t> </w:t>
      </w:r>
      <w:r w:rsidRPr="00BF0050">
        <w:rPr>
          <w:sz w:val="26"/>
          <w:szCs w:val="26"/>
          <w:shd w:val="clear" w:color="auto" w:fill="FFFFFF"/>
        </w:rPr>
        <w:t xml:space="preserve">расширение экспортных поставок энергоносителей, формирующие потребность </w:t>
      </w:r>
      <w:r w:rsidR="00665F81" w:rsidRPr="00BF0050">
        <w:rPr>
          <w:sz w:val="26"/>
          <w:szCs w:val="26"/>
          <w:shd w:val="clear" w:color="auto" w:fill="FFFFFF"/>
        </w:rPr>
        <w:t>в </w:t>
      </w:r>
      <w:r w:rsidRPr="00BF0050">
        <w:rPr>
          <w:sz w:val="26"/>
          <w:szCs w:val="26"/>
          <w:shd w:val="clear" w:color="auto" w:fill="FFFFFF"/>
        </w:rPr>
        <w:t>перевозках.</w:t>
      </w:r>
    </w:p>
    <w:p w:rsidR="0019777A" w:rsidRPr="00BF0050" w:rsidRDefault="0019777A" w:rsidP="0019777A">
      <w:pPr>
        <w:widowControl w:val="0"/>
        <w:spacing w:before="0" w:after="0"/>
        <w:jc w:val="both"/>
        <w:rPr>
          <w:sz w:val="26"/>
          <w:szCs w:val="26"/>
        </w:rPr>
      </w:pPr>
      <w:r w:rsidRPr="00BF0050">
        <w:rPr>
          <w:sz w:val="26"/>
          <w:szCs w:val="26"/>
        </w:rPr>
        <w:t xml:space="preserve">Динамику чистых налогов на продукты и импорт в 2016 году определят снижение налогооблагаемой базы в результате стагнации внутреннего производства, сокращение объема импортных поставок и снижение среднегодового уровня мировых цен на нефть. Масштаб ослабления номинального обменного курса рубля не компенсирует отрицательных последствий ухудшения внешней ценовой конъюнктуры и сокращения внутреннего спроса. </w:t>
      </w:r>
    </w:p>
    <w:p w:rsidR="00BF6B36" w:rsidRPr="00BF0050" w:rsidRDefault="00BF6B36" w:rsidP="00BF6B36">
      <w:pPr>
        <w:spacing w:before="240" w:after="0" w:line="240" w:lineRule="auto"/>
        <w:ind w:left="284" w:firstLine="567"/>
        <w:jc w:val="center"/>
        <w:rPr>
          <w:b/>
          <w:sz w:val="26"/>
          <w:szCs w:val="26"/>
        </w:rPr>
      </w:pPr>
      <w:r w:rsidRPr="00BF0050">
        <w:rPr>
          <w:b/>
          <w:sz w:val="26"/>
          <w:szCs w:val="26"/>
        </w:rPr>
        <w:t xml:space="preserve">Производство ВВП и валовой добавленной стоимости    </w:t>
      </w:r>
    </w:p>
    <w:p w:rsidR="00BF6B36" w:rsidRPr="00BF0050" w:rsidRDefault="00BF6B36" w:rsidP="0019777A">
      <w:pPr>
        <w:spacing w:before="0"/>
        <w:ind w:left="284" w:firstLine="567"/>
        <w:jc w:val="center"/>
        <w:rPr>
          <w:b/>
          <w:sz w:val="26"/>
          <w:szCs w:val="26"/>
        </w:rPr>
      </w:pPr>
      <w:r w:rsidRPr="00BF0050">
        <w:rPr>
          <w:b/>
          <w:sz w:val="26"/>
          <w:szCs w:val="26"/>
        </w:rPr>
        <w:t xml:space="preserve">по видам экономической деятельности </w:t>
      </w:r>
    </w:p>
    <w:tbl>
      <w:tblPr>
        <w:tblW w:w="9935" w:type="dxa"/>
        <w:jc w:val="center"/>
        <w:tblLayout w:type="fixed"/>
        <w:tblCellMar>
          <w:left w:w="30" w:type="dxa"/>
          <w:right w:w="30" w:type="dxa"/>
        </w:tblCellMar>
        <w:tblLook w:val="0000" w:firstRow="0" w:lastRow="0" w:firstColumn="0" w:lastColumn="0" w:noHBand="0" w:noVBand="0"/>
      </w:tblPr>
      <w:tblGrid>
        <w:gridCol w:w="5007"/>
        <w:gridCol w:w="942"/>
        <w:gridCol w:w="50"/>
        <w:gridCol w:w="33"/>
        <w:gridCol w:w="1051"/>
        <w:gridCol w:w="28"/>
        <w:gridCol w:w="964"/>
        <w:gridCol w:w="28"/>
        <w:gridCol w:w="822"/>
        <w:gridCol w:w="28"/>
        <w:gridCol w:w="965"/>
        <w:gridCol w:w="17"/>
      </w:tblGrid>
      <w:tr w:rsidR="00BF6B36" w:rsidRPr="00BF0050" w:rsidTr="003D242E">
        <w:trPr>
          <w:trHeight w:val="281"/>
          <w:tblHeader/>
          <w:jc w:val="center"/>
        </w:trPr>
        <w:tc>
          <w:tcPr>
            <w:tcW w:w="5007" w:type="dxa"/>
            <w:tcBorders>
              <w:top w:val="single" w:sz="4" w:space="0" w:color="auto"/>
              <w:left w:val="single" w:sz="4" w:space="0" w:color="auto"/>
              <w:bottom w:val="single" w:sz="4" w:space="0" w:color="auto"/>
              <w:right w:val="single" w:sz="4" w:space="0" w:color="auto"/>
            </w:tcBorders>
            <w:shd w:val="solid" w:color="FFFFFF" w:fill="auto"/>
            <w:vAlign w:val="center"/>
          </w:tcPr>
          <w:p w:rsidR="00BF6B36" w:rsidRPr="00BF0050" w:rsidRDefault="00BF6B36" w:rsidP="003D242E">
            <w:pPr>
              <w:spacing w:before="60" w:after="60" w:line="240" w:lineRule="auto"/>
              <w:ind w:firstLine="0"/>
              <w:jc w:val="center"/>
              <w:rPr>
                <w:snapToGrid w:val="0"/>
                <w:sz w:val="22"/>
                <w:szCs w:val="22"/>
              </w:rPr>
            </w:pPr>
          </w:p>
        </w:tc>
        <w:tc>
          <w:tcPr>
            <w:tcW w:w="992" w:type="dxa"/>
            <w:gridSpan w:val="2"/>
            <w:tcBorders>
              <w:top w:val="single" w:sz="4" w:space="0" w:color="auto"/>
              <w:bottom w:val="single" w:sz="4" w:space="0" w:color="auto"/>
              <w:right w:val="single" w:sz="6" w:space="0" w:color="auto"/>
            </w:tcBorders>
            <w:shd w:val="solid" w:color="FFFFFF" w:fill="auto"/>
            <w:vAlign w:val="center"/>
          </w:tcPr>
          <w:p w:rsidR="00BF6B36" w:rsidRPr="00BF0050" w:rsidRDefault="00BF6B36" w:rsidP="003D242E">
            <w:pPr>
              <w:spacing w:before="60" w:after="60" w:line="240" w:lineRule="auto"/>
              <w:ind w:firstLine="0"/>
              <w:jc w:val="center"/>
              <w:rPr>
                <w:snapToGrid w:val="0"/>
                <w:sz w:val="22"/>
                <w:szCs w:val="22"/>
              </w:rPr>
            </w:pPr>
            <w:r w:rsidRPr="00BF0050">
              <w:rPr>
                <w:snapToGrid w:val="0"/>
                <w:sz w:val="22"/>
                <w:szCs w:val="22"/>
              </w:rPr>
              <w:t>2015 г.</w:t>
            </w:r>
          </w:p>
        </w:tc>
        <w:tc>
          <w:tcPr>
            <w:tcW w:w="1112" w:type="dxa"/>
            <w:gridSpan w:val="3"/>
            <w:tcBorders>
              <w:top w:val="single" w:sz="4" w:space="0" w:color="auto"/>
              <w:bottom w:val="single" w:sz="4" w:space="0" w:color="auto"/>
              <w:right w:val="single" w:sz="6" w:space="0" w:color="auto"/>
            </w:tcBorders>
            <w:shd w:val="solid" w:color="FFFFFF" w:fill="auto"/>
            <w:vAlign w:val="center"/>
          </w:tcPr>
          <w:p w:rsidR="00BF6B36" w:rsidRPr="00BF0050" w:rsidRDefault="00BF6B36" w:rsidP="003D242E">
            <w:pPr>
              <w:spacing w:before="60" w:after="60" w:line="240" w:lineRule="auto"/>
              <w:ind w:firstLine="0"/>
              <w:jc w:val="center"/>
              <w:rPr>
                <w:snapToGrid w:val="0"/>
                <w:sz w:val="22"/>
                <w:szCs w:val="22"/>
              </w:rPr>
            </w:pPr>
            <w:r w:rsidRPr="00BF0050">
              <w:rPr>
                <w:snapToGrid w:val="0"/>
                <w:sz w:val="22"/>
                <w:szCs w:val="22"/>
              </w:rPr>
              <w:t>2016 г.</w:t>
            </w:r>
          </w:p>
        </w:tc>
        <w:tc>
          <w:tcPr>
            <w:tcW w:w="992" w:type="dxa"/>
            <w:gridSpan w:val="2"/>
            <w:tcBorders>
              <w:top w:val="single" w:sz="4" w:space="0" w:color="auto"/>
              <w:bottom w:val="single" w:sz="4" w:space="0" w:color="auto"/>
              <w:right w:val="single" w:sz="6" w:space="0" w:color="auto"/>
            </w:tcBorders>
            <w:shd w:val="solid" w:color="FFFFFF" w:fill="auto"/>
            <w:vAlign w:val="center"/>
          </w:tcPr>
          <w:p w:rsidR="00BF6B36" w:rsidRPr="00BF0050" w:rsidRDefault="00BF6B36" w:rsidP="003D242E">
            <w:pPr>
              <w:spacing w:before="60" w:after="60" w:line="240" w:lineRule="auto"/>
              <w:ind w:firstLine="0"/>
              <w:jc w:val="center"/>
              <w:rPr>
                <w:snapToGrid w:val="0"/>
                <w:sz w:val="22"/>
                <w:szCs w:val="22"/>
              </w:rPr>
            </w:pPr>
            <w:r w:rsidRPr="00BF0050">
              <w:rPr>
                <w:snapToGrid w:val="0"/>
                <w:sz w:val="22"/>
                <w:szCs w:val="22"/>
              </w:rPr>
              <w:t>2017 г.</w:t>
            </w:r>
          </w:p>
        </w:tc>
        <w:tc>
          <w:tcPr>
            <w:tcW w:w="850" w:type="dxa"/>
            <w:gridSpan w:val="2"/>
            <w:tcBorders>
              <w:top w:val="single" w:sz="4" w:space="0" w:color="auto"/>
              <w:bottom w:val="single" w:sz="4" w:space="0" w:color="auto"/>
              <w:right w:val="single" w:sz="4" w:space="0" w:color="auto"/>
            </w:tcBorders>
            <w:shd w:val="solid" w:color="FFFFFF" w:fill="auto"/>
            <w:vAlign w:val="center"/>
          </w:tcPr>
          <w:p w:rsidR="00BF6B36" w:rsidRPr="00BF0050" w:rsidRDefault="00BF6B36" w:rsidP="003D242E">
            <w:pPr>
              <w:spacing w:before="60" w:after="60" w:line="240" w:lineRule="auto"/>
              <w:ind w:firstLine="0"/>
              <w:jc w:val="center"/>
              <w:rPr>
                <w:snapToGrid w:val="0"/>
                <w:sz w:val="22"/>
                <w:szCs w:val="22"/>
              </w:rPr>
            </w:pPr>
            <w:r w:rsidRPr="00BF0050">
              <w:rPr>
                <w:snapToGrid w:val="0"/>
                <w:sz w:val="22"/>
                <w:szCs w:val="22"/>
              </w:rPr>
              <w:t>2018 г.</w:t>
            </w:r>
          </w:p>
        </w:tc>
        <w:tc>
          <w:tcPr>
            <w:tcW w:w="982" w:type="dxa"/>
            <w:gridSpan w:val="2"/>
            <w:tcBorders>
              <w:top w:val="single" w:sz="4" w:space="0" w:color="auto"/>
              <w:bottom w:val="single" w:sz="4" w:space="0" w:color="auto"/>
              <w:right w:val="single" w:sz="4" w:space="0" w:color="auto"/>
            </w:tcBorders>
            <w:shd w:val="solid" w:color="FFFFFF" w:fill="auto"/>
            <w:vAlign w:val="center"/>
          </w:tcPr>
          <w:p w:rsidR="00BF6B36" w:rsidRPr="00BF0050" w:rsidRDefault="00BF6B36" w:rsidP="003D242E">
            <w:pPr>
              <w:spacing w:before="60" w:after="60" w:line="240" w:lineRule="auto"/>
              <w:ind w:firstLine="0"/>
              <w:jc w:val="center"/>
              <w:rPr>
                <w:snapToGrid w:val="0"/>
                <w:sz w:val="22"/>
                <w:szCs w:val="22"/>
              </w:rPr>
            </w:pPr>
            <w:r w:rsidRPr="00BF0050">
              <w:rPr>
                <w:snapToGrid w:val="0"/>
                <w:sz w:val="22"/>
                <w:szCs w:val="22"/>
              </w:rPr>
              <w:t>2019г.</w:t>
            </w:r>
          </w:p>
        </w:tc>
      </w:tr>
      <w:tr w:rsidR="00BF6B36" w:rsidRPr="00BF0050" w:rsidTr="003D242E">
        <w:trPr>
          <w:trHeight w:val="281"/>
          <w:jc w:val="center"/>
        </w:trPr>
        <w:tc>
          <w:tcPr>
            <w:tcW w:w="9935" w:type="dxa"/>
            <w:gridSpan w:val="12"/>
            <w:tcBorders>
              <w:left w:val="single" w:sz="4" w:space="0" w:color="auto"/>
              <w:bottom w:val="single" w:sz="4" w:space="0" w:color="auto"/>
              <w:right w:val="single" w:sz="4" w:space="0" w:color="auto"/>
            </w:tcBorders>
            <w:shd w:val="solid" w:color="FFFFFF" w:fill="auto"/>
            <w:vAlign w:val="center"/>
          </w:tcPr>
          <w:p w:rsidR="00BF6B36" w:rsidRPr="00BF0050" w:rsidRDefault="00BF6B36" w:rsidP="003D242E">
            <w:pPr>
              <w:spacing w:before="60" w:after="60" w:line="240" w:lineRule="auto"/>
              <w:ind w:firstLine="0"/>
              <w:jc w:val="center"/>
              <w:rPr>
                <w:b/>
                <w:sz w:val="22"/>
                <w:szCs w:val="22"/>
              </w:rPr>
            </w:pPr>
            <w:r w:rsidRPr="00BF0050">
              <w:rPr>
                <w:b/>
                <w:sz w:val="22"/>
                <w:szCs w:val="22"/>
              </w:rPr>
              <w:t xml:space="preserve">Динамика, </w:t>
            </w:r>
            <w:proofErr w:type="gramStart"/>
            <w:r w:rsidRPr="00BF0050">
              <w:rPr>
                <w:b/>
                <w:sz w:val="22"/>
                <w:szCs w:val="22"/>
              </w:rPr>
              <w:t>в</w:t>
            </w:r>
            <w:proofErr w:type="gramEnd"/>
            <w:r w:rsidRPr="00BF0050">
              <w:rPr>
                <w:b/>
                <w:sz w:val="22"/>
                <w:szCs w:val="22"/>
              </w:rPr>
              <w:t xml:space="preserve"> % </w:t>
            </w:r>
            <w:proofErr w:type="gramStart"/>
            <w:r w:rsidRPr="00BF0050">
              <w:rPr>
                <w:b/>
                <w:sz w:val="22"/>
                <w:szCs w:val="22"/>
              </w:rPr>
              <w:t>к</w:t>
            </w:r>
            <w:proofErr w:type="gramEnd"/>
            <w:r w:rsidRPr="00BF0050">
              <w:rPr>
                <w:b/>
                <w:sz w:val="22"/>
                <w:szCs w:val="22"/>
              </w:rPr>
              <w:t xml:space="preserve"> предыдущему году</w:t>
            </w:r>
          </w:p>
        </w:tc>
      </w:tr>
      <w:tr w:rsidR="00B100F7" w:rsidRPr="00BF0050" w:rsidTr="00744601">
        <w:trPr>
          <w:trHeight w:val="200"/>
          <w:jc w:val="center"/>
        </w:trPr>
        <w:tc>
          <w:tcPr>
            <w:tcW w:w="5007" w:type="dxa"/>
            <w:tcBorders>
              <w:top w:val="single" w:sz="4" w:space="0" w:color="auto"/>
              <w:left w:val="single" w:sz="4" w:space="0" w:color="auto"/>
              <w:right w:val="single" w:sz="4" w:space="0" w:color="auto"/>
            </w:tcBorders>
            <w:shd w:val="solid" w:color="FFFFFF" w:fill="auto"/>
            <w:vAlign w:val="bottom"/>
          </w:tcPr>
          <w:p w:rsidR="00B100F7" w:rsidRPr="00BF0050" w:rsidRDefault="00B100F7" w:rsidP="0019777A">
            <w:pPr>
              <w:spacing w:after="60" w:line="240" w:lineRule="auto"/>
              <w:ind w:left="57" w:firstLine="0"/>
              <w:rPr>
                <w:b/>
                <w:sz w:val="22"/>
                <w:szCs w:val="22"/>
              </w:rPr>
            </w:pPr>
            <w:r w:rsidRPr="00BF0050">
              <w:rPr>
                <w:b/>
                <w:sz w:val="22"/>
                <w:szCs w:val="22"/>
              </w:rPr>
              <w:t>Валовой внутренний продукт</w:t>
            </w:r>
          </w:p>
        </w:tc>
        <w:tc>
          <w:tcPr>
            <w:tcW w:w="1025" w:type="dxa"/>
            <w:gridSpan w:val="3"/>
            <w:tcBorders>
              <w:top w:val="single" w:sz="4" w:space="0" w:color="auto"/>
            </w:tcBorders>
            <w:vAlign w:val="center"/>
          </w:tcPr>
          <w:p w:rsidR="00B100F7" w:rsidRPr="00BF0050" w:rsidRDefault="00B100F7" w:rsidP="0019777A">
            <w:pPr>
              <w:spacing w:after="60" w:line="240" w:lineRule="auto"/>
              <w:ind w:left="57" w:firstLine="0"/>
              <w:jc w:val="center"/>
              <w:rPr>
                <w:b/>
                <w:snapToGrid w:val="0"/>
              </w:rPr>
            </w:pPr>
            <w:r w:rsidRPr="00BF0050">
              <w:rPr>
                <w:b/>
                <w:snapToGrid w:val="0"/>
              </w:rPr>
              <w:t>-3,7</w:t>
            </w:r>
          </w:p>
        </w:tc>
        <w:tc>
          <w:tcPr>
            <w:tcW w:w="1079" w:type="dxa"/>
            <w:gridSpan w:val="2"/>
            <w:tcBorders>
              <w:top w:val="single" w:sz="4" w:space="0" w:color="auto"/>
            </w:tcBorders>
            <w:vAlign w:val="center"/>
          </w:tcPr>
          <w:p w:rsidR="00B100F7" w:rsidRPr="00BF0050" w:rsidRDefault="00B100F7" w:rsidP="0019777A">
            <w:pPr>
              <w:spacing w:after="60" w:line="240" w:lineRule="auto"/>
              <w:ind w:left="57" w:firstLine="0"/>
              <w:jc w:val="center"/>
              <w:rPr>
                <w:b/>
                <w:snapToGrid w:val="0"/>
              </w:rPr>
            </w:pPr>
            <w:r w:rsidRPr="00BF0050">
              <w:rPr>
                <w:b/>
                <w:snapToGrid w:val="0"/>
              </w:rPr>
              <w:t xml:space="preserve">-0,2 </w:t>
            </w:r>
          </w:p>
        </w:tc>
        <w:tc>
          <w:tcPr>
            <w:tcW w:w="992" w:type="dxa"/>
            <w:gridSpan w:val="2"/>
            <w:tcBorders>
              <w:top w:val="single" w:sz="4" w:space="0" w:color="auto"/>
            </w:tcBorders>
            <w:vAlign w:val="center"/>
          </w:tcPr>
          <w:p w:rsidR="00B100F7" w:rsidRPr="00BF0050" w:rsidRDefault="003F45F6" w:rsidP="0019777A">
            <w:pPr>
              <w:spacing w:after="60" w:line="240" w:lineRule="auto"/>
              <w:ind w:left="57" w:firstLine="0"/>
              <w:jc w:val="center"/>
              <w:rPr>
                <w:b/>
                <w:snapToGrid w:val="0"/>
              </w:rPr>
            </w:pPr>
            <w:r w:rsidRPr="00BF0050">
              <w:rPr>
                <w:b/>
                <w:snapToGrid w:val="0"/>
              </w:rPr>
              <w:t>0</w:t>
            </w:r>
            <w:r w:rsidR="00B100F7" w:rsidRPr="00BF0050">
              <w:rPr>
                <w:b/>
                <w:snapToGrid w:val="0"/>
              </w:rPr>
              <w:t xml:space="preserve">,8 </w:t>
            </w:r>
          </w:p>
        </w:tc>
        <w:tc>
          <w:tcPr>
            <w:tcW w:w="850" w:type="dxa"/>
            <w:gridSpan w:val="2"/>
            <w:tcBorders>
              <w:top w:val="single" w:sz="4" w:space="0" w:color="auto"/>
            </w:tcBorders>
            <w:shd w:val="clear" w:color="C0C0C0" w:fill="auto"/>
            <w:vAlign w:val="center"/>
          </w:tcPr>
          <w:p w:rsidR="00B100F7" w:rsidRPr="00BF0050" w:rsidRDefault="00B100F7" w:rsidP="0019777A">
            <w:pPr>
              <w:spacing w:after="60" w:line="240" w:lineRule="auto"/>
              <w:ind w:left="57" w:firstLine="0"/>
              <w:jc w:val="center"/>
              <w:rPr>
                <w:b/>
                <w:snapToGrid w:val="0"/>
              </w:rPr>
            </w:pPr>
            <w:r w:rsidRPr="00BF0050">
              <w:rPr>
                <w:b/>
                <w:snapToGrid w:val="0"/>
              </w:rPr>
              <w:t xml:space="preserve">1,8 </w:t>
            </w:r>
          </w:p>
        </w:tc>
        <w:tc>
          <w:tcPr>
            <w:tcW w:w="982" w:type="dxa"/>
            <w:gridSpan w:val="2"/>
            <w:tcBorders>
              <w:top w:val="single" w:sz="4" w:space="0" w:color="auto"/>
              <w:left w:val="nil"/>
              <w:right w:val="single" w:sz="4" w:space="0" w:color="auto"/>
            </w:tcBorders>
            <w:shd w:val="clear" w:color="C0C0C0" w:fill="auto"/>
            <w:vAlign w:val="center"/>
          </w:tcPr>
          <w:p w:rsidR="00B100F7" w:rsidRPr="00BF0050" w:rsidRDefault="00B100F7" w:rsidP="0019777A">
            <w:pPr>
              <w:spacing w:after="60" w:line="240" w:lineRule="auto"/>
              <w:ind w:left="57" w:firstLine="0"/>
              <w:jc w:val="center"/>
              <w:rPr>
                <w:b/>
                <w:snapToGrid w:val="0"/>
              </w:rPr>
            </w:pPr>
            <w:r w:rsidRPr="00BF0050">
              <w:rPr>
                <w:b/>
                <w:snapToGrid w:val="0"/>
              </w:rPr>
              <w:t xml:space="preserve">2,2 </w:t>
            </w:r>
          </w:p>
        </w:tc>
      </w:tr>
      <w:tr w:rsidR="00B100F7" w:rsidRPr="00BF0050" w:rsidTr="00744601">
        <w:trPr>
          <w:trHeight w:val="229"/>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0" w:after="0" w:line="240" w:lineRule="auto"/>
              <w:ind w:left="57" w:firstLine="0"/>
              <w:rPr>
                <w:sz w:val="22"/>
                <w:szCs w:val="22"/>
              </w:rPr>
            </w:pPr>
            <w:r w:rsidRPr="00BF0050">
              <w:rPr>
                <w:sz w:val="22"/>
                <w:szCs w:val="22"/>
              </w:rPr>
              <w:t xml:space="preserve">    в том числе:</w:t>
            </w:r>
          </w:p>
        </w:tc>
        <w:tc>
          <w:tcPr>
            <w:tcW w:w="1025" w:type="dxa"/>
            <w:gridSpan w:val="3"/>
            <w:vAlign w:val="center"/>
          </w:tcPr>
          <w:p w:rsidR="00B100F7" w:rsidRPr="00BF0050" w:rsidRDefault="00B100F7" w:rsidP="003D242E">
            <w:pPr>
              <w:spacing w:before="0" w:after="0" w:line="240" w:lineRule="auto"/>
              <w:ind w:left="57" w:firstLine="0"/>
              <w:rPr>
                <w:snapToGrid w:val="0"/>
              </w:rPr>
            </w:pPr>
          </w:p>
        </w:tc>
        <w:tc>
          <w:tcPr>
            <w:tcW w:w="1079" w:type="dxa"/>
            <w:gridSpan w:val="2"/>
            <w:vAlign w:val="center"/>
          </w:tcPr>
          <w:p w:rsidR="00B100F7" w:rsidRPr="00BF0050" w:rsidRDefault="00B100F7" w:rsidP="003D242E">
            <w:pPr>
              <w:spacing w:before="0" w:after="0" w:line="240" w:lineRule="auto"/>
              <w:ind w:left="57" w:firstLine="0"/>
              <w:rPr>
                <w:snapToGrid w:val="0"/>
              </w:rPr>
            </w:pPr>
          </w:p>
        </w:tc>
        <w:tc>
          <w:tcPr>
            <w:tcW w:w="992" w:type="dxa"/>
            <w:gridSpan w:val="2"/>
            <w:vAlign w:val="center"/>
          </w:tcPr>
          <w:p w:rsidR="00B100F7" w:rsidRPr="00BF0050" w:rsidRDefault="00B100F7" w:rsidP="003D242E">
            <w:pPr>
              <w:spacing w:before="0" w:after="0" w:line="240" w:lineRule="auto"/>
              <w:ind w:left="57" w:firstLine="0"/>
              <w:rPr>
                <w:snapToGrid w:val="0"/>
              </w:rPr>
            </w:pPr>
          </w:p>
        </w:tc>
        <w:tc>
          <w:tcPr>
            <w:tcW w:w="850" w:type="dxa"/>
            <w:gridSpan w:val="2"/>
            <w:shd w:val="clear" w:color="C0C0C0" w:fill="auto"/>
            <w:vAlign w:val="center"/>
          </w:tcPr>
          <w:p w:rsidR="00B100F7" w:rsidRPr="00BF0050" w:rsidRDefault="00B100F7" w:rsidP="003D242E">
            <w:pPr>
              <w:spacing w:before="0" w:after="0" w:line="240" w:lineRule="auto"/>
              <w:ind w:left="57" w:firstLine="0"/>
              <w:rPr>
                <w:snapToGrid w:val="0"/>
              </w:rPr>
            </w:pPr>
          </w:p>
        </w:tc>
        <w:tc>
          <w:tcPr>
            <w:tcW w:w="982" w:type="dxa"/>
            <w:gridSpan w:val="2"/>
            <w:tcBorders>
              <w:left w:val="nil"/>
              <w:right w:val="single" w:sz="4" w:space="0" w:color="auto"/>
            </w:tcBorders>
            <w:shd w:val="clear" w:color="C0C0C0" w:fill="auto"/>
            <w:vAlign w:val="center"/>
          </w:tcPr>
          <w:p w:rsidR="00B100F7" w:rsidRPr="00BF0050" w:rsidRDefault="00B100F7" w:rsidP="003D242E">
            <w:pPr>
              <w:spacing w:before="0" w:after="0" w:line="240" w:lineRule="auto"/>
              <w:ind w:left="57" w:firstLine="0"/>
              <w:rPr>
                <w:snapToGrid w:val="0"/>
              </w:rPr>
            </w:pPr>
          </w:p>
        </w:tc>
      </w:tr>
      <w:tr w:rsidR="00B100F7" w:rsidRPr="00BF0050" w:rsidTr="00744601">
        <w:trPr>
          <w:trHeight w:val="18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napToGrid w:val="0"/>
                <w:sz w:val="22"/>
                <w:szCs w:val="22"/>
              </w:rPr>
              <w:t xml:space="preserve">        </w:t>
            </w:r>
            <w:r w:rsidRPr="00BF0050">
              <w:rPr>
                <w:sz w:val="22"/>
                <w:szCs w:val="22"/>
              </w:rPr>
              <w:t>Сельское хозяйство, охота и лесное хозяйство</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3,1 </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1,1 </w:t>
            </w:r>
          </w:p>
        </w:tc>
        <w:tc>
          <w:tcPr>
            <w:tcW w:w="992" w:type="dxa"/>
            <w:gridSpan w:val="2"/>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1,3 </w:t>
            </w:r>
          </w:p>
        </w:tc>
        <w:tc>
          <w:tcPr>
            <w:tcW w:w="850" w:type="dxa"/>
            <w:gridSpan w:val="2"/>
            <w:shd w:val="clear" w:color="C0C0C0"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1,7 </w:t>
            </w:r>
          </w:p>
        </w:tc>
        <w:tc>
          <w:tcPr>
            <w:tcW w:w="982" w:type="dxa"/>
            <w:gridSpan w:val="2"/>
            <w:tcBorders>
              <w:left w:val="nil"/>
              <w:right w:val="single" w:sz="4" w:space="0" w:color="auto"/>
            </w:tcBorders>
            <w:shd w:val="clear" w:color="C0C0C0"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2,0 </w:t>
            </w:r>
          </w:p>
        </w:tc>
      </w:tr>
      <w:tr w:rsidR="00B100F7" w:rsidRPr="00BF0050" w:rsidTr="00744601">
        <w:trPr>
          <w:trHeight w:val="234"/>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i/>
                <w:snapToGrid w:val="0"/>
                <w:sz w:val="22"/>
                <w:szCs w:val="22"/>
              </w:rPr>
            </w:pPr>
            <w:r w:rsidRPr="00BF0050">
              <w:rPr>
                <w:i/>
                <w:sz w:val="22"/>
                <w:szCs w:val="22"/>
              </w:rPr>
              <w:t xml:space="preserve">        Промышленность</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i/>
                <w:snapToGrid w:val="0"/>
                <w:sz w:val="22"/>
                <w:szCs w:val="22"/>
              </w:rPr>
            </w:pPr>
            <w:r w:rsidRPr="00BF0050">
              <w:rPr>
                <w:i/>
                <w:snapToGrid w:val="0"/>
                <w:sz w:val="22"/>
                <w:szCs w:val="22"/>
              </w:rPr>
              <w:t xml:space="preserve">-2,5 </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i/>
                <w:snapToGrid w:val="0"/>
                <w:sz w:val="22"/>
                <w:szCs w:val="22"/>
              </w:rPr>
            </w:pPr>
            <w:r w:rsidRPr="00BF0050">
              <w:rPr>
                <w:i/>
                <w:snapToGrid w:val="0"/>
                <w:sz w:val="22"/>
                <w:szCs w:val="22"/>
              </w:rPr>
              <w:t xml:space="preserve">-0,2 </w:t>
            </w:r>
          </w:p>
        </w:tc>
        <w:tc>
          <w:tcPr>
            <w:tcW w:w="992" w:type="dxa"/>
            <w:gridSpan w:val="2"/>
            <w:shd w:val="solid" w:color="FFFFFF" w:fill="auto"/>
            <w:vAlign w:val="center"/>
          </w:tcPr>
          <w:p w:rsidR="00B100F7" w:rsidRPr="00BF0050" w:rsidRDefault="00B100F7" w:rsidP="003D242E">
            <w:pPr>
              <w:spacing w:before="20" w:after="0" w:line="240" w:lineRule="auto"/>
              <w:ind w:firstLine="0"/>
              <w:jc w:val="center"/>
              <w:rPr>
                <w:i/>
                <w:snapToGrid w:val="0"/>
                <w:sz w:val="22"/>
                <w:szCs w:val="22"/>
              </w:rPr>
            </w:pPr>
            <w:r w:rsidRPr="00BF0050">
              <w:rPr>
                <w:i/>
                <w:snapToGrid w:val="0"/>
                <w:sz w:val="22"/>
                <w:szCs w:val="22"/>
              </w:rPr>
              <w:t xml:space="preserve">0,7 </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i/>
                <w:snapToGrid w:val="0"/>
                <w:sz w:val="22"/>
                <w:szCs w:val="22"/>
              </w:rPr>
            </w:pPr>
            <w:r w:rsidRPr="00BF0050">
              <w:rPr>
                <w:i/>
                <w:snapToGrid w:val="0"/>
                <w:sz w:val="22"/>
                <w:szCs w:val="22"/>
              </w:rPr>
              <w:t xml:space="preserve">1,2 </w:t>
            </w:r>
          </w:p>
        </w:tc>
        <w:tc>
          <w:tcPr>
            <w:tcW w:w="982" w:type="dxa"/>
            <w:gridSpan w:val="2"/>
            <w:tcBorders>
              <w:left w:val="nil"/>
              <w:right w:val="single" w:sz="4" w:space="0" w:color="auto"/>
            </w:tcBorders>
            <w:shd w:val="solid" w:color="FFFFFF" w:fill="auto"/>
            <w:vAlign w:val="center"/>
          </w:tcPr>
          <w:p w:rsidR="00B100F7" w:rsidRPr="00BF0050" w:rsidRDefault="00B100F7" w:rsidP="003D242E">
            <w:pPr>
              <w:spacing w:before="20" w:after="0" w:line="240" w:lineRule="auto"/>
              <w:ind w:firstLine="0"/>
              <w:jc w:val="center"/>
              <w:rPr>
                <w:i/>
                <w:snapToGrid w:val="0"/>
                <w:sz w:val="22"/>
                <w:szCs w:val="22"/>
              </w:rPr>
            </w:pPr>
            <w:r w:rsidRPr="00BF0050">
              <w:rPr>
                <w:i/>
                <w:snapToGrid w:val="0"/>
                <w:sz w:val="22"/>
                <w:szCs w:val="22"/>
              </w:rPr>
              <w:t xml:space="preserve">1,6 </w:t>
            </w:r>
          </w:p>
        </w:tc>
      </w:tr>
      <w:tr w:rsidR="00B100F7" w:rsidRPr="00BF0050" w:rsidTr="00744601">
        <w:trPr>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Добыча полезных ископаемых</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1,1 </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0,2 </w:t>
            </w:r>
          </w:p>
        </w:tc>
        <w:tc>
          <w:tcPr>
            <w:tcW w:w="992"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-0,5 </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-0,3 </w:t>
            </w:r>
          </w:p>
        </w:tc>
        <w:tc>
          <w:tcPr>
            <w:tcW w:w="982" w:type="dxa"/>
            <w:gridSpan w:val="2"/>
            <w:tcBorders>
              <w:left w:val="nil"/>
              <w:right w:val="single" w:sz="4" w:space="0" w:color="auto"/>
            </w:tcBorders>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0,0 </w:t>
            </w:r>
          </w:p>
        </w:tc>
      </w:tr>
      <w:tr w:rsidR="00B100F7" w:rsidRPr="00BF0050" w:rsidTr="00744601">
        <w:trPr>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Обрабатывающие производства</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-5,1</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-0,5  </w:t>
            </w:r>
          </w:p>
        </w:tc>
        <w:tc>
          <w:tcPr>
            <w:tcW w:w="992"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1,5 </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2,1 </w:t>
            </w:r>
          </w:p>
        </w:tc>
        <w:tc>
          <w:tcPr>
            <w:tcW w:w="982" w:type="dxa"/>
            <w:gridSpan w:val="2"/>
            <w:tcBorders>
              <w:left w:val="nil"/>
              <w:right w:val="single" w:sz="4" w:space="0" w:color="auto"/>
            </w:tcBorders>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2,6 </w:t>
            </w:r>
          </w:p>
        </w:tc>
      </w:tr>
      <w:tr w:rsidR="00B100F7" w:rsidRPr="00BF0050" w:rsidTr="00744601">
        <w:trPr>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left="844" w:hanging="844"/>
              <w:rPr>
                <w:snapToGrid w:val="0"/>
                <w:sz w:val="22"/>
                <w:szCs w:val="22"/>
              </w:rPr>
            </w:pPr>
            <w:r w:rsidRPr="00BF0050">
              <w:rPr>
                <w:snapToGrid w:val="0"/>
                <w:sz w:val="22"/>
                <w:szCs w:val="22"/>
              </w:rPr>
              <w:t xml:space="preserve"> </w:t>
            </w:r>
            <w:r w:rsidRPr="00BF0050">
              <w:rPr>
                <w:sz w:val="22"/>
                <w:szCs w:val="22"/>
              </w:rPr>
              <w:t xml:space="preserve">              Производство и распределение электроэнергии, газа и воды</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-1,4</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-0,6</w:t>
            </w:r>
          </w:p>
        </w:tc>
        <w:tc>
          <w:tcPr>
            <w:tcW w:w="992"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0,0</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0,6 </w:t>
            </w:r>
          </w:p>
        </w:tc>
        <w:tc>
          <w:tcPr>
            <w:tcW w:w="982" w:type="dxa"/>
            <w:gridSpan w:val="2"/>
            <w:tcBorders>
              <w:left w:val="nil"/>
              <w:right w:val="single" w:sz="4" w:space="0" w:color="auto"/>
            </w:tcBorders>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0,9</w:t>
            </w:r>
          </w:p>
        </w:tc>
      </w:tr>
      <w:tr w:rsidR="00B100F7" w:rsidRPr="00BF0050" w:rsidTr="00744601">
        <w:trPr>
          <w:trHeight w:val="220"/>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Строительство</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-7,4 </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2,0 </w:t>
            </w:r>
          </w:p>
        </w:tc>
        <w:tc>
          <w:tcPr>
            <w:tcW w:w="992"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0,8 </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4,0 </w:t>
            </w:r>
          </w:p>
        </w:tc>
        <w:tc>
          <w:tcPr>
            <w:tcW w:w="982" w:type="dxa"/>
            <w:gridSpan w:val="2"/>
            <w:tcBorders>
              <w:left w:val="nil"/>
              <w:right w:val="single" w:sz="4" w:space="0" w:color="auto"/>
            </w:tcBorders>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4,0 </w:t>
            </w:r>
          </w:p>
        </w:tc>
      </w:tr>
      <w:tr w:rsidR="00B100F7" w:rsidRPr="00BF0050" w:rsidTr="00744601">
        <w:trPr>
          <w:trHeight w:val="235"/>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z w:val="22"/>
                <w:szCs w:val="22"/>
              </w:rPr>
            </w:pPr>
            <w:r w:rsidRPr="00BF0050">
              <w:rPr>
                <w:snapToGrid w:val="0"/>
                <w:sz w:val="22"/>
                <w:szCs w:val="22"/>
              </w:rPr>
              <w:t xml:space="preserve">        </w:t>
            </w:r>
            <w:r w:rsidRPr="00BF0050">
              <w:rPr>
                <w:sz w:val="22"/>
                <w:szCs w:val="22"/>
              </w:rPr>
              <w:t>Оптовая и розничная торговля; ремонт</w:t>
            </w:r>
          </w:p>
          <w:p w:rsidR="00B100F7" w:rsidRPr="00BF0050" w:rsidRDefault="00B100F7" w:rsidP="003D242E">
            <w:pPr>
              <w:spacing w:before="20" w:after="0" w:line="240" w:lineRule="auto"/>
              <w:ind w:firstLine="0"/>
              <w:rPr>
                <w:sz w:val="22"/>
                <w:szCs w:val="22"/>
              </w:rPr>
            </w:pPr>
            <w:r w:rsidRPr="00BF0050">
              <w:rPr>
                <w:sz w:val="22"/>
                <w:szCs w:val="22"/>
              </w:rPr>
              <w:t xml:space="preserve">        автотранспортных средств, мотоциклов,</w:t>
            </w:r>
          </w:p>
          <w:p w:rsidR="00B100F7" w:rsidRPr="00BF0050" w:rsidRDefault="00B100F7" w:rsidP="003D242E">
            <w:pPr>
              <w:spacing w:before="20" w:after="0" w:line="240" w:lineRule="auto"/>
              <w:ind w:left="419" w:hanging="419"/>
              <w:rPr>
                <w:snapToGrid w:val="0"/>
                <w:sz w:val="22"/>
                <w:szCs w:val="22"/>
              </w:rPr>
            </w:pPr>
            <w:r w:rsidRPr="00BF0050">
              <w:rPr>
                <w:sz w:val="22"/>
                <w:szCs w:val="22"/>
              </w:rPr>
              <w:t xml:space="preserve">        бытовых изделий и предметов личного пользования</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-10,0 </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-2,3 </w:t>
            </w:r>
          </w:p>
        </w:tc>
        <w:tc>
          <w:tcPr>
            <w:tcW w:w="992"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0,7 </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2,1 </w:t>
            </w:r>
          </w:p>
        </w:tc>
        <w:tc>
          <w:tcPr>
            <w:tcW w:w="982" w:type="dxa"/>
            <w:gridSpan w:val="2"/>
            <w:tcBorders>
              <w:left w:val="nil"/>
              <w:right w:val="single" w:sz="4" w:space="0" w:color="auto"/>
            </w:tcBorders>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2,6 </w:t>
            </w:r>
          </w:p>
        </w:tc>
      </w:tr>
      <w:tr w:rsidR="00B100F7" w:rsidRPr="00BF0050" w:rsidTr="00744601">
        <w:trPr>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Транспорт и связь</w:t>
            </w:r>
          </w:p>
        </w:tc>
        <w:tc>
          <w:tcPr>
            <w:tcW w:w="1025"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-1,5 </w:t>
            </w:r>
          </w:p>
        </w:tc>
        <w:tc>
          <w:tcPr>
            <w:tcW w:w="1079"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1,7 </w:t>
            </w:r>
          </w:p>
        </w:tc>
        <w:tc>
          <w:tcPr>
            <w:tcW w:w="992"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2,4 </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3,2 </w:t>
            </w:r>
          </w:p>
        </w:tc>
        <w:tc>
          <w:tcPr>
            <w:tcW w:w="982" w:type="dxa"/>
            <w:gridSpan w:val="2"/>
            <w:tcBorders>
              <w:left w:val="nil"/>
              <w:right w:val="single" w:sz="4" w:space="0" w:color="auto"/>
            </w:tcBorders>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3,9 </w:t>
            </w:r>
          </w:p>
        </w:tc>
      </w:tr>
      <w:tr w:rsidR="00B100F7" w:rsidRPr="00BF0050" w:rsidTr="00744601">
        <w:trPr>
          <w:trHeight w:val="225"/>
          <w:jc w:val="center"/>
        </w:trPr>
        <w:tc>
          <w:tcPr>
            <w:tcW w:w="5007" w:type="dxa"/>
            <w:tcBorders>
              <w:left w:val="single" w:sz="4" w:space="0" w:color="auto"/>
              <w:bottom w:val="single" w:sz="4" w:space="0" w:color="auto"/>
              <w:right w:val="single" w:sz="4" w:space="0" w:color="auto"/>
            </w:tcBorders>
            <w:shd w:val="solid" w:color="FFFFFF" w:fill="auto"/>
            <w:vAlign w:val="bottom"/>
          </w:tcPr>
          <w:p w:rsidR="00B100F7" w:rsidRPr="00BF0050" w:rsidRDefault="00B100F7" w:rsidP="0019777A">
            <w:pPr>
              <w:spacing w:before="20" w:line="240" w:lineRule="auto"/>
              <w:ind w:firstLine="0"/>
              <w:rPr>
                <w:i/>
                <w:snapToGrid w:val="0"/>
                <w:sz w:val="22"/>
                <w:szCs w:val="22"/>
              </w:rPr>
            </w:pPr>
            <w:r w:rsidRPr="00BF0050">
              <w:rPr>
                <w:sz w:val="22"/>
                <w:szCs w:val="22"/>
              </w:rPr>
              <w:t xml:space="preserve">        Чистые налоги на продукты и импорт</w:t>
            </w:r>
          </w:p>
        </w:tc>
        <w:tc>
          <w:tcPr>
            <w:tcW w:w="1025" w:type="dxa"/>
            <w:gridSpan w:val="3"/>
            <w:tcBorders>
              <w:bottom w:val="single" w:sz="4" w:space="0" w:color="auto"/>
            </w:tcBorders>
            <w:shd w:val="solid" w:color="FFFFFF" w:fill="auto"/>
            <w:vAlign w:val="center"/>
          </w:tcPr>
          <w:p w:rsidR="00B100F7" w:rsidRPr="00BF0050" w:rsidRDefault="00B100F7" w:rsidP="0019777A">
            <w:pPr>
              <w:spacing w:before="20" w:line="240" w:lineRule="auto"/>
              <w:ind w:firstLine="0"/>
              <w:jc w:val="center"/>
              <w:rPr>
                <w:snapToGrid w:val="0"/>
                <w:sz w:val="22"/>
                <w:szCs w:val="22"/>
              </w:rPr>
            </w:pPr>
            <w:r w:rsidRPr="00BF0050">
              <w:rPr>
                <w:snapToGrid w:val="0"/>
                <w:sz w:val="22"/>
                <w:szCs w:val="22"/>
              </w:rPr>
              <w:t xml:space="preserve">-6,8 </w:t>
            </w:r>
          </w:p>
        </w:tc>
        <w:tc>
          <w:tcPr>
            <w:tcW w:w="1079" w:type="dxa"/>
            <w:gridSpan w:val="2"/>
            <w:tcBorders>
              <w:bottom w:val="single" w:sz="4" w:space="0" w:color="auto"/>
            </w:tcBorders>
            <w:shd w:val="solid" w:color="FFFFFF" w:fill="auto"/>
            <w:vAlign w:val="center"/>
          </w:tcPr>
          <w:p w:rsidR="00B100F7" w:rsidRPr="00BF0050" w:rsidRDefault="00B100F7" w:rsidP="0019777A">
            <w:pPr>
              <w:spacing w:before="20" w:line="240" w:lineRule="auto"/>
              <w:ind w:firstLine="0"/>
              <w:jc w:val="center"/>
              <w:rPr>
                <w:snapToGrid w:val="0"/>
                <w:sz w:val="22"/>
                <w:szCs w:val="22"/>
              </w:rPr>
            </w:pPr>
            <w:r w:rsidRPr="00BF0050">
              <w:rPr>
                <w:snapToGrid w:val="0"/>
                <w:sz w:val="22"/>
                <w:szCs w:val="22"/>
              </w:rPr>
              <w:t xml:space="preserve">-1,3 </w:t>
            </w:r>
          </w:p>
        </w:tc>
        <w:tc>
          <w:tcPr>
            <w:tcW w:w="992" w:type="dxa"/>
            <w:gridSpan w:val="2"/>
            <w:tcBorders>
              <w:bottom w:val="single" w:sz="4" w:space="0" w:color="auto"/>
            </w:tcBorders>
            <w:shd w:val="solid" w:color="FFFFFF" w:fill="auto"/>
            <w:vAlign w:val="center"/>
          </w:tcPr>
          <w:p w:rsidR="00B100F7" w:rsidRPr="00BF0050" w:rsidRDefault="00B100F7" w:rsidP="0019777A">
            <w:pPr>
              <w:spacing w:before="20" w:line="240" w:lineRule="auto"/>
              <w:ind w:firstLine="0"/>
              <w:jc w:val="center"/>
              <w:rPr>
                <w:snapToGrid w:val="0"/>
                <w:sz w:val="22"/>
                <w:szCs w:val="22"/>
              </w:rPr>
            </w:pPr>
            <w:r w:rsidRPr="00BF0050">
              <w:rPr>
                <w:snapToGrid w:val="0"/>
                <w:sz w:val="22"/>
                <w:szCs w:val="22"/>
              </w:rPr>
              <w:t xml:space="preserve">0,4 </w:t>
            </w:r>
          </w:p>
        </w:tc>
        <w:tc>
          <w:tcPr>
            <w:tcW w:w="850" w:type="dxa"/>
            <w:gridSpan w:val="2"/>
            <w:tcBorders>
              <w:bottom w:val="single" w:sz="4" w:space="0" w:color="auto"/>
            </w:tcBorders>
            <w:shd w:val="clear" w:color="C0C0C0" w:fill="auto"/>
            <w:vAlign w:val="center"/>
          </w:tcPr>
          <w:p w:rsidR="00B100F7" w:rsidRPr="00BF0050" w:rsidRDefault="00B100F7" w:rsidP="0019777A">
            <w:pPr>
              <w:spacing w:before="20" w:line="240" w:lineRule="auto"/>
              <w:ind w:firstLine="0"/>
              <w:jc w:val="center"/>
              <w:rPr>
                <w:snapToGrid w:val="0"/>
                <w:sz w:val="22"/>
                <w:szCs w:val="22"/>
              </w:rPr>
            </w:pPr>
            <w:r w:rsidRPr="00BF0050">
              <w:rPr>
                <w:snapToGrid w:val="0"/>
                <w:sz w:val="22"/>
                <w:szCs w:val="22"/>
              </w:rPr>
              <w:t xml:space="preserve">1,6 </w:t>
            </w:r>
          </w:p>
        </w:tc>
        <w:tc>
          <w:tcPr>
            <w:tcW w:w="982" w:type="dxa"/>
            <w:gridSpan w:val="2"/>
            <w:tcBorders>
              <w:left w:val="nil"/>
              <w:bottom w:val="single" w:sz="4" w:space="0" w:color="auto"/>
              <w:right w:val="single" w:sz="4" w:space="0" w:color="auto"/>
            </w:tcBorders>
            <w:shd w:val="clear" w:color="C0C0C0" w:fill="auto"/>
            <w:vAlign w:val="center"/>
          </w:tcPr>
          <w:p w:rsidR="00B100F7" w:rsidRPr="00BF0050" w:rsidRDefault="00B100F7" w:rsidP="0019777A">
            <w:pPr>
              <w:spacing w:before="20" w:line="240" w:lineRule="auto"/>
              <w:ind w:firstLine="0"/>
              <w:jc w:val="center"/>
              <w:rPr>
                <w:snapToGrid w:val="0"/>
                <w:sz w:val="22"/>
                <w:szCs w:val="22"/>
              </w:rPr>
            </w:pPr>
            <w:r w:rsidRPr="00BF0050">
              <w:rPr>
                <w:snapToGrid w:val="0"/>
                <w:sz w:val="22"/>
                <w:szCs w:val="22"/>
              </w:rPr>
              <w:t xml:space="preserve">1,3 </w:t>
            </w:r>
          </w:p>
        </w:tc>
      </w:tr>
      <w:tr w:rsidR="00BF6B36" w:rsidRPr="00BF0050" w:rsidTr="0019777A">
        <w:trPr>
          <w:trHeight w:val="291"/>
          <w:jc w:val="center"/>
        </w:trPr>
        <w:tc>
          <w:tcPr>
            <w:tcW w:w="9935" w:type="dxa"/>
            <w:gridSpan w:val="12"/>
            <w:tcBorders>
              <w:top w:val="single" w:sz="4" w:space="0" w:color="auto"/>
              <w:left w:val="single" w:sz="4" w:space="0" w:color="auto"/>
              <w:bottom w:val="single" w:sz="4" w:space="0" w:color="auto"/>
              <w:right w:val="single" w:sz="4" w:space="0" w:color="auto"/>
            </w:tcBorders>
            <w:shd w:val="solid" w:color="FFFFFF" w:fill="auto"/>
            <w:vAlign w:val="bottom"/>
          </w:tcPr>
          <w:p w:rsidR="00BF6B36" w:rsidRPr="00BF0050" w:rsidRDefault="00BF6B36" w:rsidP="0019777A">
            <w:pPr>
              <w:spacing w:before="60" w:after="60" w:line="240" w:lineRule="auto"/>
              <w:ind w:firstLine="0"/>
              <w:jc w:val="center"/>
              <w:rPr>
                <w:b/>
                <w:snapToGrid w:val="0"/>
                <w:sz w:val="22"/>
                <w:szCs w:val="22"/>
              </w:rPr>
            </w:pPr>
            <w:r w:rsidRPr="00BF0050">
              <w:rPr>
                <w:b/>
                <w:snapToGrid w:val="0"/>
                <w:sz w:val="22"/>
                <w:szCs w:val="22"/>
              </w:rPr>
              <w:t xml:space="preserve">Структура, </w:t>
            </w:r>
            <w:proofErr w:type="gramStart"/>
            <w:r w:rsidRPr="00BF0050">
              <w:rPr>
                <w:b/>
                <w:snapToGrid w:val="0"/>
                <w:sz w:val="22"/>
                <w:szCs w:val="22"/>
              </w:rPr>
              <w:t>в</w:t>
            </w:r>
            <w:proofErr w:type="gramEnd"/>
            <w:r w:rsidRPr="00BF0050">
              <w:rPr>
                <w:b/>
                <w:snapToGrid w:val="0"/>
                <w:sz w:val="22"/>
                <w:szCs w:val="22"/>
              </w:rPr>
              <w:t xml:space="preserve"> % к итогу</w:t>
            </w:r>
          </w:p>
        </w:tc>
      </w:tr>
      <w:tr w:rsidR="00BF6B36" w:rsidRPr="00BF0050" w:rsidTr="003D242E">
        <w:trPr>
          <w:gridAfter w:val="1"/>
          <w:wAfter w:w="17" w:type="dxa"/>
          <w:trHeight w:val="247"/>
          <w:jc w:val="center"/>
        </w:trPr>
        <w:tc>
          <w:tcPr>
            <w:tcW w:w="5007" w:type="dxa"/>
            <w:tcBorders>
              <w:top w:val="single" w:sz="4" w:space="0" w:color="auto"/>
              <w:left w:val="single" w:sz="4" w:space="0" w:color="auto"/>
              <w:right w:val="single" w:sz="4" w:space="0" w:color="auto"/>
            </w:tcBorders>
            <w:shd w:val="solid" w:color="FFFFFF" w:fill="auto"/>
            <w:vAlign w:val="bottom"/>
          </w:tcPr>
          <w:p w:rsidR="00BF6B36" w:rsidRPr="00BF0050" w:rsidRDefault="00BF6B36" w:rsidP="0019777A">
            <w:pPr>
              <w:spacing w:after="60" w:line="240" w:lineRule="auto"/>
              <w:ind w:left="57" w:firstLine="0"/>
              <w:jc w:val="both"/>
              <w:rPr>
                <w:b/>
                <w:sz w:val="22"/>
                <w:szCs w:val="22"/>
              </w:rPr>
            </w:pPr>
            <w:r w:rsidRPr="00BF0050">
              <w:rPr>
                <w:b/>
                <w:sz w:val="22"/>
                <w:szCs w:val="22"/>
              </w:rPr>
              <w:t>Валовой внутренний продукт</w:t>
            </w:r>
          </w:p>
        </w:tc>
        <w:tc>
          <w:tcPr>
            <w:tcW w:w="942" w:type="dxa"/>
            <w:tcBorders>
              <w:top w:val="single" w:sz="4" w:space="0" w:color="auto"/>
            </w:tcBorders>
            <w:shd w:val="solid" w:color="FFFFFF" w:fill="auto"/>
            <w:vAlign w:val="bottom"/>
          </w:tcPr>
          <w:p w:rsidR="00BF6B36" w:rsidRPr="00BF0050" w:rsidRDefault="00BF6B36" w:rsidP="0019777A">
            <w:pPr>
              <w:spacing w:after="60" w:line="240" w:lineRule="auto"/>
              <w:ind w:firstLine="0"/>
              <w:jc w:val="center"/>
              <w:rPr>
                <w:b/>
                <w:snapToGrid w:val="0"/>
                <w:sz w:val="22"/>
                <w:szCs w:val="22"/>
              </w:rPr>
            </w:pPr>
            <w:r w:rsidRPr="00BF0050">
              <w:rPr>
                <w:b/>
                <w:snapToGrid w:val="0"/>
                <w:sz w:val="22"/>
                <w:szCs w:val="22"/>
              </w:rPr>
              <w:t>100</w:t>
            </w:r>
          </w:p>
        </w:tc>
        <w:tc>
          <w:tcPr>
            <w:tcW w:w="1134" w:type="dxa"/>
            <w:gridSpan w:val="3"/>
            <w:tcBorders>
              <w:top w:val="single" w:sz="4" w:space="0" w:color="auto"/>
            </w:tcBorders>
            <w:shd w:val="solid" w:color="FFFFFF" w:fill="auto"/>
            <w:vAlign w:val="bottom"/>
          </w:tcPr>
          <w:p w:rsidR="00BF6B36" w:rsidRPr="00BF0050" w:rsidRDefault="00BF6B36" w:rsidP="0019777A">
            <w:pPr>
              <w:spacing w:after="60" w:line="240" w:lineRule="auto"/>
              <w:ind w:firstLine="0"/>
              <w:jc w:val="center"/>
              <w:rPr>
                <w:b/>
                <w:snapToGrid w:val="0"/>
                <w:sz w:val="22"/>
                <w:szCs w:val="22"/>
              </w:rPr>
            </w:pPr>
            <w:r w:rsidRPr="00BF0050">
              <w:rPr>
                <w:b/>
                <w:snapToGrid w:val="0"/>
                <w:sz w:val="22"/>
                <w:szCs w:val="22"/>
              </w:rPr>
              <w:t>100</w:t>
            </w:r>
          </w:p>
        </w:tc>
        <w:tc>
          <w:tcPr>
            <w:tcW w:w="992" w:type="dxa"/>
            <w:gridSpan w:val="2"/>
            <w:tcBorders>
              <w:top w:val="single" w:sz="4" w:space="0" w:color="auto"/>
            </w:tcBorders>
            <w:shd w:val="solid" w:color="FFFFFF" w:fill="auto"/>
            <w:vAlign w:val="bottom"/>
          </w:tcPr>
          <w:p w:rsidR="00BF6B36" w:rsidRPr="00BF0050" w:rsidRDefault="00BF6B36" w:rsidP="0019777A">
            <w:pPr>
              <w:spacing w:after="60" w:line="240" w:lineRule="auto"/>
              <w:ind w:firstLine="0"/>
              <w:jc w:val="center"/>
              <w:rPr>
                <w:b/>
                <w:snapToGrid w:val="0"/>
                <w:sz w:val="22"/>
                <w:szCs w:val="22"/>
              </w:rPr>
            </w:pPr>
            <w:r w:rsidRPr="00BF0050">
              <w:rPr>
                <w:b/>
                <w:snapToGrid w:val="0"/>
                <w:sz w:val="22"/>
                <w:szCs w:val="22"/>
              </w:rPr>
              <w:t>100</w:t>
            </w:r>
          </w:p>
        </w:tc>
        <w:tc>
          <w:tcPr>
            <w:tcW w:w="850" w:type="dxa"/>
            <w:gridSpan w:val="2"/>
            <w:tcBorders>
              <w:top w:val="single" w:sz="4" w:space="0" w:color="auto"/>
            </w:tcBorders>
            <w:shd w:val="solid" w:color="FFFFFF" w:fill="auto"/>
            <w:vAlign w:val="bottom"/>
          </w:tcPr>
          <w:p w:rsidR="00BF6B36" w:rsidRPr="00BF0050" w:rsidRDefault="00BF6B36" w:rsidP="0019777A">
            <w:pPr>
              <w:spacing w:after="60" w:line="240" w:lineRule="auto"/>
              <w:ind w:firstLine="0"/>
              <w:jc w:val="center"/>
              <w:rPr>
                <w:b/>
                <w:snapToGrid w:val="0"/>
                <w:sz w:val="22"/>
                <w:szCs w:val="22"/>
              </w:rPr>
            </w:pPr>
            <w:r w:rsidRPr="00BF0050">
              <w:rPr>
                <w:b/>
                <w:snapToGrid w:val="0"/>
                <w:sz w:val="22"/>
                <w:szCs w:val="22"/>
              </w:rPr>
              <w:t>100</w:t>
            </w:r>
          </w:p>
        </w:tc>
        <w:tc>
          <w:tcPr>
            <w:tcW w:w="993" w:type="dxa"/>
            <w:gridSpan w:val="2"/>
            <w:tcBorders>
              <w:top w:val="single" w:sz="4" w:space="0" w:color="auto"/>
              <w:left w:val="nil"/>
              <w:right w:val="single" w:sz="4" w:space="0" w:color="auto"/>
            </w:tcBorders>
            <w:shd w:val="solid" w:color="FFFFFF" w:fill="auto"/>
            <w:vAlign w:val="bottom"/>
          </w:tcPr>
          <w:p w:rsidR="00BF6B36" w:rsidRPr="00BF0050" w:rsidRDefault="00BF6B36" w:rsidP="0019777A">
            <w:pPr>
              <w:spacing w:after="60" w:line="240" w:lineRule="auto"/>
              <w:ind w:firstLine="0"/>
              <w:jc w:val="center"/>
              <w:rPr>
                <w:b/>
                <w:snapToGrid w:val="0"/>
                <w:sz w:val="22"/>
                <w:szCs w:val="22"/>
              </w:rPr>
            </w:pPr>
            <w:r w:rsidRPr="00BF0050">
              <w:rPr>
                <w:b/>
                <w:snapToGrid w:val="0"/>
                <w:sz w:val="22"/>
                <w:szCs w:val="22"/>
              </w:rPr>
              <w:t>100</w:t>
            </w:r>
          </w:p>
        </w:tc>
      </w:tr>
      <w:tr w:rsidR="00BF6B36" w:rsidRPr="00BF0050" w:rsidTr="003D242E">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F6B36" w:rsidRPr="00BF0050" w:rsidRDefault="00BF6B36" w:rsidP="003D242E">
            <w:pPr>
              <w:spacing w:before="60" w:after="60" w:line="240" w:lineRule="auto"/>
              <w:ind w:firstLine="0"/>
              <w:jc w:val="both"/>
              <w:rPr>
                <w:sz w:val="22"/>
                <w:szCs w:val="22"/>
              </w:rPr>
            </w:pPr>
            <w:r w:rsidRPr="00BF0050">
              <w:rPr>
                <w:sz w:val="22"/>
                <w:szCs w:val="22"/>
              </w:rPr>
              <w:t xml:space="preserve">    в том числе:</w:t>
            </w:r>
          </w:p>
        </w:tc>
        <w:tc>
          <w:tcPr>
            <w:tcW w:w="942" w:type="dxa"/>
            <w:shd w:val="solid" w:color="FFFFFF" w:fill="auto"/>
            <w:vAlign w:val="bottom"/>
          </w:tcPr>
          <w:p w:rsidR="00BF6B36" w:rsidRPr="00BF0050" w:rsidRDefault="00BF6B36" w:rsidP="003D242E">
            <w:pPr>
              <w:spacing w:before="60" w:after="60" w:line="240" w:lineRule="auto"/>
              <w:ind w:firstLine="0"/>
              <w:rPr>
                <w:snapToGrid w:val="0"/>
                <w:sz w:val="22"/>
                <w:szCs w:val="22"/>
              </w:rPr>
            </w:pPr>
          </w:p>
        </w:tc>
        <w:tc>
          <w:tcPr>
            <w:tcW w:w="1134" w:type="dxa"/>
            <w:gridSpan w:val="3"/>
            <w:shd w:val="solid" w:color="FFFFFF" w:fill="auto"/>
            <w:vAlign w:val="bottom"/>
          </w:tcPr>
          <w:p w:rsidR="00BF6B36" w:rsidRPr="00BF0050" w:rsidRDefault="00BF6B36" w:rsidP="003D242E">
            <w:pPr>
              <w:spacing w:before="60" w:after="60" w:line="240" w:lineRule="auto"/>
              <w:ind w:firstLine="0"/>
              <w:rPr>
                <w:snapToGrid w:val="0"/>
                <w:sz w:val="22"/>
                <w:szCs w:val="22"/>
              </w:rPr>
            </w:pPr>
          </w:p>
        </w:tc>
        <w:tc>
          <w:tcPr>
            <w:tcW w:w="992" w:type="dxa"/>
            <w:gridSpan w:val="2"/>
            <w:shd w:val="solid" w:color="FFFFFF" w:fill="auto"/>
            <w:vAlign w:val="bottom"/>
          </w:tcPr>
          <w:p w:rsidR="00BF6B36" w:rsidRPr="00BF0050" w:rsidRDefault="00BF6B36" w:rsidP="003D242E">
            <w:pPr>
              <w:spacing w:before="60" w:after="60" w:line="240" w:lineRule="auto"/>
              <w:ind w:firstLine="0"/>
              <w:rPr>
                <w:snapToGrid w:val="0"/>
                <w:sz w:val="22"/>
                <w:szCs w:val="22"/>
              </w:rPr>
            </w:pPr>
          </w:p>
        </w:tc>
        <w:tc>
          <w:tcPr>
            <w:tcW w:w="850" w:type="dxa"/>
            <w:gridSpan w:val="2"/>
            <w:shd w:val="solid" w:color="FFFFFF" w:fill="auto"/>
            <w:vAlign w:val="bottom"/>
          </w:tcPr>
          <w:p w:rsidR="00BF6B36" w:rsidRPr="00BF0050" w:rsidRDefault="00BF6B36" w:rsidP="003D242E">
            <w:pPr>
              <w:spacing w:before="60" w:after="60" w:line="240" w:lineRule="auto"/>
              <w:ind w:firstLine="0"/>
              <w:rPr>
                <w:snapToGrid w:val="0"/>
                <w:sz w:val="22"/>
                <w:szCs w:val="22"/>
              </w:rPr>
            </w:pPr>
          </w:p>
        </w:tc>
        <w:tc>
          <w:tcPr>
            <w:tcW w:w="993" w:type="dxa"/>
            <w:gridSpan w:val="2"/>
            <w:tcBorders>
              <w:left w:val="nil"/>
              <w:right w:val="single" w:sz="4" w:space="0" w:color="auto"/>
            </w:tcBorders>
            <w:shd w:val="solid" w:color="FFFFFF" w:fill="auto"/>
            <w:vAlign w:val="bottom"/>
          </w:tcPr>
          <w:p w:rsidR="00BF6B36" w:rsidRPr="00BF0050" w:rsidRDefault="00BF6B36" w:rsidP="003D242E">
            <w:pPr>
              <w:spacing w:before="60" w:after="60" w:line="240" w:lineRule="auto"/>
              <w:ind w:firstLine="0"/>
              <w:rPr>
                <w:snapToGrid w:val="0"/>
                <w:sz w:val="22"/>
                <w:szCs w:val="22"/>
              </w:rPr>
            </w:pP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napToGrid w:val="0"/>
                <w:sz w:val="22"/>
                <w:szCs w:val="22"/>
              </w:rPr>
              <w:t xml:space="preserve">        </w:t>
            </w:r>
            <w:r w:rsidRPr="00BF0050">
              <w:rPr>
                <w:sz w:val="22"/>
                <w:szCs w:val="22"/>
              </w:rPr>
              <w:t>Сельское хозяйство, охота и лесное хозяйство</w:t>
            </w:r>
          </w:p>
        </w:tc>
        <w:tc>
          <w:tcPr>
            <w:tcW w:w="942" w:type="dxa"/>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3,9</w:t>
            </w:r>
          </w:p>
        </w:tc>
        <w:tc>
          <w:tcPr>
            <w:tcW w:w="1134"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4,0 </w:t>
            </w:r>
          </w:p>
        </w:tc>
        <w:tc>
          <w:tcPr>
            <w:tcW w:w="992" w:type="dxa"/>
            <w:gridSpan w:val="2"/>
            <w:shd w:val="solid" w:color="FFFFFF" w:fill="auto"/>
            <w:vAlign w:val="center"/>
          </w:tcPr>
          <w:p w:rsidR="00B100F7" w:rsidRPr="00BF0050" w:rsidRDefault="00B100F7" w:rsidP="003D611F">
            <w:pPr>
              <w:spacing w:before="20" w:after="0" w:line="240" w:lineRule="auto"/>
              <w:ind w:firstLine="0"/>
              <w:jc w:val="center"/>
              <w:rPr>
                <w:snapToGrid w:val="0"/>
                <w:sz w:val="22"/>
                <w:szCs w:val="22"/>
              </w:rPr>
            </w:pPr>
            <w:r w:rsidRPr="00BF0050">
              <w:rPr>
                <w:snapToGrid w:val="0"/>
                <w:sz w:val="22"/>
                <w:szCs w:val="22"/>
              </w:rPr>
              <w:t>4,</w:t>
            </w:r>
            <w:r w:rsidR="003D611F" w:rsidRPr="00BF0050">
              <w:rPr>
                <w:snapToGrid w:val="0"/>
                <w:sz w:val="22"/>
                <w:szCs w:val="22"/>
              </w:rPr>
              <w:t>0</w:t>
            </w:r>
            <w:r w:rsidRPr="00BF0050">
              <w:rPr>
                <w:snapToGrid w:val="0"/>
                <w:sz w:val="22"/>
                <w:szCs w:val="22"/>
              </w:rPr>
              <w:t xml:space="preserve"> </w:t>
            </w:r>
          </w:p>
        </w:tc>
        <w:tc>
          <w:tcPr>
            <w:tcW w:w="850" w:type="dxa"/>
            <w:gridSpan w:val="2"/>
            <w:shd w:val="solid" w:color="FFFFFF" w:fill="auto"/>
            <w:vAlign w:val="center"/>
          </w:tcPr>
          <w:p w:rsidR="00B100F7" w:rsidRPr="00BF0050" w:rsidRDefault="00B100F7" w:rsidP="003D611F">
            <w:pPr>
              <w:spacing w:before="20" w:after="0" w:line="240" w:lineRule="auto"/>
              <w:ind w:firstLine="0"/>
              <w:jc w:val="center"/>
              <w:rPr>
                <w:snapToGrid w:val="0"/>
                <w:sz w:val="22"/>
                <w:szCs w:val="22"/>
              </w:rPr>
            </w:pPr>
            <w:r w:rsidRPr="00BF0050">
              <w:rPr>
                <w:snapToGrid w:val="0"/>
                <w:sz w:val="22"/>
                <w:szCs w:val="22"/>
              </w:rPr>
              <w:t>4,</w:t>
            </w:r>
            <w:r w:rsidR="003D611F" w:rsidRPr="00BF0050">
              <w:rPr>
                <w:snapToGrid w:val="0"/>
                <w:sz w:val="22"/>
                <w:szCs w:val="22"/>
              </w:rPr>
              <w:t>0</w:t>
            </w:r>
            <w:r w:rsidRPr="00BF0050">
              <w:rPr>
                <w:snapToGrid w:val="0"/>
                <w:sz w:val="22"/>
                <w:szCs w:val="22"/>
              </w:rPr>
              <w:t xml:space="preserve"> </w:t>
            </w:r>
          </w:p>
        </w:tc>
        <w:tc>
          <w:tcPr>
            <w:tcW w:w="993" w:type="dxa"/>
            <w:gridSpan w:val="2"/>
            <w:tcBorders>
              <w:left w:val="nil"/>
              <w:right w:val="single" w:sz="4" w:space="0" w:color="auto"/>
            </w:tcBorders>
            <w:shd w:val="solid" w:color="FFFFFF" w:fill="auto"/>
            <w:vAlign w:val="center"/>
          </w:tcPr>
          <w:p w:rsidR="00B100F7" w:rsidRPr="00BF0050" w:rsidRDefault="00B100F7" w:rsidP="003D611F">
            <w:pPr>
              <w:spacing w:before="20" w:after="0" w:line="240" w:lineRule="auto"/>
              <w:ind w:firstLine="0"/>
              <w:jc w:val="center"/>
              <w:rPr>
                <w:snapToGrid w:val="0"/>
                <w:sz w:val="22"/>
                <w:szCs w:val="22"/>
              </w:rPr>
            </w:pPr>
            <w:r w:rsidRPr="00BF0050">
              <w:rPr>
                <w:snapToGrid w:val="0"/>
                <w:sz w:val="22"/>
                <w:szCs w:val="22"/>
              </w:rPr>
              <w:t>4,</w:t>
            </w:r>
            <w:r w:rsidR="003D611F" w:rsidRPr="00BF0050">
              <w:rPr>
                <w:snapToGrid w:val="0"/>
                <w:sz w:val="22"/>
                <w:szCs w:val="22"/>
              </w:rPr>
              <w:t>0</w:t>
            </w:r>
            <w:r w:rsidRPr="00BF0050">
              <w:rPr>
                <w:snapToGrid w:val="0"/>
                <w:sz w:val="22"/>
                <w:szCs w:val="22"/>
              </w:rPr>
              <w:t xml:space="preserve"> </w:t>
            </w: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i/>
                <w:snapToGrid w:val="0"/>
                <w:sz w:val="22"/>
                <w:szCs w:val="22"/>
              </w:rPr>
            </w:pPr>
            <w:r w:rsidRPr="00BF0050">
              <w:rPr>
                <w:i/>
                <w:sz w:val="22"/>
                <w:szCs w:val="22"/>
              </w:rPr>
              <w:t xml:space="preserve">        Промышленность</w:t>
            </w:r>
          </w:p>
        </w:tc>
        <w:tc>
          <w:tcPr>
            <w:tcW w:w="942" w:type="dxa"/>
            <w:shd w:val="solid" w:color="FFFFFF" w:fill="auto"/>
            <w:vAlign w:val="center"/>
          </w:tcPr>
          <w:p w:rsidR="00B100F7" w:rsidRPr="00BF0050" w:rsidRDefault="00B100F7" w:rsidP="003D242E">
            <w:pPr>
              <w:spacing w:before="20" w:after="0" w:line="240" w:lineRule="auto"/>
              <w:ind w:firstLine="0"/>
              <w:jc w:val="center"/>
              <w:rPr>
                <w:i/>
                <w:snapToGrid w:val="0"/>
                <w:sz w:val="22"/>
                <w:szCs w:val="22"/>
              </w:rPr>
            </w:pPr>
            <w:r w:rsidRPr="00BF0050">
              <w:rPr>
                <w:i/>
                <w:snapToGrid w:val="0"/>
                <w:sz w:val="22"/>
                <w:szCs w:val="22"/>
              </w:rPr>
              <w:t xml:space="preserve">23,9 </w:t>
            </w:r>
          </w:p>
        </w:tc>
        <w:tc>
          <w:tcPr>
            <w:tcW w:w="1134" w:type="dxa"/>
            <w:gridSpan w:val="3"/>
            <w:shd w:val="solid" w:color="FFFFFF" w:fill="auto"/>
            <w:vAlign w:val="center"/>
          </w:tcPr>
          <w:p w:rsidR="00B100F7" w:rsidRPr="00BF0050" w:rsidRDefault="00B100F7" w:rsidP="003D611F">
            <w:pPr>
              <w:spacing w:before="20" w:after="0" w:line="240" w:lineRule="auto"/>
              <w:ind w:firstLine="0"/>
              <w:jc w:val="center"/>
              <w:rPr>
                <w:i/>
                <w:snapToGrid w:val="0"/>
                <w:sz w:val="22"/>
                <w:szCs w:val="22"/>
              </w:rPr>
            </w:pPr>
            <w:r w:rsidRPr="00BF0050">
              <w:rPr>
                <w:i/>
                <w:snapToGrid w:val="0"/>
                <w:sz w:val="22"/>
                <w:szCs w:val="22"/>
              </w:rPr>
              <w:t>23,</w:t>
            </w:r>
            <w:r w:rsidR="003D611F" w:rsidRPr="00BF0050">
              <w:rPr>
                <w:i/>
                <w:snapToGrid w:val="0"/>
                <w:sz w:val="22"/>
                <w:szCs w:val="22"/>
              </w:rPr>
              <w:t>4</w:t>
            </w:r>
            <w:r w:rsidRPr="00BF0050">
              <w:rPr>
                <w:i/>
                <w:snapToGrid w:val="0"/>
                <w:sz w:val="22"/>
                <w:szCs w:val="22"/>
              </w:rPr>
              <w:t xml:space="preserve"> </w:t>
            </w:r>
          </w:p>
        </w:tc>
        <w:tc>
          <w:tcPr>
            <w:tcW w:w="992" w:type="dxa"/>
            <w:gridSpan w:val="2"/>
            <w:shd w:val="solid" w:color="FFFFFF" w:fill="auto"/>
            <w:vAlign w:val="center"/>
          </w:tcPr>
          <w:p w:rsidR="00B100F7" w:rsidRPr="00BF0050" w:rsidRDefault="00B100F7" w:rsidP="003D611F">
            <w:pPr>
              <w:spacing w:before="20" w:after="0" w:line="240" w:lineRule="auto"/>
              <w:ind w:firstLine="0"/>
              <w:jc w:val="center"/>
              <w:rPr>
                <w:i/>
                <w:snapToGrid w:val="0"/>
                <w:sz w:val="22"/>
                <w:szCs w:val="22"/>
              </w:rPr>
            </w:pPr>
            <w:r w:rsidRPr="00BF0050">
              <w:rPr>
                <w:i/>
                <w:snapToGrid w:val="0"/>
                <w:sz w:val="22"/>
                <w:szCs w:val="22"/>
              </w:rPr>
              <w:t>23,</w:t>
            </w:r>
            <w:r w:rsidR="003D611F" w:rsidRPr="00BF0050">
              <w:rPr>
                <w:i/>
                <w:snapToGrid w:val="0"/>
                <w:sz w:val="22"/>
                <w:szCs w:val="22"/>
              </w:rPr>
              <w:t>1</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i/>
                <w:snapToGrid w:val="0"/>
                <w:sz w:val="22"/>
                <w:szCs w:val="22"/>
              </w:rPr>
            </w:pPr>
            <w:r w:rsidRPr="00BF0050">
              <w:rPr>
                <w:i/>
                <w:snapToGrid w:val="0"/>
                <w:sz w:val="22"/>
                <w:szCs w:val="22"/>
              </w:rPr>
              <w:t xml:space="preserve">22,8 </w:t>
            </w:r>
          </w:p>
        </w:tc>
        <w:tc>
          <w:tcPr>
            <w:tcW w:w="993" w:type="dxa"/>
            <w:gridSpan w:val="2"/>
            <w:tcBorders>
              <w:left w:val="nil"/>
              <w:right w:val="single" w:sz="4" w:space="0" w:color="auto"/>
            </w:tcBorders>
            <w:shd w:val="solid" w:color="FFFFFF" w:fill="auto"/>
            <w:vAlign w:val="center"/>
          </w:tcPr>
          <w:p w:rsidR="00B100F7" w:rsidRPr="00BF0050" w:rsidRDefault="00B100F7" w:rsidP="003D611F">
            <w:pPr>
              <w:spacing w:before="20" w:after="0" w:line="240" w:lineRule="auto"/>
              <w:ind w:firstLine="0"/>
              <w:jc w:val="center"/>
              <w:rPr>
                <w:i/>
                <w:snapToGrid w:val="0"/>
                <w:sz w:val="22"/>
                <w:szCs w:val="22"/>
              </w:rPr>
            </w:pPr>
            <w:r w:rsidRPr="00BF0050">
              <w:rPr>
                <w:i/>
                <w:snapToGrid w:val="0"/>
                <w:sz w:val="22"/>
                <w:szCs w:val="22"/>
              </w:rPr>
              <w:t>22,</w:t>
            </w:r>
            <w:r w:rsidR="003D611F" w:rsidRPr="00BF0050">
              <w:rPr>
                <w:i/>
                <w:snapToGrid w:val="0"/>
                <w:sz w:val="22"/>
                <w:szCs w:val="22"/>
              </w:rPr>
              <w:t>3</w:t>
            </w:r>
            <w:r w:rsidRPr="00BF0050">
              <w:rPr>
                <w:i/>
                <w:snapToGrid w:val="0"/>
                <w:sz w:val="22"/>
                <w:szCs w:val="22"/>
              </w:rPr>
              <w:t xml:space="preserve"> </w:t>
            </w: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Добыча полезных ископаемых</w:t>
            </w:r>
          </w:p>
        </w:tc>
        <w:tc>
          <w:tcPr>
            <w:tcW w:w="942" w:type="dxa"/>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8,7 </w:t>
            </w:r>
          </w:p>
        </w:tc>
        <w:tc>
          <w:tcPr>
            <w:tcW w:w="1134" w:type="dxa"/>
            <w:gridSpan w:val="3"/>
            <w:shd w:val="solid" w:color="FFFFFF" w:fill="auto"/>
            <w:vAlign w:val="center"/>
          </w:tcPr>
          <w:p w:rsidR="00B100F7" w:rsidRPr="00BF0050" w:rsidRDefault="003D611F" w:rsidP="003D242E">
            <w:pPr>
              <w:spacing w:before="20" w:after="0" w:line="240" w:lineRule="auto"/>
              <w:ind w:firstLine="0"/>
              <w:jc w:val="center"/>
              <w:rPr>
                <w:snapToGrid w:val="0"/>
                <w:sz w:val="22"/>
                <w:szCs w:val="22"/>
              </w:rPr>
            </w:pPr>
            <w:r w:rsidRPr="00BF0050">
              <w:rPr>
                <w:snapToGrid w:val="0"/>
                <w:sz w:val="22"/>
                <w:szCs w:val="22"/>
              </w:rPr>
              <w:t>7,9</w:t>
            </w:r>
            <w:r w:rsidR="00B100F7" w:rsidRPr="00BF0050">
              <w:rPr>
                <w:snapToGrid w:val="0"/>
                <w:sz w:val="22"/>
                <w:szCs w:val="22"/>
              </w:rPr>
              <w:t xml:space="preserve"> </w:t>
            </w:r>
          </w:p>
        </w:tc>
        <w:tc>
          <w:tcPr>
            <w:tcW w:w="992" w:type="dxa"/>
            <w:gridSpan w:val="2"/>
            <w:shd w:val="solid" w:color="FFFFFF" w:fill="auto"/>
            <w:vAlign w:val="center"/>
          </w:tcPr>
          <w:p w:rsidR="00B100F7" w:rsidRPr="00BF0050" w:rsidRDefault="00B100F7" w:rsidP="003D611F">
            <w:pPr>
              <w:spacing w:before="20" w:after="0" w:line="240" w:lineRule="auto"/>
              <w:ind w:firstLine="0"/>
              <w:jc w:val="center"/>
              <w:rPr>
                <w:snapToGrid w:val="0"/>
                <w:sz w:val="22"/>
                <w:szCs w:val="22"/>
              </w:rPr>
            </w:pPr>
            <w:r w:rsidRPr="00BF0050">
              <w:rPr>
                <w:snapToGrid w:val="0"/>
                <w:sz w:val="22"/>
                <w:szCs w:val="22"/>
              </w:rPr>
              <w:t>7,</w:t>
            </w:r>
            <w:r w:rsidR="003D611F" w:rsidRPr="00BF0050">
              <w:rPr>
                <w:snapToGrid w:val="0"/>
                <w:sz w:val="22"/>
                <w:szCs w:val="22"/>
              </w:rPr>
              <w:t>6</w:t>
            </w:r>
            <w:r w:rsidRPr="00BF0050">
              <w:rPr>
                <w:snapToGrid w:val="0"/>
                <w:sz w:val="22"/>
                <w:szCs w:val="22"/>
              </w:rPr>
              <w:t xml:space="preserve"> </w:t>
            </w:r>
          </w:p>
        </w:tc>
        <w:tc>
          <w:tcPr>
            <w:tcW w:w="850" w:type="dxa"/>
            <w:gridSpan w:val="2"/>
            <w:shd w:val="solid" w:color="FFFFFF" w:fill="auto"/>
            <w:vAlign w:val="center"/>
          </w:tcPr>
          <w:p w:rsidR="00B100F7" w:rsidRPr="00BF0050" w:rsidRDefault="00B100F7" w:rsidP="003D611F">
            <w:pPr>
              <w:spacing w:before="20" w:after="0" w:line="240" w:lineRule="auto"/>
              <w:ind w:firstLine="0"/>
              <w:jc w:val="center"/>
              <w:rPr>
                <w:snapToGrid w:val="0"/>
                <w:sz w:val="22"/>
                <w:szCs w:val="22"/>
              </w:rPr>
            </w:pPr>
            <w:r w:rsidRPr="00BF0050">
              <w:rPr>
                <w:snapToGrid w:val="0"/>
                <w:sz w:val="22"/>
                <w:szCs w:val="22"/>
              </w:rPr>
              <w:t>7,</w:t>
            </w:r>
            <w:r w:rsidR="003D611F" w:rsidRPr="00BF0050">
              <w:rPr>
                <w:snapToGrid w:val="0"/>
                <w:sz w:val="22"/>
                <w:szCs w:val="22"/>
              </w:rPr>
              <w:t>1</w:t>
            </w:r>
          </w:p>
        </w:tc>
        <w:tc>
          <w:tcPr>
            <w:tcW w:w="993" w:type="dxa"/>
            <w:gridSpan w:val="2"/>
            <w:tcBorders>
              <w:left w:val="nil"/>
              <w:right w:val="single" w:sz="4" w:space="0" w:color="auto"/>
            </w:tcBorders>
            <w:shd w:val="solid" w:color="FFFFFF" w:fill="auto"/>
            <w:vAlign w:val="center"/>
          </w:tcPr>
          <w:p w:rsidR="00B100F7" w:rsidRPr="00BF0050" w:rsidRDefault="00B100F7" w:rsidP="003D611F">
            <w:pPr>
              <w:spacing w:before="20" w:after="0" w:line="240" w:lineRule="auto"/>
              <w:ind w:firstLine="0"/>
              <w:jc w:val="center"/>
              <w:rPr>
                <w:snapToGrid w:val="0"/>
                <w:sz w:val="22"/>
                <w:szCs w:val="22"/>
              </w:rPr>
            </w:pPr>
            <w:r w:rsidRPr="00BF0050">
              <w:rPr>
                <w:snapToGrid w:val="0"/>
                <w:sz w:val="22"/>
                <w:szCs w:val="22"/>
              </w:rPr>
              <w:t>6,</w:t>
            </w:r>
            <w:r w:rsidR="003D611F" w:rsidRPr="00BF0050">
              <w:rPr>
                <w:snapToGrid w:val="0"/>
                <w:sz w:val="22"/>
                <w:szCs w:val="22"/>
              </w:rPr>
              <w:t>7</w:t>
            </w:r>
            <w:r w:rsidRPr="00BF0050">
              <w:rPr>
                <w:snapToGrid w:val="0"/>
                <w:sz w:val="22"/>
                <w:szCs w:val="22"/>
              </w:rPr>
              <w:t xml:space="preserve"> </w:t>
            </w: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Обрабатывающие производства</w:t>
            </w:r>
          </w:p>
        </w:tc>
        <w:tc>
          <w:tcPr>
            <w:tcW w:w="942" w:type="dxa"/>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12,7</w:t>
            </w:r>
          </w:p>
        </w:tc>
        <w:tc>
          <w:tcPr>
            <w:tcW w:w="1134"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12,9 </w:t>
            </w:r>
          </w:p>
        </w:tc>
        <w:tc>
          <w:tcPr>
            <w:tcW w:w="992"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13,</w:t>
            </w:r>
            <w:r w:rsidR="00040580" w:rsidRPr="00BF0050">
              <w:rPr>
                <w:snapToGrid w:val="0"/>
                <w:sz w:val="22"/>
                <w:szCs w:val="22"/>
              </w:rPr>
              <w:t>0</w:t>
            </w:r>
          </w:p>
        </w:tc>
        <w:tc>
          <w:tcPr>
            <w:tcW w:w="850"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13,</w:t>
            </w:r>
            <w:r w:rsidR="00040580" w:rsidRPr="00BF0050">
              <w:rPr>
                <w:snapToGrid w:val="0"/>
                <w:sz w:val="22"/>
                <w:szCs w:val="22"/>
              </w:rPr>
              <w:t>2</w:t>
            </w:r>
            <w:r w:rsidRPr="00BF0050">
              <w:rPr>
                <w:snapToGrid w:val="0"/>
                <w:sz w:val="22"/>
                <w:szCs w:val="22"/>
              </w:rPr>
              <w:t xml:space="preserve"> </w:t>
            </w:r>
          </w:p>
        </w:tc>
        <w:tc>
          <w:tcPr>
            <w:tcW w:w="993" w:type="dxa"/>
            <w:gridSpan w:val="2"/>
            <w:tcBorders>
              <w:left w:val="nil"/>
              <w:right w:val="single" w:sz="4" w:space="0" w:color="auto"/>
            </w:tcBorders>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13,</w:t>
            </w:r>
            <w:r w:rsidR="00040580" w:rsidRPr="00BF0050">
              <w:rPr>
                <w:snapToGrid w:val="0"/>
                <w:sz w:val="22"/>
                <w:szCs w:val="22"/>
              </w:rPr>
              <w:t>2</w:t>
            </w:r>
            <w:r w:rsidRPr="00BF0050">
              <w:rPr>
                <w:snapToGrid w:val="0"/>
                <w:sz w:val="22"/>
                <w:szCs w:val="22"/>
              </w:rPr>
              <w:t xml:space="preserve"> </w:t>
            </w: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left="844" w:hanging="844"/>
              <w:rPr>
                <w:snapToGrid w:val="0"/>
                <w:sz w:val="22"/>
                <w:szCs w:val="22"/>
              </w:rPr>
            </w:pPr>
            <w:r w:rsidRPr="00BF0050">
              <w:rPr>
                <w:snapToGrid w:val="0"/>
                <w:sz w:val="22"/>
                <w:szCs w:val="22"/>
              </w:rPr>
              <w:t xml:space="preserve"> </w:t>
            </w:r>
            <w:r w:rsidRPr="00BF0050">
              <w:rPr>
                <w:sz w:val="22"/>
                <w:szCs w:val="22"/>
              </w:rPr>
              <w:t xml:space="preserve">              Производство и распределение электроэнергии, газа и воды</w:t>
            </w:r>
          </w:p>
        </w:tc>
        <w:tc>
          <w:tcPr>
            <w:tcW w:w="942" w:type="dxa"/>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2,5</w:t>
            </w:r>
          </w:p>
        </w:tc>
        <w:tc>
          <w:tcPr>
            <w:tcW w:w="1134"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2,5</w:t>
            </w:r>
          </w:p>
        </w:tc>
        <w:tc>
          <w:tcPr>
            <w:tcW w:w="992"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2,</w:t>
            </w:r>
            <w:r w:rsidR="00040580" w:rsidRPr="00BF0050">
              <w:rPr>
                <w:snapToGrid w:val="0"/>
                <w:sz w:val="22"/>
                <w:szCs w:val="22"/>
              </w:rPr>
              <w:t>5</w:t>
            </w:r>
          </w:p>
        </w:tc>
        <w:tc>
          <w:tcPr>
            <w:tcW w:w="850" w:type="dxa"/>
            <w:gridSpan w:val="2"/>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2,5 </w:t>
            </w:r>
          </w:p>
        </w:tc>
        <w:tc>
          <w:tcPr>
            <w:tcW w:w="993" w:type="dxa"/>
            <w:gridSpan w:val="2"/>
            <w:tcBorders>
              <w:left w:val="nil"/>
              <w:right w:val="single" w:sz="4" w:space="0" w:color="auto"/>
            </w:tcBorders>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2,</w:t>
            </w:r>
            <w:r w:rsidR="00040580" w:rsidRPr="00BF0050">
              <w:rPr>
                <w:snapToGrid w:val="0"/>
                <w:sz w:val="22"/>
                <w:szCs w:val="22"/>
              </w:rPr>
              <w:t>4</w:t>
            </w:r>
            <w:r w:rsidRPr="00BF0050">
              <w:rPr>
                <w:snapToGrid w:val="0"/>
                <w:sz w:val="22"/>
                <w:szCs w:val="22"/>
              </w:rPr>
              <w:t xml:space="preserve"> </w:t>
            </w: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Строительство</w:t>
            </w:r>
          </w:p>
        </w:tc>
        <w:tc>
          <w:tcPr>
            <w:tcW w:w="942" w:type="dxa"/>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5,3</w:t>
            </w:r>
          </w:p>
        </w:tc>
        <w:tc>
          <w:tcPr>
            <w:tcW w:w="1134" w:type="dxa"/>
            <w:gridSpan w:val="3"/>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5,4 </w:t>
            </w:r>
          </w:p>
        </w:tc>
        <w:tc>
          <w:tcPr>
            <w:tcW w:w="992"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5,</w:t>
            </w:r>
            <w:r w:rsidR="00040580" w:rsidRPr="00BF0050">
              <w:rPr>
                <w:snapToGrid w:val="0"/>
                <w:sz w:val="22"/>
                <w:szCs w:val="22"/>
              </w:rPr>
              <w:t>3</w:t>
            </w:r>
          </w:p>
        </w:tc>
        <w:tc>
          <w:tcPr>
            <w:tcW w:w="850"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5,</w:t>
            </w:r>
            <w:r w:rsidR="00040580" w:rsidRPr="00BF0050">
              <w:rPr>
                <w:snapToGrid w:val="0"/>
                <w:sz w:val="22"/>
                <w:szCs w:val="22"/>
              </w:rPr>
              <w:t>5</w:t>
            </w:r>
            <w:r w:rsidRPr="00BF0050">
              <w:rPr>
                <w:snapToGrid w:val="0"/>
                <w:sz w:val="22"/>
                <w:szCs w:val="22"/>
              </w:rPr>
              <w:t xml:space="preserve"> </w:t>
            </w:r>
          </w:p>
        </w:tc>
        <w:tc>
          <w:tcPr>
            <w:tcW w:w="993" w:type="dxa"/>
            <w:gridSpan w:val="2"/>
            <w:tcBorders>
              <w:left w:val="nil"/>
              <w:right w:val="single" w:sz="4" w:space="0" w:color="auto"/>
            </w:tcBorders>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5,</w:t>
            </w:r>
            <w:r w:rsidR="00040580" w:rsidRPr="00BF0050">
              <w:rPr>
                <w:snapToGrid w:val="0"/>
                <w:sz w:val="22"/>
                <w:szCs w:val="22"/>
              </w:rPr>
              <w:t>7</w:t>
            </w: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z w:val="22"/>
                <w:szCs w:val="22"/>
              </w:rPr>
            </w:pPr>
            <w:r w:rsidRPr="00BF0050">
              <w:rPr>
                <w:snapToGrid w:val="0"/>
                <w:sz w:val="22"/>
                <w:szCs w:val="22"/>
              </w:rPr>
              <w:t xml:space="preserve">        </w:t>
            </w:r>
            <w:r w:rsidRPr="00BF0050">
              <w:rPr>
                <w:sz w:val="22"/>
                <w:szCs w:val="22"/>
              </w:rPr>
              <w:t>Оптовая и розничная торговля; ремонт</w:t>
            </w:r>
          </w:p>
          <w:p w:rsidR="00B100F7" w:rsidRPr="00BF0050" w:rsidRDefault="00B100F7" w:rsidP="003D242E">
            <w:pPr>
              <w:spacing w:before="20" w:after="0" w:line="240" w:lineRule="auto"/>
              <w:ind w:firstLine="0"/>
              <w:rPr>
                <w:sz w:val="22"/>
                <w:szCs w:val="22"/>
              </w:rPr>
            </w:pPr>
            <w:r w:rsidRPr="00BF0050">
              <w:rPr>
                <w:sz w:val="22"/>
                <w:szCs w:val="22"/>
              </w:rPr>
              <w:t xml:space="preserve">        автотранспортных средств, мотоциклов,</w:t>
            </w:r>
          </w:p>
          <w:p w:rsidR="00B100F7" w:rsidRPr="00BF0050" w:rsidRDefault="00B100F7" w:rsidP="003D242E">
            <w:pPr>
              <w:spacing w:before="20" w:after="0" w:line="240" w:lineRule="auto"/>
              <w:ind w:left="419" w:hanging="419"/>
              <w:rPr>
                <w:snapToGrid w:val="0"/>
                <w:sz w:val="22"/>
                <w:szCs w:val="22"/>
              </w:rPr>
            </w:pPr>
            <w:r w:rsidRPr="00BF0050">
              <w:rPr>
                <w:sz w:val="22"/>
                <w:szCs w:val="22"/>
              </w:rPr>
              <w:t xml:space="preserve">        бытовых изделий и предметов личного пользования</w:t>
            </w:r>
          </w:p>
        </w:tc>
        <w:tc>
          <w:tcPr>
            <w:tcW w:w="942" w:type="dxa"/>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 xml:space="preserve">14,1 </w:t>
            </w:r>
          </w:p>
        </w:tc>
        <w:tc>
          <w:tcPr>
            <w:tcW w:w="1134" w:type="dxa"/>
            <w:gridSpan w:val="3"/>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14,</w:t>
            </w:r>
            <w:r w:rsidR="00040580" w:rsidRPr="00BF0050">
              <w:rPr>
                <w:snapToGrid w:val="0"/>
                <w:sz w:val="22"/>
                <w:szCs w:val="22"/>
              </w:rPr>
              <w:t>3</w:t>
            </w:r>
            <w:r w:rsidRPr="00BF0050">
              <w:rPr>
                <w:snapToGrid w:val="0"/>
                <w:sz w:val="22"/>
                <w:szCs w:val="22"/>
              </w:rPr>
              <w:t xml:space="preserve"> </w:t>
            </w:r>
          </w:p>
        </w:tc>
        <w:tc>
          <w:tcPr>
            <w:tcW w:w="992"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14,</w:t>
            </w:r>
            <w:r w:rsidR="00040580" w:rsidRPr="00BF0050">
              <w:rPr>
                <w:snapToGrid w:val="0"/>
                <w:sz w:val="22"/>
                <w:szCs w:val="22"/>
              </w:rPr>
              <w:t>4</w:t>
            </w:r>
            <w:r w:rsidRPr="00BF0050">
              <w:rPr>
                <w:snapToGrid w:val="0"/>
                <w:sz w:val="22"/>
                <w:szCs w:val="22"/>
              </w:rPr>
              <w:t xml:space="preserve"> </w:t>
            </w:r>
          </w:p>
        </w:tc>
        <w:tc>
          <w:tcPr>
            <w:tcW w:w="850"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14,</w:t>
            </w:r>
            <w:r w:rsidR="00040580" w:rsidRPr="00BF0050">
              <w:rPr>
                <w:snapToGrid w:val="0"/>
                <w:sz w:val="22"/>
                <w:szCs w:val="22"/>
              </w:rPr>
              <w:t>5</w:t>
            </w:r>
            <w:r w:rsidRPr="00BF0050">
              <w:rPr>
                <w:snapToGrid w:val="0"/>
                <w:sz w:val="22"/>
                <w:szCs w:val="22"/>
              </w:rPr>
              <w:t xml:space="preserve"> </w:t>
            </w:r>
          </w:p>
        </w:tc>
        <w:tc>
          <w:tcPr>
            <w:tcW w:w="993" w:type="dxa"/>
            <w:gridSpan w:val="2"/>
            <w:tcBorders>
              <w:left w:val="nil"/>
              <w:right w:val="single" w:sz="4" w:space="0" w:color="auto"/>
            </w:tcBorders>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1</w:t>
            </w:r>
            <w:r w:rsidR="00040580" w:rsidRPr="00BF0050">
              <w:rPr>
                <w:snapToGrid w:val="0"/>
                <w:sz w:val="22"/>
                <w:szCs w:val="22"/>
              </w:rPr>
              <w:t>4,6</w:t>
            </w:r>
            <w:r w:rsidRPr="00BF0050">
              <w:rPr>
                <w:snapToGrid w:val="0"/>
                <w:sz w:val="22"/>
                <w:szCs w:val="22"/>
              </w:rPr>
              <w:t xml:space="preserve"> </w:t>
            </w:r>
          </w:p>
        </w:tc>
      </w:tr>
      <w:tr w:rsidR="00B100F7" w:rsidRPr="00BF0050" w:rsidTr="00744601">
        <w:trPr>
          <w:gridAfter w:val="1"/>
          <w:wAfter w:w="17" w:type="dxa"/>
          <w:trHeight w:val="247"/>
          <w:jc w:val="center"/>
        </w:trPr>
        <w:tc>
          <w:tcPr>
            <w:tcW w:w="5007" w:type="dxa"/>
            <w:tcBorders>
              <w:left w:val="single" w:sz="4" w:space="0" w:color="auto"/>
              <w:right w:val="single" w:sz="4" w:space="0" w:color="auto"/>
            </w:tcBorders>
            <w:shd w:val="solid" w:color="FFFFFF" w:fill="auto"/>
            <w:vAlign w:val="bottom"/>
          </w:tcPr>
          <w:p w:rsidR="00B100F7" w:rsidRPr="00BF0050" w:rsidRDefault="00B100F7" w:rsidP="003D242E">
            <w:pPr>
              <w:spacing w:before="20" w:after="0" w:line="240" w:lineRule="auto"/>
              <w:ind w:firstLine="0"/>
              <w:rPr>
                <w:snapToGrid w:val="0"/>
                <w:sz w:val="22"/>
                <w:szCs w:val="22"/>
              </w:rPr>
            </w:pPr>
            <w:r w:rsidRPr="00BF0050">
              <w:rPr>
                <w:sz w:val="22"/>
                <w:szCs w:val="22"/>
              </w:rPr>
              <w:t xml:space="preserve">        Транспорт и связь</w:t>
            </w:r>
          </w:p>
        </w:tc>
        <w:tc>
          <w:tcPr>
            <w:tcW w:w="942" w:type="dxa"/>
            <w:shd w:val="solid" w:color="FFFFFF" w:fill="auto"/>
            <w:vAlign w:val="center"/>
          </w:tcPr>
          <w:p w:rsidR="00B100F7" w:rsidRPr="00BF0050" w:rsidRDefault="00B100F7" w:rsidP="003D242E">
            <w:pPr>
              <w:spacing w:before="20" w:after="0" w:line="240" w:lineRule="auto"/>
              <w:ind w:firstLine="0"/>
              <w:jc w:val="center"/>
              <w:rPr>
                <w:snapToGrid w:val="0"/>
                <w:sz w:val="22"/>
                <w:szCs w:val="22"/>
              </w:rPr>
            </w:pPr>
            <w:r w:rsidRPr="00BF0050">
              <w:rPr>
                <w:snapToGrid w:val="0"/>
                <w:sz w:val="22"/>
                <w:szCs w:val="22"/>
              </w:rPr>
              <w:t>6,6</w:t>
            </w:r>
          </w:p>
        </w:tc>
        <w:tc>
          <w:tcPr>
            <w:tcW w:w="1134" w:type="dxa"/>
            <w:gridSpan w:val="3"/>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6,</w:t>
            </w:r>
            <w:r w:rsidR="00040580" w:rsidRPr="00BF0050">
              <w:rPr>
                <w:snapToGrid w:val="0"/>
                <w:sz w:val="22"/>
                <w:szCs w:val="22"/>
              </w:rPr>
              <w:t>7</w:t>
            </w:r>
            <w:r w:rsidRPr="00BF0050">
              <w:rPr>
                <w:snapToGrid w:val="0"/>
                <w:sz w:val="22"/>
                <w:szCs w:val="22"/>
              </w:rPr>
              <w:t xml:space="preserve"> </w:t>
            </w:r>
          </w:p>
        </w:tc>
        <w:tc>
          <w:tcPr>
            <w:tcW w:w="992"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6,</w:t>
            </w:r>
            <w:r w:rsidR="00040580" w:rsidRPr="00BF0050">
              <w:rPr>
                <w:snapToGrid w:val="0"/>
                <w:sz w:val="22"/>
                <w:szCs w:val="22"/>
              </w:rPr>
              <w:t>8</w:t>
            </w:r>
          </w:p>
        </w:tc>
        <w:tc>
          <w:tcPr>
            <w:tcW w:w="850" w:type="dxa"/>
            <w:gridSpan w:val="2"/>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6,</w:t>
            </w:r>
            <w:r w:rsidR="00040580" w:rsidRPr="00BF0050">
              <w:rPr>
                <w:snapToGrid w:val="0"/>
                <w:sz w:val="22"/>
                <w:szCs w:val="22"/>
              </w:rPr>
              <w:t>8</w:t>
            </w:r>
          </w:p>
        </w:tc>
        <w:tc>
          <w:tcPr>
            <w:tcW w:w="993" w:type="dxa"/>
            <w:gridSpan w:val="2"/>
            <w:tcBorders>
              <w:left w:val="nil"/>
              <w:right w:val="single" w:sz="4" w:space="0" w:color="auto"/>
            </w:tcBorders>
            <w:shd w:val="solid" w:color="FFFFFF" w:fill="auto"/>
            <w:vAlign w:val="center"/>
          </w:tcPr>
          <w:p w:rsidR="00B100F7" w:rsidRPr="00BF0050" w:rsidRDefault="00B100F7" w:rsidP="00040580">
            <w:pPr>
              <w:spacing w:before="20" w:after="0" w:line="240" w:lineRule="auto"/>
              <w:ind w:firstLine="0"/>
              <w:jc w:val="center"/>
              <w:rPr>
                <w:snapToGrid w:val="0"/>
                <w:sz w:val="22"/>
                <w:szCs w:val="22"/>
              </w:rPr>
            </w:pPr>
            <w:r w:rsidRPr="00BF0050">
              <w:rPr>
                <w:snapToGrid w:val="0"/>
                <w:sz w:val="22"/>
                <w:szCs w:val="22"/>
              </w:rPr>
              <w:t>6,</w:t>
            </w:r>
            <w:r w:rsidR="00040580" w:rsidRPr="00BF0050">
              <w:rPr>
                <w:snapToGrid w:val="0"/>
                <w:sz w:val="22"/>
                <w:szCs w:val="22"/>
              </w:rPr>
              <w:t>8</w:t>
            </w:r>
          </w:p>
        </w:tc>
      </w:tr>
      <w:tr w:rsidR="00B100F7" w:rsidRPr="00BF0050" w:rsidTr="00744601">
        <w:trPr>
          <w:gridAfter w:val="1"/>
          <w:wAfter w:w="17" w:type="dxa"/>
          <w:trHeight w:val="247"/>
          <w:jc w:val="center"/>
        </w:trPr>
        <w:tc>
          <w:tcPr>
            <w:tcW w:w="5007" w:type="dxa"/>
            <w:tcBorders>
              <w:left w:val="single" w:sz="4" w:space="0" w:color="auto"/>
              <w:bottom w:val="single" w:sz="4" w:space="0" w:color="auto"/>
              <w:right w:val="single" w:sz="4" w:space="0" w:color="auto"/>
            </w:tcBorders>
            <w:shd w:val="solid" w:color="FFFFFF" w:fill="auto"/>
            <w:vAlign w:val="bottom"/>
          </w:tcPr>
          <w:p w:rsidR="00B100F7" w:rsidRPr="00BF0050" w:rsidRDefault="00B100F7" w:rsidP="0019777A">
            <w:pPr>
              <w:spacing w:before="20" w:line="240" w:lineRule="auto"/>
              <w:ind w:firstLine="0"/>
              <w:rPr>
                <w:i/>
                <w:snapToGrid w:val="0"/>
                <w:sz w:val="22"/>
                <w:szCs w:val="22"/>
              </w:rPr>
            </w:pPr>
            <w:r w:rsidRPr="00BF0050">
              <w:rPr>
                <w:sz w:val="22"/>
                <w:szCs w:val="22"/>
              </w:rPr>
              <w:t xml:space="preserve">        Чистые налоги на продукты и импорт</w:t>
            </w:r>
          </w:p>
        </w:tc>
        <w:tc>
          <w:tcPr>
            <w:tcW w:w="942" w:type="dxa"/>
            <w:tcBorders>
              <w:bottom w:val="single" w:sz="4" w:space="0" w:color="auto"/>
            </w:tcBorders>
            <w:shd w:val="solid" w:color="FFFFFF" w:fill="auto"/>
            <w:vAlign w:val="center"/>
          </w:tcPr>
          <w:p w:rsidR="00B100F7" w:rsidRPr="00BF0050" w:rsidRDefault="00B100F7" w:rsidP="0019777A">
            <w:pPr>
              <w:spacing w:before="20" w:line="240" w:lineRule="auto"/>
              <w:ind w:firstLine="0"/>
              <w:jc w:val="center"/>
              <w:rPr>
                <w:snapToGrid w:val="0"/>
                <w:sz w:val="22"/>
                <w:szCs w:val="22"/>
              </w:rPr>
            </w:pPr>
            <w:r w:rsidRPr="00BF0050">
              <w:rPr>
                <w:snapToGrid w:val="0"/>
                <w:sz w:val="22"/>
                <w:szCs w:val="22"/>
              </w:rPr>
              <w:t xml:space="preserve">10,4 </w:t>
            </w:r>
          </w:p>
        </w:tc>
        <w:tc>
          <w:tcPr>
            <w:tcW w:w="1134" w:type="dxa"/>
            <w:gridSpan w:val="3"/>
            <w:tcBorders>
              <w:bottom w:val="single" w:sz="4" w:space="0" w:color="auto"/>
            </w:tcBorders>
            <w:shd w:val="solid" w:color="FFFFFF" w:fill="auto"/>
            <w:vAlign w:val="center"/>
          </w:tcPr>
          <w:p w:rsidR="00B100F7" w:rsidRPr="00BF0050" w:rsidRDefault="00B100F7" w:rsidP="0019777A">
            <w:pPr>
              <w:spacing w:before="20" w:line="240" w:lineRule="auto"/>
              <w:ind w:firstLine="0"/>
              <w:jc w:val="center"/>
              <w:rPr>
                <w:snapToGrid w:val="0"/>
                <w:sz w:val="22"/>
                <w:szCs w:val="22"/>
              </w:rPr>
            </w:pPr>
            <w:r w:rsidRPr="00BF0050">
              <w:rPr>
                <w:snapToGrid w:val="0"/>
                <w:sz w:val="22"/>
                <w:szCs w:val="22"/>
              </w:rPr>
              <w:t xml:space="preserve">10,0 </w:t>
            </w:r>
          </w:p>
        </w:tc>
        <w:tc>
          <w:tcPr>
            <w:tcW w:w="992" w:type="dxa"/>
            <w:gridSpan w:val="2"/>
            <w:tcBorders>
              <w:bottom w:val="single" w:sz="4" w:space="0" w:color="auto"/>
            </w:tcBorders>
            <w:shd w:val="solid" w:color="FFFFFF" w:fill="auto"/>
            <w:vAlign w:val="center"/>
          </w:tcPr>
          <w:p w:rsidR="00B100F7" w:rsidRPr="00BF0050" w:rsidRDefault="00040580" w:rsidP="0019777A">
            <w:pPr>
              <w:spacing w:before="20" w:line="240" w:lineRule="auto"/>
              <w:ind w:firstLine="0"/>
              <w:jc w:val="center"/>
              <w:rPr>
                <w:snapToGrid w:val="0"/>
                <w:sz w:val="22"/>
                <w:szCs w:val="22"/>
              </w:rPr>
            </w:pPr>
            <w:r w:rsidRPr="00BF0050">
              <w:rPr>
                <w:snapToGrid w:val="0"/>
                <w:sz w:val="22"/>
                <w:szCs w:val="22"/>
              </w:rPr>
              <w:t>9,9</w:t>
            </w:r>
            <w:r w:rsidR="00B100F7" w:rsidRPr="00BF0050">
              <w:rPr>
                <w:snapToGrid w:val="0"/>
                <w:sz w:val="22"/>
                <w:szCs w:val="22"/>
              </w:rPr>
              <w:t xml:space="preserve"> </w:t>
            </w:r>
          </w:p>
        </w:tc>
        <w:tc>
          <w:tcPr>
            <w:tcW w:w="850" w:type="dxa"/>
            <w:gridSpan w:val="2"/>
            <w:tcBorders>
              <w:bottom w:val="single" w:sz="4" w:space="0" w:color="auto"/>
            </w:tcBorders>
            <w:shd w:val="solid" w:color="FFFFFF" w:fill="auto"/>
            <w:vAlign w:val="center"/>
          </w:tcPr>
          <w:p w:rsidR="00B100F7" w:rsidRPr="00BF0050" w:rsidRDefault="00B100F7" w:rsidP="00040580">
            <w:pPr>
              <w:spacing w:before="20" w:line="240" w:lineRule="auto"/>
              <w:ind w:firstLine="0"/>
              <w:jc w:val="center"/>
              <w:rPr>
                <w:snapToGrid w:val="0"/>
                <w:sz w:val="22"/>
                <w:szCs w:val="22"/>
              </w:rPr>
            </w:pPr>
            <w:r w:rsidRPr="00BF0050">
              <w:rPr>
                <w:snapToGrid w:val="0"/>
                <w:sz w:val="22"/>
                <w:szCs w:val="22"/>
              </w:rPr>
              <w:t>9,</w:t>
            </w:r>
            <w:r w:rsidR="00040580" w:rsidRPr="00BF0050">
              <w:rPr>
                <w:snapToGrid w:val="0"/>
                <w:sz w:val="22"/>
                <w:szCs w:val="22"/>
              </w:rPr>
              <w:t>6</w:t>
            </w:r>
            <w:r w:rsidRPr="00BF0050">
              <w:rPr>
                <w:snapToGrid w:val="0"/>
                <w:sz w:val="22"/>
                <w:szCs w:val="22"/>
              </w:rPr>
              <w:t xml:space="preserve"> </w:t>
            </w:r>
          </w:p>
        </w:tc>
        <w:tc>
          <w:tcPr>
            <w:tcW w:w="993" w:type="dxa"/>
            <w:gridSpan w:val="2"/>
            <w:tcBorders>
              <w:left w:val="nil"/>
              <w:bottom w:val="single" w:sz="4" w:space="0" w:color="auto"/>
              <w:right w:val="single" w:sz="4" w:space="0" w:color="auto"/>
            </w:tcBorders>
            <w:shd w:val="solid" w:color="FFFFFF" w:fill="auto"/>
            <w:vAlign w:val="center"/>
          </w:tcPr>
          <w:p w:rsidR="00B100F7" w:rsidRPr="00BF0050" w:rsidRDefault="00B100F7" w:rsidP="00040580">
            <w:pPr>
              <w:spacing w:before="20" w:line="240" w:lineRule="auto"/>
              <w:ind w:firstLine="0"/>
              <w:jc w:val="center"/>
              <w:rPr>
                <w:snapToGrid w:val="0"/>
                <w:sz w:val="22"/>
                <w:szCs w:val="22"/>
              </w:rPr>
            </w:pPr>
            <w:r w:rsidRPr="00BF0050">
              <w:rPr>
                <w:snapToGrid w:val="0"/>
                <w:sz w:val="22"/>
                <w:szCs w:val="22"/>
              </w:rPr>
              <w:t>9,</w:t>
            </w:r>
            <w:r w:rsidR="00040580" w:rsidRPr="00BF0050">
              <w:rPr>
                <w:snapToGrid w:val="0"/>
                <w:sz w:val="22"/>
                <w:szCs w:val="22"/>
              </w:rPr>
              <w:t>6</w:t>
            </w:r>
          </w:p>
        </w:tc>
      </w:tr>
    </w:tbl>
    <w:p w:rsidR="00BF6B36" w:rsidRPr="00BF0050" w:rsidRDefault="0019777A" w:rsidP="0019777A">
      <w:pPr>
        <w:spacing w:before="240" w:after="0"/>
        <w:jc w:val="both"/>
        <w:rPr>
          <w:sz w:val="26"/>
          <w:szCs w:val="26"/>
          <w:shd w:val="clear" w:color="auto" w:fill="FFFFFF"/>
        </w:rPr>
      </w:pPr>
      <w:r w:rsidRPr="00BF0050">
        <w:rPr>
          <w:sz w:val="26"/>
          <w:szCs w:val="26"/>
        </w:rPr>
        <w:lastRenderedPageBreak/>
        <w:t>Н</w:t>
      </w:r>
      <w:r w:rsidR="00BF6B36" w:rsidRPr="00BF0050">
        <w:rPr>
          <w:sz w:val="26"/>
          <w:szCs w:val="26"/>
        </w:rPr>
        <w:t xml:space="preserve">ачиная с 2017 года экономический рост возобновится, но его темпы останутся невысокими – в пределах </w:t>
      </w:r>
      <w:r w:rsidR="00744601" w:rsidRPr="00BF0050">
        <w:rPr>
          <w:sz w:val="26"/>
          <w:szCs w:val="26"/>
        </w:rPr>
        <w:t>0</w:t>
      </w:r>
      <w:r w:rsidR="00BF6B36" w:rsidRPr="00BF0050">
        <w:rPr>
          <w:sz w:val="26"/>
          <w:szCs w:val="26"/>
        </w:rPr>
        <w:t>,</w:t>
      </w:r>
      <w:r w:rsidR="00B100F7" w:rsidRPr="00BF0050">
        <w:rPr>
          <w:sz w:val="26"/>
          <w:szCs w:val="26"/>
        </w:rPr>
        <w:t>8</w:t>
      </w:r>
      <w:r w:rsidR="00BF6B36" w:rsidRPr="00BF0050">
        <w:rPr>
          <w:sz w:val="26"/>
          <w:szCs w:val="26"/>
        </w:rPr>
        <w:t>–2,</w:t>
      </w:r>
      <w:r w:rsidR="00B100F7" w:rsidRPr="00BF0050">
        <w:rPr>
          <w:sz w:val="26"/>
          <w:szCs w:val="26"/>
        </w:rPr>
        <w:t xml:space="preserve">2 </w:t>
      </w:r>
      <w:r w:rsidR="00BF6B36" w:rsidRPr="00BF0050">
        <w:rPr>
          <w:sz w:val="26"/>
          <w:szCs w:val="26"/>
        </w:rPr>
        <w:t>процента. Валовая добавленная стоимость в п</w:t>
      </w:r>
      <w:r w:rsidR="00BF6B36" w:rsidRPr="00BF0050">
        <w:rPr>
          <w:sz w:val="26"/>
          <w:szCs w:val="26"/>
          <w:shd w:val="clear" w:color="auto" w:fill="FFFFFF"/>
        </w:rPr>
        <w:t>ромышленности будет расти умеренными темпами (</w:t>
      </w:r>
      <w:r w:rsidR="00BB2D69" w:rsidRPr="00BF0050">
        <w:rPr>
          <w:sz w:val="26"/>
          <w:szCs w:val="26"/>
          <w:shd w:val="clear" w:color="auto" w:fill="FFFFFF"/>
        </w:rPr>
        <w:t>0,7</w:t>
      </w:r>
      <w:r w:rsidR="00BF6B36" w:rsidRPr="00BF0050">
        <w:rPr>
          <w:sz w:val="26"/>
          <w:szCs w:val="26"/>
          <w:shd w:val="clear" w:color="auto" w:fill="FFFFFF"/>
        </w:rPr>
        <w:t>–</w:t>
      </w:r>
      <w:r w:rsidR="00BB2D69" w:rsidRPr="00BF0050">
        <w:rPr>
          <w:sz w:val="26"/>
          <w:szCs w:val="26"/>
          <w:shd w:val="clear" w:color="auto" w:fill="FFFFFF"/>
        </w:rPr>
        <w:t>1,</w:t>
      </w:r>
      <w:r w:rsidR="00B100F7" w:rsidRPr="00BF0050">
        <w:rPr>
          <w:sz w:val="26"/>
          <w:szCs w:val="26"/>
          <w:shd w:val="clear" w:color="auto" w:fill="FFFFFF"/>
        </w:rPr>
        <w:t xml:space="preserve">6 </w:t>
      </w:r>
      <w:r w:rsidR="00BF6B36" w:rsidRPr="00BF0050">
        <w:rPr>
          <w:sz w:val="26"/>
          <w:szCs w:val="26"/>
          <w:shd w:val="clear" w:color="auto" w:fill="FFFFFF"/>
        </w:rPr>
        <w:t>% в год). Ведущая роль в промышленном подъеме сместится к отраслям промежуточного и конечного спроса. В добыче полезных ископаемых производств</w:t>
      </w:r>
      <w:r w:rsidR="00BB2D69" w:rsidRPr="00BF0050">
        <w:rPr>
          <w:sz w:val="26"/>
          <w:szCs w:val="26"/>
          <w:shd w:val="clear" w:color="auto" w:fill="FFFFFF"/>
        </w:rPr>
        <w:t>о</w:t>
      </w:r>
      <w:r w:rsidR="00BF6B36" w:rsidRPr="00BF0050">
        <w:rPr>
          <w:sz w:val="26"/>
          <w:szCs w:val="26"/>
          <w:shd w:val="clear" w:color="auto" w:fill="FFFFFF"/>
        </w:rPr>
        <w:t xml:space="preserve"> добавленной стоимости </w:t>
      </w:r>
      <w:r w:rsidR="00BB2D69" w:rsidRPr="00BF0050">
        <w:rPr>
          <w:sz w:val="26"/>
          <w:szCs w:val="26"/>
          <w:shd w:val="clear" w:color="auto" w:fill="FFFFFF"/>
        </w:rPr>
        <w:t>стагнирует в</w:t>
      </w:r>
      <w:r w:rsidR="00DD7338" w:rsidRPr="00BF0050">
        <w:rPr>
          <w:sz w:val="26"/>
          <w:szCs w:val="26"/>
          <w:shd w:val="clear" w:color="auto" w:fill="FFFFFF"/>
        </w:rPr>
        <w:t> </w:t>
      </w:r>
      <w:r w:rsidR="00BB2D69" w:rsidRPr="00BF0050">
        <w:rPr>
          <w:sz w:val="26"/>
          <w:szCs w:val="26"/>
          <w:shd w:val="clear" w:color="auto" w:fill="FFFFFF"/>
        </w:rPr>
        <w:t>пределах слабо</w:t>
      </w:r>
      <w:r w:rsidR="009141FD" w:rsidRPr="00BF0050">
        <w:rPr>
          <w:sz w:val="26"/>
          <w:szCs w:val="26"/>
          <w:shd w:val="clear" w:color="auto" w:fill="FFFFFF"/>
        </w:rPr>
        <w:t xml:space="preserve">й </w:t>
      </w:r>
      <w:r w:rsidR="00BB2D69" w:rsidRPr="00BF0050">
        <w:rPr>
          <w:sz w:val="26"/>
          <w:szCs w:val="26"/>
          <w:shd w:val="clear" w:color="auto" w:fill="FFFFFF"/>
        </w:rPr>
        <w:t xml:space="preserve">отрицательной динамики </w:t>
      </w:r>
      <w:r w:rsidR="00BF6B36" w:rsidRPr="00BF0050">
        <w:rPr>
          <w:sz w:val="26"/>
          <w:szCs w:val="26"/>
          <w:shd w:val="clear" w:color="auto" w:fill="FFFFFF"/>
        </w:rPr>
        <w:t xml:space="preserve">на фоне </w:t>
      </w:r>
      <w:r w:rsidR="00367D09" w:rsidRPr="00BF0050">
        <w:rPr>
          <w:sz w:val="26"/>
          <w:szCs w:val="26"/>
          <w:shd w:val="clear" w:color="auto" w:fill="FFFFFF"/>
        </w:rPr>
        <w:t xml:space="preserve">его </w:t>
      </w:r>
      <w:r w:rsidR="00BF6B36" w:rsidRPr="00BF0050">
        <w:rPr>
          <w:sz w:val="26"/>
          <w:szCs w:val="26"/>
          <w:shd w:val="clear" w:color="auto" w:fill="FFFFFF"/>
        </w:rPr>
        <w:t>существенного ускорения в</w:t>
      </w:r>
      <w:r w:rsidR="00DD7338" w:rsidRPr="00BF0050">
        <w:rPr>
          <w:sz w:val="26"/>
          <w:szCs w:val="26"/>
          <w:shd w:val="clear" w:color="auto" w:fill="FFFFFF"/>
        </w:rPr>
        <w:t> </w:t>
      </w:r>
      <w:r w:rsidR="00BF6B36" w:rsidRPr="00BF0050">
        <w:rPr>
          <w:sz w:val="26"/>
          <w:szCs w:val="26"/>
          <w:shd w:val="clear" w:color="auto" w:fill="FFFFFF"/>
        </w:rPr>
        <w:t>обрабатывающих производствах</w:t>
      </w:r>
      <w:r w:rsidRPr="00BF0050">
        <w:rPr>
          <w:sz w:val="26"/>
          <w:szCs w:val="26"/>
          <w:shd w:val="clear" w:color="auto" w:fill="FFFFFF"/>
        </w:rPr>
        <w:t xml:space="preserve"> </w:t>
      </w:r>
      <w:r w:rsidR="00BF6B36" w:rsidRPr="00BF0050">
        <w:rPr>
          <w:sz w:val="26"/>
          <w:szCs w:val="26"/>
          <w:shd w:val="clear" w:color="auto" w:fill="FFFFFF"/>
        </w:rPr>
        <w:t>с 1,5 до 2,</w:t>
      </w:r>
      <w:r w:rsidR="00B100F7" w:rsidRPr="00BF0050">
        <w:rPr>
          <w:sz w:val="26"/>
          <w:szCs w:val="26"/>
          <w:shd w:val="clear" w:color="auto" w:fill="FFFFFF"/>
        </w:rPr>
        <w:t xml:space="preserve">6 </w:t>
      </w:r>
      <w:r w:rsidR="00BF6B36" w:rsidRPr="00BF0050">
        <w:rPr>
          <w:sz w:val="26"/>
          <w:szCs w:val="26"/>
          <w:shd w:val="clear" w:color="auto" w:fill="FFFFFF"/>
        </w:rPr>
        <w:t>процент</w:t>
      </w:r>
      <w:r w:rsidRPr="00BF0050">
        <w:rPr>
          <w:sz w:val="26"/>
          <w:szCs w:val="26"/>
          <w:shd w:val="clear" w:color="auto" w:fill="FFFFFF"/>
        </w:rPr>
        <w:t>а</w:t>
      </w:r>
      <w:r w:rsidR="00BF6B36" w:rsidRPr="00BF0050">
        <w:rPr>
          <w:sz w:val="26"/>
          <w:szCs w:val="26"/>
          <w:shd w:val="clear" w:color="auto" w:fill="FFFFFF"/>
        </w:rPr>
        <w:t xml:space="preserve">. Динамику добавленной стоимости обрабатывающих производств </w:t>
      </w:r>
      <w:r w:rsidR="009141FD" w:rsidRPr="00BF0050">
        <w:rPr>
          <w:sz w:val="26"/>
          <w:szCs w:val="26"/>
          <w:shd w:val="clear" w:color="auto" w:fill="FFFFFF"/>
        </w:rPr>
        <w:t xml:space="preserve">будет </w:t>
      </w:r>
      <w:r w:rsidR="00BF6B36" w:rsidRPr="00BF0050">
        <w:rPr>
          <w:sz w:val="26"/>
          <w:szCs w:val="26"/>
          <w:shd w:val="clear" w:color="auto" w:fill="FFFFFF"/>
        </w:rPr>
        <w:t>поддержи</w:t>
      </w:r>
      <w:r w:rsidR="009141FD" w:rsidRPr="00BF0050">
        <w:rPr>
          <w:sz w:val="26"/>
          <w:szCs w:val="26"/>
          <w:shd w:val="clear" w:color="auto" w:fill="FFFFFF"/>
        </w:rPr>
        <w:t>ва</w:t>
      </w:r>
      <w:r w:rsidR="00BF6B36" w:rsidRPr="00BF0050">
        <w:rPr>
          <w:sz w:val="26"/>
          <w:szCs w:val="26"/>
          <w:shd w:val="clear" w:color="auto" w:fill="FFFFFF"/>
        </w:rPr>
        <w:t>т</w:t>
      </w:r>
      <w:r w:rsidR="009141FD" w:rsidRPr="00BF0050">
        <w:rPr>
          <w:sz w:val="26"/>
          <w:szCs w:val="26"/>
          <w:shd w:val="clear" w:color="auto" w:fill="FFFFFF"/>
        </w:rPr>
        <w:t>ь</w:t>
      </w:r>
      <w:r w:rsidR="00BF6B36" w:rsidRPr="00BF0050">
        <w:rPr>
          <w:sz w:val="26"/>
          <w:szCs w:val="26"/>
          <w:shd w:val="clear" w:color="auto" w:fill="FFFFFF"/>
        </w:rPr>
        <w:t xml:space="preserve"> рост </w:t>
      </w:r>
      <w:r w:rsidR="00BF6B36" w:rsidRPr="00BF0050">
        <w:rPr>
          <w:sz w:val="26"/>
          <w:szCs w:val="26"/>
        </w:rPr>
        <w:t>неэнергетического экспорта. В </w:t>
      </w:r>
      <w:r w:rsidR="00BF6B36" w:rsidRPr="00BF0050">
        <w:rPr>
          <w:sz w:val="26"/>
          <w:szCs w:val="26"/>
          <w:shd w:val="clear" w:color="auto" w:fill="FFFFFF"/>
        </w:rPr>
        <w:t>фондообразующих отраслях промышленности динамику производства добавленной стоимости будет определять состояние инвестиционного спроса.</w:t>
      </w:r>
    </w:p>
    <w:p w:rsidR="00BF6B36" w:rsidRPr="00BF0050" w:rsidRDefault="00BF6B36" w:rsidP="008C1232">
      <w:pPr>
        <w:spacing w:before="0" w:after="0"/>
        <w:jc w:val="both"/>
        <w:rPr>
          <w:sz w:val="26"/>
          <w:szCs w:val="26"/>
          <w:shd w:val="clear" w:color="auto" w:fill="FFFFFF"/>
        </w:rPr>
      </w:pPr>
      <w:r w:rsidRPr="00BF0050">
        <w:rPr>
          <w:sz w:val="26"/>
          <w:szCs w:val="26"/>
          <w:shd w:val="clear" w:color="auto" w:fill="FFFFFF"/>
        </w:rPr>
        <w:t xml:space="preserve">В сельском хозяйстве ожидается ускорение роста </w:t>
      </w:r>
      <w:r w:rsidR="00744601" w:rsidRPr="00BF0050">
        <w:rPr>
          <w:sz w:val="26"/>
          <w:szCs w:val="26"/>
          <w:shd w:val="clear" w:color="auto" w:fill="FFFFFF"/>
        </w:rPr>
        <w:t>валовой добавленной стоимости</w:t>
      </w:r>
      <w:r w:rsidRPr="00BF0050">
        <w:rPr>
          <w:sz w:val="26"/>
          <w:szCs w:val="26"/>
          <w:shd w:val="clear" w:color="auto" w:fill="FFFFFF"/>
        </w:rPr>
        <w:t xml:space="preserve"> до 1,</w:t>
      </w:r>
      <w:r w:rsidR="00B100F7" w:rsidRPr="00BF0050">
        <w:rPr>
          <w:sz w:val="26"/>
          <w:szCs w:val="26"/>
          <w:shd w:val="clear" w:color="auto" w:fill="FFFFFF"/>
        </w:rPr>
        <w:t>3</w:t>
      </w:r>
      <w:r w:rsidRPr="00BF0050">
        <w:rPr>
          <w:sz w:val="26"/>
          <w:szCs w:val="26"/>
          <w:shd w:val="clear" w:color="auto" w:fill="FFFFFF"/>
        </w:rPr>
        <w:t>–</w:t>
      </w:r>
      <w:r w:rsidR="00DD7338" w:rsidRPr="00BF0050">
        <w:rPr>
          <w:sz w:val="26"/>
          <w:szCs w:val="26"/>
          <w:shd w:val="clear" w:color="auto" w:fill="FFFFFF"/>
        </w:rPr>
        <w:t>2,0</w:t>
      </w:r>
      <w:r w:rsidRPr="00BF0050">
        <w:rPr>
          <w:sz w:val="26"/>
          <w:szCs w:val="26"/>
          <w:shd w:val="clear" w:color="auto" w:fill="FFFFFF"/>
        </w:rPr>
        <w:t xml:space="preserve">  процент</w:t>
      </w:r>
      <w:r w:rsidR="0019777A" w:rsidRPr="00BF0050">
        <w:rPr>
          <w:sz w:val="26"/>
          <w:szCs w:val="26"/>
          <w:shd w:val="clear" w:color="auto" w:fill="FFFFFF"/>
        </w:rPr>
        <w:t>а</w:t>
      </w:r>
      <w:r w:rsidRPr="00BF0050">
        <w:rPr>
          <w:sz w:val="26"/>
          <w:szCs w:val="26"/>
          <w:shd w:val="clear" w:color="auto" w:fill="FFFFFF"/>
        </w:rPr>
        <w:t>.</w:t>
      </w:r>
    </w:p>
    <w:p w:rsidR="00BF6B36" w:rsidRPr="00BF0050" w:rsidRDefault="00BF6B36" w:rsidP="008C1232">
      <w:pPr>
        <w:spacing w:before="0" w:after="0"/>
        <w:jc w:val="both"/>
        <w:rPr>
          <w:sz w:val="26"/>
          <w:szCs w:val="26"/>
          <w:shd w:val="clear" w:color="auto" w:fill="FFFFFF"/>
        </w:rPr>
      </w:pPr>
      <w:r w:rsidRPr="00BF0050">
        <w:rPr>
          <w:sz w:val="26"/>
          <w:szCs w:val="26"/>
          <w:shd w:val="clear" w:color="auto" w:fill="FFFFFF"/>
        </w:rPr>
        <w:t xml:space="preserve">Рост производства валовой добавленной стоимости в строительстве </w:t>
      </w:r>
      <w:r w:rsidR="00DD7338" w:rsidRPr="00BF0050">
        <w:rPr>
          <w:sz w:val="26"/>
          <w:szCs w:val="26"/>
          <w:shd w:val="clear" w:color="auto" w:fill="FFFFFF"/>
        </w:rPr>
        <w:t xml:space="preserve">в </w:t>
      </w:r>
      <w:r w:rsidR="00B100F7" w:rsidRPr="00BF0050">
        <w:rPr>
          <w:sz w:val="26"/>
          <w:szCs w:val="26"/>
          <w:shd w:val="clear" w:color="auto" w:fill="FFFFFF"/>
        </w:rPr>
        <w:t>пределах</w:t>
      </w:r>
      <w:r w:rsidR="009141FD" w:rsidRPr="00BF0050">
        <w:rPr>
          <w:sz w:val="26"/>
          <w:szCs w:val="26"/>
          <w:shd w:val="clear" w:color="auto" w:fill="FFFFFF"/>
        </w:rPr>
        <w:t xml:space="preserve">    </w:t>
      </w:r>
      <w:r w:rsidR="00B100F7" w:rsidRPr="00BF0050">
        <w:rPr>
          <w:sz w:val="26"/>
          <w:szCs w:val="26"/>
          <w:shd w:val="clear" w:color="auto" w:fill="FFFFFF"/>
        </w:rPr>
        <w:t>0,8–4</w:t>
      </w:r>
      <w:r w:rsidR="00744601" w:rsidRPr="00BF0050">
        <w:rPr>
          <w:sz w:val="26"/>
          <w:szCs w:val="26"/>
          <w:shd w:val="clear" w:color="auto" w:fill="FFFFFF"/>
        </w:rPr>
        <w:t> </w:t>
      </w:r>
      <w:r w:rsidRPr="00BF0050">
        <w:rPr>
          <w:sz w:val="26"/>
          <w:szCs w:val="26"/>
          <w:shd w:val="clear" w:color="auto" w:fill="FFFFFF"/>
        </w:rPr>
        <w:t xml:space="preserve">% станет результатом возобновления роста инвестиций в основной капитал, необходимых для дальнейшего наращивания производства. </w:t>
      </w:r>
    </w:p>
    <w:p w:rsidR="00BF6B36" w:rsidRPr="00BF0050" w:rsidRDefault="00BF6B36" w:rsidP="008C1232">
      <w:pPr>
        <w:spacing w:before="0" w:after="0"/>
        <w:jc w:val="both"/>
        <w:rPr>
          <w:sz w:val="26"/>
          <w:szCs w:val="26"/>
          <w:shd w:val="clear" w:color="auto" w:fill="FFFFFF"/>
        </w:rPr>
      </w:pPr>
      <w:r w:rsidRPr="00BF0050">
        <w:rPr>
          <w:sz w:val="26"/>
          <w:szCs w:val="26"/>
          <w:shd w:val="clear" w:color="auto" w:fill="FFFFFF"/>
        </w:rPr>
        <w:t>В отрасли «Транспорт и связь» ежегодный рост валовой добавленной стоимости в</w:t>
      </w:r>
      <w:r w:rsidR="0019777A" w:rsidRPr="00BF0050">
        <w:rPr>
          <w:sz w:val="26"/>
          <w:szCs w:val="26"/>
          <w:shd w:val="clear" w:color="auto" w:fill="FFFFFF"/>
        </w:rPr>
        <w:t> </w:t>
      </w:r>
      <w:r w:rsidRPr="00BF0050">
        <w:rPr>
          <w:sz w:val="26"/>
          <w:szCs w:val="26"/>
          <w:shd w:val="clear" w:color="auto" w:fill="FFFFFF"/>
        </w:rPr>
        <w:t>2017</w:t>
      </w:r>
      <w:r w:rsidR="0019777A" w:rsidRPr="00BF0050">
        <w:rPr>
          <w:sz w:val="26"/>
          <w:szCs w:val="26"/>
          <w:shd w:val="clear" w:color="auto" w:fill="FFFFFF"/>
        </w:rPr>
        <w:t> – </w:t>
      </w:r>
      <w:r w:rsidRPr="00BF0050">
        <w:rPr>
          <w:sz w:val="26"/>
          <w:szCs w:val="26"/>
          <w:shd w:val="clear" w:color="auto" w:fill="FFFFFF"/>
        </w:rPr>
        <w:t xml:space="preserve">2019 гг. составит </w:t>
      </w:r>
      <w:r w:rsidR="001602FC" w:rsidRPr="00BF0050">
        <w:rPr>
          <w:sz w:val="26"/>
          <w:szCs w:val="26"/>
          <w:shd w:val="clear" w:color="auto" w:fill="FFFFFF"/>
        </w:rPr>
        <w:t>2,4</w:t>
      </w:r>
      <w:r w:rsidR="0019777A" w:rsidRPr="00BF0050">
        <w:rPr>
          <w:sz w:val="26"/>
          <w:szCs w:val="26"/>
          <w:shd w:val="clear" w:color="auto" w:fill="FFFFFF"/>
        </w:rPr>
        <w:t>–</w:t>
      </w:r>
      <w:r w:rsidR="001602FC" w:rsidRPr="00BF0050">
        <w:rPr>
          <w:sz w:val="26"/>
          <w:szCs w:val="26"/>
          <w:shd w:val="clear" w:color="auto" w:fill="FFFFFF"/>
        </w:rPr>
        <w:t>3,9</w:t>
      </w:r>
      <w:r w:rsidRPr="00BF0050">
        <w:rPr>
          <w:sz w:val="26"/>
          <w:szCs w:val="26"/>
          <w:shd w:val="clear" w:color="auto" w:fill="FFFFFF"/>
        </w:rPr>
        <w:t xml:space="preserve"> процента.</w:t>
      </w:r>
    </w:p>
    <w:p w:rsidR="001602FC" w:rsidRPr="00BF0050" w:rsidRDefault="00BF6B36" w:rsidP="001602FC">
      <w:pPr>
        <w:spacing w:before="0" w:after="0"/>
        <w:jc w:val="both"/>
        <w:rPr>
          <w:sz w:val="26"/>
          <w:szCs w:val="26"/>
        </w:rPr>
      </w:pPr>
      <w:r w:rsidRPr="00BF0050">
        <w:rPr>
          <w:sz w:val="26"/>
          <w:szCs w:val="26"/>
        </w:rPr>
        <w:t xml:space="preserve">Пропорции формирования </w:t>
      </w:r>
      <w:r w:rsidRPr="00BF0050">
        <w:rPr>
          <w:b/>
          <w:bCs/>
          <w:sz w:val="26"/>
          <w:szCs w:val="26"/>
        </w:rPr>
        <w:t xml:space="preserve">ВВП по источникам доходов </w:t>
      </w:r>
      <w:r w:rsidRPr="00BF0050">
        <w:rPr>
          <w:sz w:val="26"/>
          <w:szCs w:val="26"/>
        </w:rPr>
        <w:t xml:space="preserve">в базовом варианте, по оценке Минэкономразвития России, будут изменяться следующим образом. Удельный вес оплаты труда наемных работников в 2016 году </w:t>
      </w:r>
      <w:r w:rsidR="001602FC" w:rsidRPr="00BF0050">
        <w:rPr>
          <w:sz w:val="26"/>
          <w:szCs w:val="26"/>
        </w:rPr>
        <w:t>вырастет</w:t>
      </w:r>
      <w:r w:rsidRPr="00BF0050">
        <w:rPr>
          <w:sz w:val="26"/>
          <w:szCs w:val="26"/>
        </w:rPr>
        <w:t xml:space="preserve"> по сравнению с 2015 годом на </w:t>
      </w:r>
      <w:r w:rsidR="001602FC" w:rsidRPr="00BF0050">
        <w:rPr>
          <w:sz w:val="26"/>
          <w:szCs w:val="26"/>
        </w:rPr>
        <w:t xml:space="preserve">0,4 п. п. – с 46,8 до 47,2 </w:t>
      </w:r>
      <w:r w:rsidRPr="00BF0050">
        <w:rPr>
          <w:sz w:val="26"/>
          <w:szCs w:val="26"/>
        </w:rPr>
        <w:t xml:space="preserve">% ВВП. </w:t>
      </w:r>
      <w:r w:rsidR="001602FC" w:rsidRPr="00BF0050">
        <w:rPr>
          <w:sz w:val="26"/>
          <w:szCs w:val="26"/>
        </w:rPr>
        <w:t xml:space="preserve">Повышение произойдет из-за более высокого роста фонда заработной платы по отношению к наращиванию стоимостного объема ВВП </w:t>
      </w:r>
      <w:r w:rsidR="00535563" w:rsidRPr="00BF0050">
        <w:rPr>
          <w:sz w:val="26"/>
          <w:szCs w:val="26"/>
        </w:rPr>
        <w:t>в </w:t>
      </w:r>
      <w:r w:rsidR="001602FC" w:rsidRPr="00BF0050">
        <w:rPr>
          <w:sz w:val="26"/>
          <w:szCs w:val="26"/>
        </w:rPr>
        <w:t xml:space="preserve">частном секторе экономики. </w:t>
      </w:r>
    </w:p>
    <w:p w:rsidR="00BF6B36" w:rsidRPr="00BF0050" w:rsidRDefault="00BF6B36" w:rsidP="008C1232">
      <w:pPr>
        <w:spacing w:before="0" w:after="0"/>
        <w:jc w:val="both"/>
        <w:rPr>
          <w:i/>
          <w:sz w:val="26"/>
          <w:szCs w:val="26"/>
        </w:rPr>
      </w:pPr>
      <w:r w:rsidRPr="00BF0050">
        <w:rPr>
          <w:sz w:val="26"/>
          <w:szCs w:val="26"/>
        </w:rPr>
        <w:t>Снижение уровня чистых налогов на производство и импорт в первичных доходах экономики с 11,4 % ВВП в 2015 году до 10,</w:t>
      </w:r>
      <w:r w:rsidR="001602FC" w:rsidRPr="00BF0050">
        <w:rPr>
          <w:sz w:val="26"/>
          <w:szCs w:val="26"/>
        </w:rPr>
        <w:t>8 </w:t>
      </w:r>
      <w:r w:rsidRPr="00BF0050">
        <w:rPr>
          <w:sz w:val="26"/>
          <w:szCs w:val="26"/>
        </w:rPr>
        <w:t xml:space="preserve">% ВВП в 2016 году связано в первую очередь со снижением поступлений налогов на внешнюю торговлю (таможенных пошлин). </w:t>
      </w:r>
    </w:p>
    <w:p w:rsidR="00BF6B36" w:rsidRPr="00BF0050" w:rsidRDefault="00BF6B36" w:rsidP="00BF6B36">
      <w:pPr>
        <w:spacing w:after="0" w:line="240" w:lineRule="auto"/>
        <w:ind w:firstLine="0"/>
        <w:jc w:val="center"/>
        <w:rPr>
          <w:b/>
          <w:sz w:val="26"/>
          <w:szCs w:val="26"/>
        </w:rPr>
      </w:pPr>
      <w:r w:rsidRPr="00BF0050">
        <w:rPr>
          <w:b/>
          <w:sz w:val="26"/>
          <w:szCs w:val="26"/>
        </w:rPr>
        <w:t xml:space="preserve">ВВП по источникам доходов </w:t>
      </w:r>
    </w:p>
    <w:p w:rsidR="00BF6B36" w:rsidRPr="00BF0050" w:rsidRDefault="00BF6B36" w:rsidP="00BB39C8">
      <w:pPr>
        <w:autoSpaceDE w:val="0"/>
        <w:autoSpaceDN w:val="0"/>
        <w:adjustRightInd w:val="0"/>
        <w:spacing w:before="0" w:after="60" w:line="240" w:lineRule="auto"/>
        <w:ind w:firstLine="0"/>
        <w:jc w:val="right"/>
      </w:pPr>
      <w:r w:rsidRPr="00BF0050">
        <w:t xml:space="preserve">                                                                                                                                         (</w:t>
      </w:r>
      <w:proofErr w:type="gramStart"/>
      <w:r w:rsidRPr="00BF0050">
        <w:t>в</w:t>
      </w:r>
      <w:proofErr w:type="gramEnd"/>
      <w:r w:rsidRPr="00BF0050">
        <w:t xml:space="preserve"> % к итогу)</w:t>
      </w:r>
    </w:p>
    <w:tbl>
      <w:tblPr>
        <w:tblW w:w="9967"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1049"/>
        <w:gridCol w:w="1049"/>
        <w:gridCol w:w="1049"/>
        <w:gridCol w:w="1049"/>
        <w:gridCol w:w="1049"/>
      </w:tblGrid>
      <w:tr w:rsidR="00BF6B36" w:rsidRPr="00BF0050" w:rsidTr="0019777A">
        <w:trPr>
          <w:trHeight w:val="305"/>
        </w:trPr>
        <w:tc>
          <w:tcPr>
            <w:tcW w:w="4722" w:type="dxa"/>
            <w:tcBorders>
              <w:top w:val="single" w:sz="4" w:space="0" w:color="auto"/>
              <w:left w:val="single" w:sz="4" w:space="0" w:color="auto"/>
              <w:bottom w:val="single" w:sz="4" w:space="0" w:color="auto"/>
              <w:right w:val="single" w:sz="4" w:space="0" w:color="auto"/>
            </w:tcBorders>
            <w:noWrap/>
          </w:tcPr>
          <w:p w:rsidR="00BF6B36" w:rsidRPr="00BF0050" w:rsidRDefault="00BF6B36" w:rsidP="003D242E">
            <w:pPr>
              <w:spacing w:before="20" w:after="20" w:line="300" w:lineRule="exact"/>
              <w:ind w:right="-108" w:firstLine="0"/>
              <w:jc w:val="center"/>
            </w:pPr>
          </w:p>
        </w:tc>
        <w:tc>
          <w:tcPr>
            <w:tcW w:w="1049" w:type="dxa"/>
            <w:tcBorders>
              <w:top w:val="single" w:sz="4" w:space="0" w:color="auto"/>
              <w:left w:val="single" w:sz="4" w:space="0" w:color="auto"/>
              <w:bottom w:val="single" w:sz="4" w:space="0" w:color="auto"/>
              <w:right w:val="single" w:sz="4" w:space="0" w:color="auto"/>
            </w:tcBorders>
            <w:vAlign w:val="center"/>
            <w:hideMark/>
          </w:tcPr>
          <w:p w:rsidR="00BF6B36" w:rsidRPr="00BF0050" w:rsidRDefault="00BF6B36" w:rsidP="003D242E">
            <w:pPr>
              <w:spacing w:before="20" w:after="20" w:line="300" w:lineRule="exact"/>
              <w:ind w:left="-108" w:right="-108" w:firstLine="0"/>
              <w:jc w:val="center"/>
              <w:rPr>
                <w:bCs/>
              </w:rPr>
            </w:pPr>
            <w:r w:rsidRPr="00BF0050">
              <w:rPr>
                <w:bCs/>
              </w:rPr>
              <w:t>2015 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BF6B36" w:rsidRPr="00BF0050" w:rsidRDefault="00BF6B36" w:rsidP="003D242E">
            <w:pPr>
              <w:spacing w:before="20" w:after="20" w:line="300" w:lineRule="exact"/>
              <w:ind w:left="-180" w:right="-108" w:firstLine="0"/>
              <w:jc w:val="center"/>
              <w:rPr>
                <w:bCs/>
              </w:rPr>
            </w:pPr>
            <w:r w:rsidRPr="00BF0050">
              <w:rPr>
                <w:bCs/>
              </w:rPr>
              <w:t>2016 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BF6B36" w:rsidRPr="00BF0050" w:rsidRDefault="00BF6B36" w:rsidP="003D242E">
            <w:pPr>
              <w:spacing w:before="20" w:after="20" w:line="300" w:lineRule="exact"/>
              <w:ind w:left="-108" w:right="-108" w:firstLine="0"/>
              <w:jc w:val="center"/>
              <w:rPr>
                <w:bCs/>
              </w:rPr>
            </w:pPr>
            <w:r w:rsidRPr="00BF0050">
              <w:rPr>
                <w:bCs/>
              </w:rPr>
              <w:t>2017 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BF6B36" w:rsidRPr="00BF0050" w:rsidRDefault="00BF6B36" w:rsidP="003D242E">
            <w:pPr>
              <w:spacing w:before="20" w:after="20" w:line="300" w:lineRule="exact"/>
              <w:ind w:left="-108" w:right="-108" w:firstLine="0"/>
              <w:jc w:val="center"/>
              <w:rPr>
                <w:bCs/>
              </w:rPr>
            </w:pPr>
            <w:r w:rsidRPr="00BF0050">
              <w:rPr>
                <w:bCs/>
              </w:rPr>
              <w:t>2018</w:t>
            </w:r>
            <w:r w:rsidR="00DD7338" w:rsidRPr="00BF0050">
              <w:rPr>
                <w:bCs/>
              </w:rPr>
              <w:t xml:space="preserve"> </w:t>
            </w:r>
            <w:r w:rsidRPr="00BF0050">
              <w:rPr>
                <w:bCs/>
              </w:rPr>
              <w:t>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BF6B36" w:rsidRPr="00BF0050" w:rsidRDefault="00BF6B36" w:rsidP="003D242E">
            <w:pPr>
              <w:spacing w:before="20" w:after="20" w:line="300" w:lineRule="exact"/>
              <w:ind w:left="-108" w:right="-108" w:firstLine="0"/>
              <w:jc w:val="center"/>
              <w:rPr>
                <w:bCs/>
              </w:rPr>
            </w:pPr>
            <w:r w:rsidRPr="00BF0050">
              <w:rPr>
                <w:bCs/>
              </w:rPr>
              <w:t>2019 г.</w:t>
            </w:r>
          </w:p>
        </w:tc>
      </w:tr>
      <w:tr w:rsidR="00716BB1" w:rsidRPr="00BF0050" w:rsidTr="0019777A">
        <w:trPr>
          <w:trHeight w:val="429"/>
        </w:trPr>
        <w:tc>
          <w:tcPr>
            <w:tcW w:w="4722" w:type="dxa"/>
            <w:tcBorders>
              <w:top w:val="single" w:sz="4" w:space="0" w:color="auto"/>
              <w:left w:val="single" w:sz="4" w:space="0" w:color="auto"/>
              <w:bottom w:val="nil"/>
              <w:right w:val="single" w:sz="4" w:space="0" w:color="auto"/>
            </w:tcBorders>
            <w:vAlign w:val="center"/>
            <w:hideMark/>
          </w:tcPr>
          <w:p w:rsidR="00716BB1" w:rsidRPr="00BF0050" w:rsidRDefault="00716BB1" w:rsidP="0019777A">
            <w:pPr>
              <w:spacing w:after="20" w:line="240" w:lineRule="auto"/>
              <w:ind w:right="-108" w:firstLine="0"/>
              <w:rPr>
                <w:bCs/>
              </w:rPr>
            </w:pPr>
            <w:r w:rsidRPr="00BF0050">
              <w:rPr>
                <w:bCs/>
              </w:rPr>
              <w:t>ВВП</w:t>
            </w:r>
          </w:p>
        </w:tc>
        <w:tc>
          <w:tcPr>
            <w:tcW w:w="1049" w:type="dxa"/>
            <w:tcBorders>
              <w:top w:val="single" w:sz="4" w:space="0" w:color="auto"/>
              <w:left w:val="single" w:sz="4" w:space="0" w:color="auto"/>
              <w:bottom w:val="nil"/>
              <w:right w:val="nil"/>
            </w:tcBorders>
            <w:vAlign w:val="center"/>
            <w:hideMark/>
          </w:tcPr>
          <w:p w:rsidR="00716BB1" w:rsidRPr="00BF0050" w:rsidRDefault="00716BB1" w:rsidP="0019777A">
            <w:pPr>
              <w:spacing w:after="20" w:line="240" w:lineRule="auto"/>
              <w:ind w:left="-108" w:right="-108" w:firstLine="0"/>
              <w:jc w:val="center"/>
              <w:rPr>
                <w:bCs/>
              </w:rPr>
            </w:pPr>
            <w:r w:rsidRPr="00BF0050">
              <w:rPr>
                <w:bCs/>
              </w:rPr>
              <w:t>100</w:t>
            </w:r>
          </w:p>
        </w:tc>
        <w:tc>
          <w:tcPr>
            <w:tcW w:w="1049" w:type="dxa"/>
            <w:tcBorders>
              <w:top w:val="single" w:sz="4" w:space="0" w:color="auto"/>
              <w:left w:val="nil"/>
              <w:bottom w:val="nil"/>
              <w:right w:val="nil"/>
            </w:tcBorders>
            <w:vAlign w:val="center"/>
            <w:hideMark/>
          </w:tcPr>
          <w:p w:rsidR="00716BB1" w:rsidRPr="00BF0050" w:rsidRDefault="00716BB1" w:rsidP="00A97D5D">
            <w:pPr>
              <w:spacing w:after="20" w:line="240" w:lineRule="auto"/>
              <w:ind w:left="-108" w:right="-108" w:firstLine="0"/>
              <w:jc w:val="center"/>
              <w:rPr>
                <w:bCs/>
              </w:rPr>
            </w:pPr>
            <w:r w:rsidRPr="00BF0050">
              <w:rPr>
                <w:bCs/>
              </w:rPr>
              <w:t>100</w:t>
            </w:r>
          </w:p>
        </w:tc>
        <w:tc>
          <w:tcPr>
            <w:tcW w:w="1049" w:type="dxa"/>
            <w:tcBorders>
              <w:top w:val="single" w:sz="4" w:space="0" w:color="auto"/>
              <w:left w:val="nil"/>
              <w:bottom w:val="nil"/>
              <w:right w:val="nil"/>
            </w:tcBorders>
            <w:vAlign w:val="center"/>
            <w:hideMark/>
          </w:tcPr>
          <w:p w:rsidR="00716BB1" w:rsidRPr="00BF0050" w:rsidRDefault="00716BB1" w:rsidP="00A97D5D">
            <w:pPr>
              <w:spacing w:after="20" w:line="240" w:lineRule="auto"/>
              <w:ind w:left="-108" w:right="-108" w:firstLine="0"/>
              <w:jc w:val="center"/>
              <w:rPr>
                <w:bCs/>
              </w:rPr>
            </w:pPr>
            <w:r w:rsidRPr="00BF0050">
              <w:rPr>
                <w:bCs/>
              </w:rPr>
              <w:t>100</w:t>
            </w:r>
          </w:p>
        </w:tc>
        <w:tc>
          <w:tcPr>
            <w:tcW w:w="1049" w:type="dxa"/>
            <w:tcBorders>
              <w:top w:val="single" w:sz="4" w:space="0" w:color="auto"/>
              <w:left w:val="nil"/>
              <w:bottom w:val="nil"/>
              <w:right w:val="nil"/>
            </w:tcBorders>
            <w:noWrap/>
            <w:vAlign w:val="center"/>
            <w:hideMark/>
          </w:tcPr>
          <w:p w:rsidR="00716BB1" w:rsidRPr="00BF0050" w:rsidRDefault="00716BB1" w:rsidP="00A97D5D">
            <w:pPr>
              <w:spacing w:after="20" w:line="240" w:lineRule="auto"/>
              <w:ind w:left="-108" w:right="-108" w:firstLine="0"/>
              <w:jc w:val="center"/>
              <w:rPr>
                <w:bCs/>
              </w:rPr>
            </w:pPr>
            <w:r w:rsidRPr="00BF0050">
              <w:rPr>
                <w:bCs/>
              </w:rPr>
              <w:t>100</w:t>
            </w:r>
          </w:p>
        </w:tc>
        <w:tc>
          <w:tcPr>
            <w:tcW w:w="1049" w:type="dxa"/>
            <w:tcBorders>
              <w:top w:val="single" w:sz="4" w:space="0" w:color="auto"/>
              <w:left w:val="nil"/>
              <w:bottom w:val="nil"/>
              <w:right w:val="single" w:sz="4" w:space="0" w:color="auto"/>
            </w:tcBorders>
            <w:vAlign w:val="center"/>
            <w:hideMark/>
          </w:tcPr>
          <w:p w:rsidR="00716BB1" w:rsidRPr="00BF0050" w:rsidRDefault="00716BB1" w:rsidP="00A97D5D">
            <w:pPr>
              <w:spacing w:after="20" w:line="240" w:lineRule="auto"/>
              <w:ind w:left="-108" w:right="-108" w:firstLine="0"/>
              <w:jc w:val="center"/>
              <w:rPr>
                <w:bCs/>
              </w:rPr>
            </w:pPr>
            <w:r w:rsidRPr="00BF0050">
              <w:rPr>
                <w:bCs/>
              </w:rPr>
              <w:t>100</w:t>
            </w:r>
          </w:p>
        </w:tc>
      </w:tr>
      <w:tr w:rsidR="00716BB1" w:rsidRPr="00BF0050" w:rsidTr="0019777A">
        <w:trPr>
          <w:trHeight w:val="297"/>
        </w:trPr>
        <w:tc>
          <w:tcPr>
            <w:tcW w:w="4722" w:type="dxa"/>
            <w:tcBorders>
              <w:top w:val="nil"/>
              <w:left w:val="single" w:sz="4" w:space="0" w:color="auto"/>
              <w:bottom w:val="nil"/>
              <w:right w:val="single" w:sz="4" w:space="0" w:color="auto"/>
            </w:tcBorders>
            <w:vAlign w:val="center"/>
            <w:hideMark/>
          </w:tcPr>
          <w:p w:rsidR="00716BB1" w:rsidRPr="00BF0050" w:rsidRDefault="00716BB1" w:rsidP="0019777A">
            <w:pPr>
              <w:spacing w:before="20" w:after="20" w:line="240" w:lineRule="auto"/>
              <w:ind w:right="-108" w:firstLine="0"/>
              <w:rPr>
                <w:bCs/>
              </w:rPr>
            </w:pPr>
            <w:r w:rsidRPr="00BF0050">
              <w:rPr>
                <w:bCs/>
              </w:rPr>
              <w:t xml:space="preserve">    Оплата труда наемных работников </w:t>
            </w:r>
          </w:p>
        </w:tc>
        <w:tc>
          <w:tcPr>
            <w:tcW w:w="1049" w:type="dxa"/>
            <w:tcBorders>
              <w:top w:val="nil"/>
              <w:left w:val="single" w:sz="4" w:space="0" w:color="auto"/>
              <w:bottom w:val="nil"/>
              <w:right w:val="nil"/>
            </w:tcBorders>
            <w:vAlign w:val="center"/>
            <w:hideMark/>
          </w:tcPr>
          <w:p w:rsidR="00716BB1" w:rsidRPr="00BF0050" w:rsidRDefault="00716BB1" w:rsidP="0019777A">
            <w:pPr>
              <w:spacing w:before="20" w:after="20" w:line="240" w:lineRule="auto"/>
              <w:ind w:left="-108" w:right="-108" w:firstLine="0"/>
              <w:jc w:val="center"/>
              <w:rPr>
                <w:bCs/>
              </w:rPr>
            </w:pPr>
            <w:r w:rsidRPr="00BF0050">
              <w:rPr>
                <w:bCs/>
              </w:rPr>
              <w:t xml:space="preserve">46,8 </w:t>
            </w:r>
          </w:p>
        </w:tc>
        <w:tc>
          <w:tcPr>
            <w:tcW w:w="1049" w:type="dxa"/>
            <w:tcBorders>
              <w:top w:val="nil"/>
              <w:left w:val="nil"/>
              <w:bottom w:val="nil"/>
              <w:right w:val="nil"/>
            </w:tcBorders>
            <w:vAlign w:val="center"/>
            <w:hideMark/>
          </w:tcPr>
          <w:p w:rsidR="00716BB1" w:rsidRPr="00BF0050" w:rsidRDefault="00716BB1" w:rsidP="00A97D5D">
            <w:pPr>
              <w:spacing w:before="20" w:after="20" w:line="240" w:lineRule="auto"/>
              <w:ind w:left="-180" w:right="-108" w:firstLine="0"/>
              <w:jc w:val="center"/>
              <w:rPr>
                <w:bCs/>
              </w:rPr>
            </w:pPr>
            <w:r w:rsidRPr="00BF0050">
              <w:rPr>
                <w:bCs/>
              </w:rPr>
              <w:t xml:space="preserve">47,2 </w:t>
            </w:r>
          </w:p>
        </w:tc>
        <w:tc>
          <w:tcPr>
            <w:tcW w:w="1049" w:type="dxa"/>
            <w:tcBorders>
              <w:top w:val="nil"/>
              <w:left w:val="nil"/>
              <w:bottom w:val="nil"/>
              <w:right w:val="nil"/>
            </w:tcBorders>
            <w:vAlign w:val="center"/>
            <w:hideMark/>
          </w:tcPr>
          <w:p w:rsidR="00716BB1" w:rsidRPr="00BF0050" w:rsidRDefault="00716BB1" w:rsidP="00A97D5D">
            <w:pPr>
              <w:spacing w:before="20" w:after="20" w:line="240" w:lineRule="auto"/>
              <w:ind w:left="-108" w:right="-108" w:firstLine="0"/>
              <w:jc w:val="center"/>
              <w:rPr>
                <w:bCs/>
              </w:rPr>
            </w:pPr>
            <w:r w:rsidRPr="00BF0050">
              <w:rPr>
                <w:bCs/>
              </w:rPr>
              <w:t xml:space="preserve">47,3 </w:t>
            </w:r>
          </w:p>
        </w:tc>
        <w:tc>
          <w:tcPr>
            <w:tcW w:w="1049" w:type="dxa"/>
            <w:tcBorders>
              <w:top w:val="nil"/>
              <w:left w:val="nil"/>
              <w:bottom w:val="nil"/>
              <w:right w:val="nil"/>
            </w:tcBorders>
            <w:noWrap/>
            <w:vAlign w:val="center"/>
            <w:hideMark/>
          </w:tcPr>
          <w:p w:rsidR="00716BB1" w:rsidRPr="00BF0050" w:rsidRDefault="00716BB1" w:rsidP="00A97D5D">
            <w:pPr>
              <w:spacing w:before="20" w:after="20" w:line="240" w:lineRule="auto"/>
              <w:ind w:left="-108" w:right="-108" w:firstLine="0"/>
              <w:jc w:val="center"/>
              <w:rPr>
                <w:bCs/>
              </w:rPr>
            </w:pPr>
            <w:r w:rsidRPr="00BF0050">
              <w:rPr>
                <w:bCs/>
              </w:rPr>
              <w:t>46,8</w:t>
            </w:r>
          </w:p>
        </w:tc>
        <w:tc>
          <w:tcPr>
            <w:tcW w:w="1049" w:type="dxa"/>
            <w:tcBorders>
              <w:top w:val="nil"/>
              <w:left w:val="nil"/>
              <w:bottom w:val="nil"/>
              <w:right w:val="single" w:sz="4" w:space="0" w:color="auto"/>
            </w:tcBorders>
            <w:vAlign w:val="center"/>
            <w:hideMark/>
          </w:tcPr>
          <w:p w:rsidR="00716BB1" w:rsidRPr="00BF0050" w:rsidRDefault="00716BB1" w:rsidP="00A97D5D">
            <w:pPr>
              <w:spacing w:before="20" w:after="20" w:line="240" w:lineRule="auto"/>
              <w:ind w:left="-108" w:right="-108" w:firstLine="0"/>
              <w:jc w:val="center"/>
              <w:rPr>
                <w:bCs/>
              </w:rPr>
            </w:pPr>
            <w:r w:rsidRPr="00BF0050">
              <w:rPr>
                <w:bCs/>
              </w:rPr>
              <w:t xml:space="preserve">46,3 </w:t>
            </w:r>
          </w:p>
        </w:tc>
      </w:tr>
      <w:tr w:rsidR="00716BB1" w:rsidRPr="00BF0050" w:rsidTr="0019777A">
        <w:trPr>
          <w:trHeight w:val="231"/>
        </w:trPr>
        <w:tc>
          <w:tcPr>
            <w:tcW w:w="4722" w:type="dxa"/>
            <w:tcBorders>
              <w:top w:val="nil"/>
              <w:left w:val="single" w:sz="4" w:space="0" w:color="auto"/>
              <w:bottom w:val="nil"/>
              <w:right w:val="single" w:sz="4" w:space="0" w:color="auto"/>
            </w:tcBorders>
            <w:vAlign w:val="center"/>
            <w:hideMark/>
          </w:tcPr>
          <w:p w:rsidR="00716BB1" w:rsidRPr="00BF0050" w:rsidRDefault="00716BB1" w:rsidP="0019777A">
            <w:pPr>
              <w:spacing w:before="20" w:after="20" w:line="240" w:lineRule="auto"/>
              <w:ind w:right="-108" w:firstLine="0"/>
              <w:rPr>
                <w:bCs/>
              </w:rPr>
            </w:pPr>
            <w:r w:rsidRPr="00BF0050">
              <w:rPr>
                <w:bCs/>
              </w:rPr>
              <w:t xml:space="preserve">    Чистые налоги на производство и импорт</w:t>
            </w:r>
          </w:p>
        </w:tc>
        <w:tc>
          <w:tcPr>
            <w:tcW w:w="1049" w:type="dxa"/>
            <w:tcBorders>
              <w:top w:val="nil"/>
              <w:left w:val="single" w:sz="4" w:space="0" w:color="auto"/>
              <w:bottom w:val="nil"/>
              <w:right w:val="nil"/>
            </w:tcBorders>
            <w:vAlign w:val="center"/>
            <w:hideMark/>
          </w:tcPr>
          <w:p w:rsidR="00716BB1" w:rsidRPr="00BF0050" w:rsidRDefault="00716BB1" w:rsidP="0019777A">
            <w:pPr>
              <w:spacing w:before="20" w:after="20" w:line="240" w:lineRule="auto"/>
              <w:ind w:left="-108" w:right="-108" w:firstLine="0"/>
              <w:jc w:val="center"/>
              <w:rPr>
                <w:bCs/>
              </w:rPr>
            </w:pPr>
            <w:r w:rsidRPr="00BF0050">
              <w:rPr>
                <w:bCs/>
              </w:rPr>
              <w:t xml:space="preserve">11,4 </w:t>
            </w:r>
          </w:p>
        </w:tc>
        <w:tc>
          <w:tcPr>
            <w:tcW w:w="1049" w:type="dxa"/>
            <w:tcBorders>
              <w:top w:val="nil"/>
              <w:left w:val="nil"/>
              <w:bottom w:val="nil"/>
              <w:right w:val="nil"/>
            </w:tcBorders>
            <w:vAlign w:val="center"/>
            <w:hideMark/>
          </w:tcPr>
          <w:p w:rsidR="00716BB1" w:rsidRPr="00BF0050" w:rsidRDefault="00716BB1" w:rsidP="00A97D5D">
            <w:pPr>
              <w:spacing w:before="20" w:after="20" w:line="240" w:lineRule="auto"/>
              <w:ind w:left="-180" w:right="-108" w:firstLine="0"/>
              <w:jc w:val="center"/>
              <w:rPr>
                <w:bCs/>
              </w:rPr>
            </w:pPr>
            <w:r w:rsidRPr="00BF0050">
              <w:rPr>
                <w:bCs/>
              </w:rPr>
              <w:t xml:space="preserve">10,8 </w:t>
            </w:r>
          </w:p>
        </w:tc>
        <w:tc>
          <w:tcPr>
            <w:tcW w:w="1049" w:type="dxa"/>
            <w:tcBorders>
              <w:top w:val="nil"/>
              <w:left w:val="nil"/>
              <w:bottom w:val="nil"/>
              <w:right w:val="nil"/>
            </w:tcBorders>
            <w:vAlign w:val="center"/>
            <w:hideMark/>
          </w:tcPr>
          <w:p w:rsidR="00716BB1" w:rsidRPr="00BF0050" w:rsidRDefault="00716BB1" w:rsidP="00A97D5D">
            <w:pPr>
              <w:spacing w:before="20" w:after="20" w:line="240" w:lineRule="auto"/>
              <w:ind w:left="-108" w:right="-108" w:firstLine="0"/>
              <w:jc w:val="center"/>
              <w:rPr>
                <w:bCs/>
              </w:rPr>
            </w:pPr>
            <w:r w:rsidRPr="00BF0050">
              <w:rPr>
                <w:bCs/>
              </w:rPr>
              <w:t xml:space="preserve">10,9 </w:t>
            </w:r>
          </w:p>
        </w:tc>
        <w:tc>
          <w:tcPr>
            <w:tcW w:w="1049" w:type="dxa"/>
            <w:tcBorders>
              <w:top w:val="nil"/>
              <w:left w:val="nil"/>
              <w:bottom w:val="nil"/>
              <w:right w:val="nil"/>
            </w:tcBorders>
            <w:noWrap/>
            <w:vAlign w:val="center"/>
            <w:hideMark/>
          </w:tcPr>
          <w:p w:rsidR="00716BB1" w:rsidRPr="00BF0050" w:rsidRDefault="00716BB1" w:rsidP="00A97D5D">
            <w:pPr>
              <w:spacing w:before="20" w:after="20" w:line="240" w:lineRule="auto"/>
              <w:ind w:left="-108" w:right="-108" w:firstLine="0"/>
              <w:jc w:val="center"/>
              <w:rPr>
                <w:bCs/>
              </w:rPr>
            </w:pPr>
            <w:r w:rsidRPr="00BF0050">
              <w:rPr>
                <w:bCs/>
              </w:rPr>
              <w:t>10,5</w:t>
            </w:r>
          </w:p>
        </w:tc>
        <w:tc>
          <w:tcPr>
            <w:tcW w:w="1049" w:type="dxa"/>
            <w:tcBorders>
              <w:top w:val="nil"/>
              <w:left w:val="nil"/>
              <w:bottom w:val="nil"/>
              <w:right w:val="single" w:sz="4" w:space="0" w:color="auto"/>
            </w:tcBorders>
            <w:vAlign w:val="center"/>
            <w:hideMark/>
          </w:tcPr>
          <w:p w:rsidR="00716BB1" w:rsidRPr="00BF0050" w:rsidRDefault="00716BB1" w:rsidP="00A97D5D">
            <w:pPr>
              <w:spacing w:before="20" w:after="20" w:line="240" w:lineRule="auto"/>
              <w:ind w:left="-108" w:right="-108" w:firstLine="0"/>
              <w:jc w:val="center"/>
              <w:rPr>
                <w:bCs/>
              </w:rPr>
            </w:pPr>
            <w:r w:rsidRPr="00BF0050">
              <w:rPr>
                <w:bCs/>
              </w:rPr>
              <w:t>10,4</w:t>
            </w:r>
          </w:p>
        </w:tc>
      </w:tr>
      <w:tr w:rsidR="00716BB1" w:rsidRPr="00BF0050" w:rsidTr="0019777A">
        <w:trPr>
          <w:trHeight w:val="299"/>
        </w:trPr>
        <w:tc>
          <w:tcPr>
            <w:tcW w:w="4722" w:type="dxa"/>
            <w:tcBorders>
              <w:top w:val="nil"/>
              <w:left w:val="single" w:sz="4" w:space="0" w:color="auto"/>
              <w:bottom w:val="single" w:sz="4" w:space="0" w:color="auto"/>
              <w:right w:val="single" w:sz="4" w:space="0" w:color="auto"/>
            </w:tcBorders>
            <w:vAlign w:val="center"/>
            <w:hideMark/>
          </w:tcPr>
          <w:p w:rsidR="00716BB1" w:rsidRPr="00BF0050" w:rsidRDefault="00716BB1" w:rsidP="0019777A">
            <w:pPr>
              <w:spacing w:before="20" w:after="0" w:line="240" w:lineRule="auto"/>
              <w:ind w:right="-108" w:firstLine="0"/>
              <w:rPr>
                <w:bCs/>
              </w:rPr>
            </w:pPr>
            <w:r w:rsidRPr="00BF0050">
              <w:rPr>
                <w:bCs/>
              </w:rPr>
              <w:t xml:space="preserve">    Валовая прибыль экономики и валовые </w:t>
            </w:r>
          </w:p>
          <w:p w:rsidR="00716BB1" w:rsidRPr="00BF0050" w:rsidRDefault="00716BB1" w:rsidP="0019777A">
            <w:pPr>
              <w:spacing w:before="20" w:line="240" w:lineRule="auto"/>
              <w:ind w:right="-108" w:firstLine="0"/>
              <w:rPr>
                <w:bCs/>
              </w:rPr>
            </w:pPr>
            <w:r w:rsidRPr="00BF0050">
              <w:rPr>
                <w:bCs/>
              </w:rPr>
              <w:t xml:space="preserve">    смешанные доходы</w:t>
            </w:r>
          </w:p>
        </w:tc>
        <w:tc>
          <w:tcPr>
            <w:tcW w:w="1049" w:type="dxa"/>
            <w:tcBorders>
              <w:top w:val="nil"/>
              <w:left w:val="single" w:sz="4" w:space="0" w:color="auto"/>
              <w:bottom w:val="single" w:sz="4" w:space="0" w:color="auto"/>
              <w:right w:val="nil"/>
            </w:tcBorders>
            <w:vAlign w:val="center"/>
            <w:hideMark/>
          </w:tcPr>
          <w:p w:rsidR="00716BB1" w:rsidRPr="00BF0050" w:rsidRDefault="00716BB1" w:rsidP="0019777A">
            <w:pPr>
              <w:spacing w:before="20" w:line="240" w:lineRule="auto"/>
              <w:ind w:left="-108" w:right="-108" w:firstLine="0"/>
              <w:jc w:val="center"/>
              <w:rPr>
                <w:bCs/>
              </w:rPr>
            </w:pPr>
            <w:r w:rsidRPr="00BF0050">
              <w:rPr>
                <w:bCs/>
              </w:rPr>
              <w:t xml:space="preserve">41,8 </w:t>
            </w:r>
          </w:p>
        </w:tc>
        <w:tc>
          <w:tcPr>
            <w:tcW w:w="1049" w:type="dxa"/>
            <w:tcBorders>
              <w:top w:val="nil"/>
              <w:left w:val="nil"/>
              <w:bottom w:val="single" w:sz="4" w:space="0" w:color="auto"/>
              <w:right w:val="nil"/>
            </w:tcBorders>
            <w:vAlign w:val="center"/>
            <w:hideMark/>
          </w:tcPr>
          <w:p w:rsidR="00716BB1" w:rsidRPr="00BF0050" w:rsidRDefault="00716BB1" w:rsidP="00A97D5D">
            <w:pPr>
              <w:spacing w:before="20" w:line="240" w:lineRule="auto"/>
              <w:ind w:left="-180" w:right="-108" w:firstLine="0"/>
              <w:jc w:val="center"/>
              <w:rPr>
                <w:bCs/>
              </w:rPr>
            </w:pPr>
            <w:r w:rsidRPr="00BF0050">
              <w:rPr>
                <w:bCs/>
              </w:rPr>
              <w:t xml:space="preserve">42,0 </w:t>
            </w:r>
          </w:p>
        </w:tc>
        <w:tc>
          <w:tcPr>
            <w:tcW w:w="1049" w:type="dxa"/>
            <w:tcBorders>
              <w:top w:val="nil"/>
              <w:left w:val="nil"/>
              <w:bottom w:val="single" w:sz="4" w:space="0" w:color="auto"/>
              <w:right w:val="nil"/>
            </w:tcBorders>
            <w:vAlign w:val="center"/>
            <w:hideMark/>
          </w:tcPr>
          <w:p w:rsidR="00716BB1" w:rsidRPr="00BF0050" w:rsidRDefault="00716BB1" w:rsidP="00A97D5D">
            <w:pPr>
              <w:spacing w:before="20" w:line="240" w:lineRule="auto"/>
              <w:ind w:left="-108" w:right="-108" w:firstLine="0"/>
              <w:jc w:val="center"/>
              <w:rPr>
                <w:bCs/>
              </w:rPr>
            </w:pPr>
            <w:r w:rsidRPr="00BF0050">
              <w:rPr>
                <w:bCs/>
              </w:rPr>
              <w:t>41,8</w:t>
            </w:r>
          </w:p>
        </w:tc>
        <w:tc>
          <w:tcPr>
            <w:tcW w:w="1049" w:type="dxa"/>
            <w:tcBorders>
              <w:top w:val="nil"/>
              <w:left w:val="nil"/>
              <w:bottom w:val="single" w:sz="4" w:space="0" w:color="auto"/>
              <w:right w:val="nil"/>
            </w:tcBorders>
            <w:noWrap/>
            <w:vAlign w:val="center"/>
            <w:hideMark/>
          </w:tcPr>
          <w:p w:rsidR="00716BB1" w:rsidRPr="00BF0050" w:rsidRDefault="00716BB1" w:rsidP="00A97D5D">
            <w:pPr>
              <w:spacing w:before="20" w:line="240" w:lineRule="auto"/>
              <w:ind w:left="-108" w:right="-108" w:firstLine="0"/>
              <w:jc w:val="center"/>
              <w:rPr>
                <w:bCs/>
              </w:rPr>
            </w:pPr>
            <w:r w:rsidRPr="00BF0050">
              <w:rPr>
                <w:bCs/>
              </w:rPr>
              <w:t xml:space="preserve">42,7 </w:t>
            </w:r>
          </w:p>
        </w:tc>
        <w:tc>
          <w:tcPr>
            <w:tcW w:w="1049" w:type="dxa"/>
            <w:tcBorders>
              <w:top w:val="nil"/>
              <w:left w:val="nil"/>
              <w:bottom w:val="single" w:sz="4" w:space="0" w:color="auto"/>
              <w:right w:val="single" w:sz="4" w:space="0" w:color="auto"/>
            </w:tcBorders>
            <w:vAlign w:val="center"/>
            <w:hideMark/>
          </w:tcPr>
          <w:p w:rsidR="00716BB1" w:rsidRPr="00BF0050" w:rsidRDefault="00716BB1" w:rsidP="00A97D5D">
            <w:pPr>
              <w:spacing w:before="20" w:line="240" w:lineRule="auto"/>
              <w:ind w:left="-108" w:right="-108" w:firstLine="0"/>
              <w:jc w:val="center"/>
              <w:rPr>
                <w:bCs/>
              </w:rPr>
            </w:pPr>
            <w:r w:rsidRPr="00BF0050">
              <w:rPr>
                <w:bCs/>
              </w:rPr>
              <w:t xml:space="preserve">43,3 </w:t>
            </w:r>
          </w:p>
        </w:tc>
      </w:tr>
    </w:tbl>
    <w:p w:rsidR="00BF6B36" w:rsidRPr="00BF0050" w:rsidRDefault="00367D09" w:rsidP="00B460B2">
      <w:pPr>
        <w:spacing w:before="360" w:after="0"/>
        <w:jc w:val="both"/>
        <w:rPr>
          <w:sz w:val="26"/>
          <w:szCs w:val="26"/>
        </w:rPr>
      </w:pPr>
      <w:r w:rsidRPr="00BF0050">
        <w:rPr>
          <w:sz w:val="26"/>
          <w:szCs w:val="26"/>
        </w:rPr>
        <w:t>В результате</w:t>
      </w:r>
      <w:r w:rsidR="00BF6B36" w:rsidRPr="00BF0050">
        <w:rPr>
          <w:sz w:val="26"/>
          <w:szCs w:val="26"/>
        </w:rPr>
        <w:t xml:space="preserve"> удельный вес валовой прибыли экономики и валовых смешанных доходов в структуре ВВП в 2016 году может вырасти до 4</w:t>
      </w:r>
      <w:r w:rsidR="001602FC" w:rsidRPr="00BF0050">
        <w:rPr>
          <w:sz w:val="26"/>
          <w:szCs w:val="26"/>
        </w:rPr>
        <w:t>2</w:t>
      </w:r>
      <w:r w:rsidR="00BF6B36" w:rsidRPr="00BF0050">
        <w:rPr>
          <w:sz w:val="26"/>
          <w:szCs w:val="26"/>
        </w:rPr>
        <w:t xml:space="preserve">,0 % ВВП (41,8 % ВВП в 2015 году). Такой структурный сдвиг в распределении первичных доходов приведет </w:t>
      </w:r>
      <w:r w:rsidR="00BF6B36" w:rsidRPr="00BF0050">
        <w:rPr>
          <w:sz w:val="26"/>
          <w:szCs w:val="26"/>
        </w:rPr>
        <w:lastRenderedPageBreak/>
        <w:t>к</w:t>
      </w:r>
      <w:r w:rsidR="00BB39C8" w:rsidRPr="00BF0050">
        <w:rPr>
          <w:sz w:val="26"/>
          <w:szCs w:val="26"/>
        </w:rPr>
        <w:t> </w:t>
      </w:r>
      <w:r w:rsidR="00BF6B36" w:rsidRPr="00BF0050">
        <w:rPr>
          <w:sz w:val="26"/>
          <w:szCs w:val="26"/>
        </w:rPr>
        <w:t>увеличению объема прибыли, остающейся в распоряжении предприятий, что создаст возможност</w:t>
      </w:r>
      <w:r w:rsidR="00952079" w:rsidRPr="00BF0050">
        <w:rPr>
          <w:sz w:val="26"/>
          <w:szCs w:val="26"/>
        </w:rPr>
        <w:t>ь</w:t>
      </w:r>
      <w:r w:rsidR="00BF6B36" w:rsidRPr="00BF0050">
        <w:rPr>
          <w:sz w:val="26"/>
          <w:szCs w:val="26"/>
        </w:rPr>
        <w:t xml:space="preserve"> </w:t>
      </w:r>
      <w:proofErr w:type="gramStart"/>
      <w:r w:rsidR="00BF6B36" w:rsidRPr="00BF0050">
        <w:rPr>
          <w:sz w:val="26"/>
          <w:szCs w:val="26"/>
        </w:rPr>
        <w:t>для</w:t>
      </w:r>
      <w:proofErr w:type="gramEnd"/>
      <w:r w:rsidR="00BF6B36" w:rsidRPr="00BF0050">
        <w:rPr>
          <w:sz w:val="26"/>
          <w:szCs w:val="26"/>
        </w:rPr>
        <w:t xml:space="preserve"> более </w:t>
      </w:r>
      <w:proofErr w:type="gramStart"/>
      <w:r w:rsidR="00BF6B36" w:rsidRPr="00BF0050">
        <w:rPr>
          <w:sz w:val="26"/>
          <w:szCs w:val="26"/>
        </w:rPr>
        <w:t>чем</w:t>
      </w:r>
      <w:proofErr w:type="gramEnd"/>
      <w:r w:rsidR="00BF6B36" w:rsidRPr="00BF0050">
        <w:rPr>
          <w:sz w:val="26"/>
          <w:szCs w:val="26"/>
        </w:rPr>
        <w:t xml:space="preserve"> 2-кратного замедления спада инвестиций в</w:t>
      </w:r>
      <w:r w:rsidR="00BB39C8" w:rsidRPr="00BF0050">
        <w:rPr>
          <w:sz w:val="26"/>
          <w:szCs w:val="26"/>
        </w:rPr>
        <w:t> </w:t>
      </w:r>
      <w:r w:rsidR="00BF6B36" w:rsidRPr="00BF0050">
        <w:rPr>
          <w:sz w:val="26"/>
          <w:szCs w:val="26"/>
        </w:rPr>
        <w:t>основной капитал.</w:t>
      </w:r>
    </w:p>
    <w:p w:rsidR="00BF6B36" w:rsidRPr="00BF0050" w:rsidRDefault="00367D09" w:rsidP="00367D09">
      <w:pPr>
        <w:spacing w:before="0" w:after="0"/>
        <w:jc w:val="both"/>
        <w:rPr>
          <w:sz w:val="26"/>
          <w:szCs w:val="26"/>
        </w:rPr>
      </w:pPr>
      <w:r w:rsidRPr="00BF0050">
        <w:rPr>
          <w:sz w:val="26"/>
          <w:szCs w:val="26"/>
        </w:rPr>
        <w:t>В</w:t>
      </w:r>
      <w:r w:rsidR="00BF6B36" w:rsidRPr="00BF0050">
        <w:rPr>
          <w:sz w:val="26"/>
          <w:szCs w:val="26"/>
        </w:rPr>
        <w:t xml:space="preserve"> 2017 году произойдет увеличение относительной величины оплаты труда наемных работников до 4</w:t>
      </w:r>
      <w:r w:rsidR="00DD7338" w:rsidRPr="00BF0050">
        <w:rPr>
          <w:sz w:val="26"/>
          <w:szCs w:val="26"/>
        </w:rPr>
        <w:t>7</w:t>
      </w:r>
      <w:r w:rsidR="001602FC" w:rsidRPr="00BF0050">
        <w:rPr>
          <w:sz w:val="26"/>
          <w:szCs w:val="26"/>
        </w:rPr>
        <w:t>,3</w:t>
      </w:r>
      <w:r w:rsidR="00BF6B36" w:rsidRPr="00BF0050">
        <w:rPr>
          <w:sz w:val="26"/>
          <w:szCs w:val="26"/>
        </w:rPr>
        <w:t xml:space="preserve"> % ВВП за счет </w:t>
      </w:r>
      <w:r w:rsidRPr="00BF0050">
        <w:rPr>
          <w:sz w:val="26"/>
          <w:szCs w:val="26"/>
        </w:rPr>
        <w:t>ускорения</w:t>
      </w:r>
      <w:r w:rsidR="00BF6B36" w:rsidRPr="00BF0050">
        <w:rPr>
          <w:sz w:val="26"/>
          <w:szCs w:val="26"/>
        </w:rPr>
        <w:t xml:space="preserve"> динамики фонда заработной платы. </w:t>
      </w:r>
      <w:r w:rsidRPr="00BF0050">
        <w:rPr>
          <w:sz w:val="26"/>
          <w:szCs w:val="26"/>
        </w:rPr>
        <w:t>В</w:t>
      </w:r>
      <w:r w:rsidR="00BF6B36" w:rsidRPr="00BF0050">
        <w:rPr>
          <w:sz w:val="26"/>
          <w:szCs w:val="26"/>
        </w:rPr>
        <w:t xml:space="preserve"> период 2017</w:t>
      </w:r>
      <w:r w:rsidR="00BB39C8" w:rsidRPr="00BF0050">
        <w:rPr>
          <w:sz w:val="26"/>
          <w:szCs w:val="26"/>
        </w:rPr>
        <w:t> </w:t>
      </w:r>
      <w:r w:rsidR="00BF6B36" w:rsidRPr="00BF0050">
        <w:rPr>
          <w:sz w:val="26"/>
          <w:szCs w:val="26"/>
        </w:rPr>
        <w:t>–</w:t>
      </w:r>
      <w:r w:rsidR="00BB39C8" w:rsidRPr="00BF0050">
        <w:rPr>
          <w:sz w:val="26"/>
          <w:szCs w:val="26"/>
        </w:rPr>
        <w:t> </w:t>
      </w:r>
      <w:r w:rsidR="00BF6B36" w:rsidRPr="00BF0050">
        <w:rPr>
          <w:sz w:val="26"/>
          <w:szCs w:val="26"/>
        </w:rPr>
        <w:t>2019 гг. удельный вес оплаты труда в</w:t>
      </w:r>
      <w:r w:rsidR="00DD7338" w:rsidRPr="00BF0050">
        <w:rPr>
          <w:sz w:val="26"/>
          <w:szCs w:val="26"/>
        </w:rPr>
        <w:t> </w:t>
      </w:r>
      <w:r w:rsidR="00BF6B36" w:rsidRPr="00BF0050">
        <w:rPr>
          <w:sz w:val="26"/>
          <w:szCs w:val="26"/>
        </w:rPr>
        <w:t xml:space="preserve">структуре ВВП </w:t>
      </w:r>
      <w:r w:rsidR="00836268" w:rsidRPr="00BF0050">
        <w:rPr>
          <w:sz w:val="26"/>
          <w:szCs w:val="26"/>
        </w:rPr>
        <w:t>(</w:t>
      </w:r>
      <w:r w:rsidR="00DD7338" w:rsidRPr="00BF0050">
        <w:rPr>
          <w:sz w:val="26"/>
          <w:szCs w:val="26"/>
        </w:rPr>
        <w:t>с соответствующим уменьшением</w:t>
      </w:r>
      <w:r w:rsidR="00BF6B36" w:rsidRPr="00BF0050">
        <w:rPr>
          <w:sz w:val="26"/>
          <w:szCs w:val="26"/>
        </w:rPr>
        <w:t xml:space="preserve"> уровня отчислений на социальное страхование</w:t>
      </w:r>
      <w:r w:rsidR="00836268" w:rsidRPr="00BF0050">
        <w:rPr>
          <w:sz w:val="26"/>
          <w:szCs w:val="26"/>
        </w:rPr>
        <w:t>) существенно снизится</w:t>
      </w:r>
      <w:r w:rsidR="00DD7338" w:rsidRPr="00BF0050">
        <w:rPr>
          <w:sz w:val="26"/>
          <w:szCs w:val="26"/>
        </w:rPr>
        <w:t xml:space="preserve"> </w:t>
      </w:r>
      <w:r w:rsidR="00BF6B36" w:rsidRPr="00BF0050">
        <w:rPr>
          <w:sz w:val="26"/>
          <w:szCs w:val="26"/>
        </w:rPr>
        <w:t xml:space="preserve">и к 2019 году </w:t>
      </w:r>
      <w:r w:rsidR="00067AF2" w:rsidRPr="00BF0050">
        <w:rPr>
          <w:sz w:val="26"/>
          <w:szCs w:val="26"/>
        </w:rPr>
        <w:t xml:space="preserve">составит </w:t>
      </w:r>
      <w:r w:rsidR="001602FC" w:rsidRPr="00BF0050">
        <w:rPr>
          <w:sz w:val="26"/>
          <w:szCs w:val="26"/>
        </w:rPr>
        <w:t>46</w:t>
      </w:r>
      <w:r w:rsidR="00BF6B36" w:rsidRPr="00BF0050">
        <w:rPr>
          <w:sz w:val="26"/>
          <w:szCs w:val="26"/>
        </w:rPr>
        <w:t>,</w:t>
      </w:r>
      <w:r w:rsidR="00DD1E56" w:rsidRPr="00BF0050">
        <w:rPr>
          <w:sz w:val="26"/>
          <w:szCs w:val="26"/>
        </w:rPr>
        <w:t xml:space="preserve">3 </w:t>
      </w:r>
      <w:r w:rsidR="00BF6B36" w:rsidRPr="00BF0050">
        <w:rPr>
          <w:sz w:val="26"/>
          <w:szCs w:val="26"/>
        </w:rPr>
        <w:t xml:space="preserve">% ВВП. Это будет </w:t>
      </w:r>
      <w:r w:rsidR="00DD7338" w:rsidRPr="00BF0050">
        <w:rPr>
          <w:sz w:val="26"/>
          <w:szCs w:val="26"/>
        </w:rPr>
        <w:t xml:space="preserve">являться </w:t>
      </w:r>
      <w:r w:rsidR="00BF6B36" w:rsidRPr="00BF0050">
        <w:rPr>
          <w:sz w:val="26"/>
          <w:szCs w:val="26"/>
        </w:rPr>
        <w:t xml:space="preserve">следствием </w:t>
      </w:r>
      <w:r w:rsidR="00DD7338" w:rsidRPr="00BF0050">
        <w:rPr>
          <w:sz w:val="26"/>
          <w:szCs w:val="26"/>
        </w:rPr>
        <w:t>сдерживания роста издержек производства, в том числе за счет оптимизации затрат на оплату труда.</w:t>
      </w:r>
    </w:p>
    <w:p w:rsidR="00BF6B36" w:rsidRPr="00BF0050" w:rsidRDefault="00BF6B36" w:rsidP="00367D09">
      <w:pPr>
        <w:spacing w:before="0" w:after="0"/>
        <w:jc w:val="both"/>
        <w:rPr>
          <w:sz w:val="26"/>
          <w:szCs w:val="26"/>
        </w:rPr>
      </w:pPr>
      <w:r w:rsidRPr="00BF0050">
        <w:rPr>
          <w:sz w:val="26"/>
          <w:szCs w:val="26"/>
        </w:rPr>
        <w:t xml:space="preserve">В </w:t>
      </w:r>
      <w:r w:rsidR="001602FC" w:rsidRPr="00BF0050">
        <w:rPr>
          <w:sz w:val="26"/>
          <w:szCs w:val="26"/>
        </w:rPr>
        <w:t>2018 </w:t>
      </w:r>
      <w:r w:rsidR="00BB39C8" w:rsidRPr="00BF0050">
        <w:rPr>
          <w:sz w:val="26"/>
          <w:szCs w:val="26"/>
        </w:rPr>
        <w:t>– </w:t>
      </w:r>
      <w:r w:rsidRPr="00BF0050">
        <w:rPr>
          <w:sz w:val="26"/>
          <w:szCs w:val="26"/>
        </w:rPr>
        <w:t>2019 г</w:t>
      </w:r>
      <w:r w:rsidR="00BB39C8" w:rsidRPr="00BF0050">
        <w:rPr>
          <w:sz w:val="26"/>
          <w:szCs w:val="26"/>
        </w:rPr>
        <w:t>г.</w:t>
      </w:r>
      <w:r w:rsidRPr="00BF0050">
        <w:rPr>
          <w:sz w:val="26"/>
          <w:szCs w:val="26"/>
        </w:rPr>
        <w:t xml:space="preserve"> ожидается незначительное снижение доли чистых налогов на производство и импорт (до </w:t>
      </w:r>
      <w:r w:rsidR="00C95BEC" w:rsidRPr="00BF0050">
        <w:rPr>
          <w:sz w:val="26"/>
          <w:szCs w:val="26"/>
        </w:rPr>
        <w:t>10,5–</w:t>
      </w:r>
      <w:r w:rsidRPr="00BF0050">
        <w:rPr>
          <w:sz w:val="26"/>
          <w:szCs w:val="26"/>
        </w:rPr>
        <w:t>10,</w:t>
      </w:r>
      <w:r w:rsidR="001602FC" w:rsidRPr="00BF0050">
        <w:rPr>
          <w:sz w:val="26"/>
          <w:szCs w:val="26"/>
        </w:rPr>
        <w:t xml:space="preserve">4 </w:t>
      </w:r>
      <w:r w:rsidR="00BB39C8" w:rsidRPr="00BF0050">
        <w:rPr>
          <w:sz w:val="26"/>
          <w:szCs w:val="26"/>
        </w:rPr>
        <w:t>процента</w:t>
      </w:r>
      <w:r w:rsidRPr="00BF0050">
        <w:rPr>
          <w:sz w:val="26"/>
          <w:szCs w:val="26"/>
        </w:rPr>
        <w:t>).</w:t>
      </w:r>
    </w:p>
    <w:p w:rsidR="00BF6B36" w:rsidRPr="00BF0050" w:rsidRDefault="00BF6B36" w:rsidP="00367D09">
      <w:pPr>
        <w:spacing w:before="0" w:after="0"/>
        <w:jc w:val="both"/>
        <w:rPr>
          <w:sz w:val="26"/>
          <w:szCs w:val="26"/>
        </w:rPr>
      </w:pPr>
      <w:r w:rsidRPr="00BF0050">
        <w:rPr>
          <w:i/>
          <w:sz w:val="26"/>
          <w:szCs w:val="26"/>
        </w:rPr>
        <w:t>У</w:t>
      </w:r>
      <w:r w:rsidRPr="00BF0050">
        <w:rPr>
          <w:sz w:val="26"/>
          <w:szCs w:val="26"/>
        </w:rPr>
        <w:t>дельный вес валовой прибыли экономики и валовых смешанных доходов в</w:t>
      </w:r>
      <w:r w:rsidR="00BB39C8" w:rsidRPr="00BF0050">
        <w:rPr>
          <w:sz w:val="26"/>
          <w:szCs w:val="26"/>
        </w:rPr>
        <w:t> </w:t>
      </w:r>
      <w:r w:rsidRPr="00BF0050">
        <w:rPr>
          <w:sz w:val="26"/>
          <w:szCs w:val="26"/>
        </w:rPr>
        <w:t>структуре ВВП к 2019 году может вырасти до 43,</w:t>
      </w:r>
      <w:r w:rsidR="001602FC" w:rsidRPr="00BF0050">
        <w:rPr>
          <w:sz w:val="26"/>
          <w:szCs w:val="26"/>
        </w:rPr>
        <w:t xml:space="preserve">3 </w:t>
      </w:r>
      <w:r w:rsidRPr="00BF0050">
        <w:rPr>
          <w:sz w:val="26"/>
          <w:szCs w:val="26"/>
        </w:rPr>
        <w:t xml:space="preserve">% ВВП. Увеличение объема прибыли, остающейся в распоряжении предприятий, в свою очередь, </w:t>
      </w:r>
      <w:r w:rsidR="00952079" w:rsidRPr="00BF0050">
        <w:rPr>
          <w:sz w:val="26"/>
          <w:szCs w:val="26"/>
        </w:rPr>
        <w:t xml:space="preserve">будет </w:t>
      </w:r>
      <w:r w:rsidRPr="00BF0050">
        <w:rPr>
          <w:sz w:val="26"/>
          <w:szCs w:val="26"/>
        </w:rPr>
        <w:t>созда</w:t>
      </w:r>
      <w:r w:rsidR="00952079" w:rsidRPr="00BF0050">
        <w:rPr>
          <w:sz w:val="26"/>
          <w:szCs w:val="26"/>
        </w:rPr>
        <w:t>вать</w:t>
      </w:r>
      <w:r w:rsidRPr="00BF0050">
        <w:rPr>
          <w:sz w:val="26"/>
          <w:szCs w:val="26"/>
        </w:rPr>
        <w:t xml:space="preserve"> возможност</w:t>
      </w:r>
      <w:r w:rsidR="00952079" w:rsidRPr="00BF0050">
        <w:rPr>
          <w:sz w:val="26"/>
          <w:szCs w:val="26"/>
        </w:rPr>
        <w:t>ь</w:t>
      </w:r>
      <w:r w:rsidRPr="00BF0050">
        <w:rPr>
          <w:sz w:val="26"/>
          <w:szCs w:val="26"/>
        </w:rPr>
        <w:t xml:space="preserve"> для </w:t>
      </w:r>
      <w:r w:rsidR="00367D09" w:rsidRPr="00BF0050">
        <w:rPr>
          <w:sz w:val="26"/>
          <w:szCs w:val="26"/>
        </w:rPr>
        <w:t xml:space="preserve">продолжения </w:t>
      </w:r>
      <w:r w:rsidRPr="00BF0050">
        <w:rPr>
          <w:sz w:val="26"/>
          <w:szCs w:val="26"/>
        </w:rPr>
        <w:t>наращивания инвестиций.</w:t>
      </w:r>
    </w:p>
    <w:p w:rsidR="00F034E8" w:rsidRPr="00BF0050" w:rsidRDefault="00F034E8" w:rsidP="005458C8">
      <w:pPr>
        <w:ind w:firstLine="720"/>
        <w:jc w:val="both"/>
        <w:rPr>
          <w:b/>
          <w:sz w:val="26"/>
          <w:szCs w:val="26"/>
        </w:rPr>
      </w:pPr>
      <w:r w:rsidRPr="00BF0050">
        <w:rPr>
          <w:b/>
          <w:sz w:val="26"/>
          <w:szCs w:val="26"/>
        </w:rPr>
        <w:t>Экспорт и импорт товаров</w:t>
      </w:r>
    </w:p>
    <w:p w:rsidR="004050F2" w:rsidRPr="00BF0050" w:rsidRDefault="004050F2" w:rsidP="005458C8">
      <w:pPr>
        <w:spacing w:before="0" w:after="0"/>
        <w:ind w:firstLine="720"/>
        <w:jc w:val="both"/>
        <w:rPr>
          <w:sz w:val="26"/>
        </w:rPr>
      </w:pPr>
      <w:r w:rsidRPr="00BF0050">
        <w:rPr>
          <w:sz w:val="26"/>
          <w:szCs w:val="26"/>
        </w:rPr>
        <w:t xml:space="preserve">В 2016 году положительный вклад </w:t>
      </w:r>
      <w:r w:rsidRPr="00BF0050">
        <w:rPr>
          <w:b/>
          <w:sz w:val="26"/>
          <w:szCs w:val="26"/>
        </w:rPr>
        <w:t>чистого экспорта</w:t>
      </w:r>
      <w:r w:rsidRPr="00BF0050">
        <w:rPr>
          <w:sz w:val="26"/>
          <w:szCs w:val="26"/>
        </w:rPr>
        <w:t xml:space="preserve"> в динамику ВВП составит 1,</w:t>
      </w:r>
      <w:r w:rsidR="00F218D9" w:rsidRPr="00BF0050">
        <w:rPr>
          <w:sz w:val="26"/>
          <w:szCs w:val="26"/>
        </w:rPr>
        <w:t>0</w:t>
      </w:r>
      <w:r w:rsidR="002C0E6B" w:rsidRPr="00BF0050">
        <w:rPr>
          <w:sz w:val="26"/>
          <w:szCs w:val="26"/>
        </w:rPr>
        <w:t> </w:t>
      </w:r>
      <w:r w:rsidR="00CD252A" w:rsidRPr="00BF0050">
        <w:rPr>
          <w:sz w:val="26"/>
          <w:szCs w:val="26"/>
        </w:rPr>
        <w:t> </w:t>
      </w:r>
      <w:r w:rsidRPr="00BF0050">
        <w:rPr>
          <w:sz w:val="26"/>
          <w:szCs w:val="26"/>
        </w:rPr>
        <w:t>п.</w:t>
      </w:r>
      <w:r w:rsidR="00836268" w:rsidRPr="00BF0050">
        <w:rPr>
          <w:sz w:val="26"/>
          <w:szCs w:val="26"/>
        </w:rPr>
        <w:t> </w:t>
      </w:r>
      <w:r w:rsidRPr="00BF0050">
        <w:rPr>
          <w:sz w:val="26"/>
          <w:szCs w:val="26"/>
        </w:rPr>
        <w:t>пункта. В 2017</w:t>
      </w:r>
      <w:r w:rsidR="002C0E6B" w:rsidRPr="00BF0050">
        <w:rPr>
          <w:sz w:val="26"/>
          <w:szCs w:val="26"/>
        </w:rPr>
        <w:t> </w:t>
      </w:r>
      <w:r w:rsidRPr="00BF0050">
        <w:rPr>
          <w:sz w:val="26"/>
          <w:szCs w:val="26"/>
        </w:rPr>
        <w:t>–</w:t>
      </w:r>
      <w:r w:rsidR="002C0E6B" w:rsidRPr="00BF0050">
        <w:rPr>
          <w:sz w:val="26"/>
          <w:szCs w:val="26"/>
        </w:rPr>
        <w:t> </w:t>
      </w:r>
      <w:r w:rsidRPr="00BF0050">
        <w:rPr>
          <w:sz w:val="26"/>
          <w:szCs w:val="26"/>
        </w:rPr>
        <w:t>2019</w:t>
      </w:r>
      <w:r w:rsidR="002C0E6B" w:rsidRPr="00BF0050">
        <w:rPr>
          <w:sz w:val="26"/>
          <w:szCs w:val="26"/>
        </w:rPr>
        <w:t xml:space="preserve"> </w:t>
      </w:r>
      <w:r w:rsidRPr="00BF0050">
        <w:rPr>
          <w:sz w:val="26"/>
          <w:szCs w:val="26"/>
        </w:rPr>
        <w:t xml:space="preserve"> гг. вклад чистого экспорта в динамику ВВП </w:t>
      </w:r>
      <w:r w:rsidR="00CD252A" w:rsidRPr="00BF0050">
        <w:rPr>
          <w:sz w:val="26"/>
          <w:szCs w:val="26"/>
        </w:rPr>
        <w:t>начнет</w:t>
      </w:r>
      <w:r w:rsidRPr="00BF0050">
        <w:rPr>
          <w:sz w:val="26"/>
          <w:szCs w:val="26"/>
        </w:rPr>
        <w:t xml:space="preserve"> </w:t>
      </w:r>
      <w:r w:rsidR="006B4083" w:rsidRPr="00BF0050">
        <w:rPr>
          <w:sz w:val="26"/>
          <w:szCs w:val="26"/>
        </w:rPr>
        <w:t>уменьшаться</w:t>
      </w:r>
      <w:r w:rsidRPr="00BF0050">
        <w:rPr>
          <w:sz w:val="26"/>
          <w:szCs w:val="26"/>
        </w:rPr>
        <w:t xml:space="preserve"> на фоне усиления вклада в рост внутреннего спроса, как потребительского, так и инвестиционного</w:t>
      </w:r>
      <w:r w:rsidRPr="00BF0050">
        <w:rPr>
          <w:sz w:val="26"/>
        </w:rPr>
        <w:t xml:space="preserve">. </w:t>
      </w:r>
    </w:p>
    <w:p w:rsidR="004050F2" w:rsidRPr="00BF0050" w:rsidRDefault="004050F2" w:rsidP="005458C8">
      <w:pPr>
        <w:spacing w:before="0" w:after="0"/>
        <w:ind w:firstLine="720"/>
        <w:jc w:val="both"/>
        <w:rPr>
          <w:sz w:val="26"/>
          <w:szCs w:val="26"/>
        </w:rPr>
      </w:pPr>
      <w:r w:rsidRPr="00BF0050">
        <w:rPr>
          <w:b/>
          <w:sz w:val="26"/>
          <w:szCs w:val="26"/>
        </w:rPr>
        <w:t>Экспорт товаров</w:t>
      </w:r>
      <w:r w:rsidRPr="00BF0050">
        <w:rPr>
          <w:sz w:val="26"/>
          <w:szCs w:val="26"/>
        </w:rPr>
        <w:t xml:space="preserve"> </w:t>
      </w:r>
      <w:r w:rsidR="002C0E6B" w:rsidRPr="00BF0050">
        <w:rPr>
          <w:sz w:val="26"/>
          <w:szCs w:val="26"/>
        </w:rPr>
        <w:t>в</w:t>
      </w:r>
      <w:r w:rsidRPr="00BF0050">
        <w:rPr>
          <w:sz w:val="26"/>
          <w:szCs w:val="26"/>
        </w:rPr>
        <w:t xml:space="preserve"> базовом вариант</w:t>
      </w:r>
      <w:r w:rsidR="002C0E6B" w:rsidRPr="00BF0050">
        <w:rPr>
          <w:sz w:val="26"/>
          <w:szCs w:val="26"/>
        </w:rPr>
        <w:t>е</w:t>
      </w:r>
      <w:r w:rsidRPr="00BF0050">
        <w:rPr>
          <w:sz w:val="26"/>
          <w:szCs w:val="26"/>
        </w:rPr>
        <w:t xml:space="preserve"> в целом сократится с 341 млрд. долл</w:t>
      </w:r>
      <w:r w:rsidR="002C43A6" w:rsidRPr="00BF0050">
        <w:rPr>
          <w:sz w:val="26"/>
          <w:szCs w:val="26"/>
        </w:rPr>
        <w:t>.</w:t>
      </w:r>
      <w:r w:rsidRPr="00BF0050">
        <w:rPr>
          <w:sz w:val="26"/>
          <w:szCs w:val="26"/>
        </w:rPr>
        <w:t xml:space="preserve"> США в</w:t>
      </w:r>
      <w:r w:rsidR="002C43A6" w:rsidRPr="00BF0050">
        <w:rPr>
          <w:sz w:val="26"/>
          <w:szCs w:val="26"/>
        </w:rPr>
        <w:t> </w:t>
      </w:r>
      <w:r w:rsidRPr="00BF0050">
        <w:rPr>
          <w:sz w:val="26"/>
          <w:szCs w:val="26"/>
        </w:rPr>
        <w:t>2015 году до 2</w:t>
      </w:r>
      <w:r w:rsidR="00F218D9" w:rsidRPr="00BF0050">
        <w:rPr>
          <w:sz w:val="26"/>
          <w:szCs w:val="26"/>
        </w:rPr>
        <w:t>88</w:t>
      </w:r>
      <w:r w:rsidRPr="00BF0050">
        <w:rPr>
          <w:sz w:val="26"/>
          <w:szCs w:val="26"/>
        </w:rPr>
        <w:t xml:space="preserve"> млрд. долл</w:t>
      </w:r>
      <w:r w:rsidR="002C43A6" w:rsidRPr="00BF0050">
        <w:rPr>
          <w:sz w:val="26"/>
          <w:szCs w:val="26"/>
        </w:rPr>
        <w:t>.</w:t>
      </w:r>
      <w:r w:rsidRPr="00BF0050">
        <w:rPr>
          <w:sz w:val="26"/>
          <w:szCs w:val="26"/>
        </w:rPr>
        <w:t xml:space="preserve"> США в 2016 году, после чего возможен рост до </w:t>
      </w:r>
      <w:r w:rsidR="00F218D9" w:rsidRPr="00BF0050">
        <w:rPr>
          <w:sz w:val="26"/>
          <w:szCs w:val="26"/>
        </w:rPr>
        <w:t>31</w:t>
      </w:r>
      <w:r w:rsidR="00DF2AEB" w:rsidRPr="00BF0050">
        <w:rPr>
          <w:sz w:val="26"/>
          <w:szCs w:val="26"/>
        </w:rPr>
        <w:t>2</w:t>
      </w:r>
      <w:r w:rsidR="00F218D9" w:rsidRPr="00BF0050">
        <w:rPr>
          <w:sz w:val="26"/>
          <w:szCs w:val="26"/>
        </w:rPr>
        <w:t xml:space="preserve"> </w:t>
      </w:r>
      <w:r w:rsidRPr="00BF0050">
        <w:rPr>
          <w:sz w:val="26"/>
          <w:szCs w:val="26"/>
        </w:rPr>
        <w:t>млрд. долл</w:t>
      </w:r>
      <w:r w:rsidR="002C43A6" w:rsidRPr="00BF0050">
        <w:rPr>
          <w:sz w:val="26"/>
          <w:szCs w:val="26"/>
        </w:rPr>
        <w:t>.</w:t>
      </w:r>
      <w:r w:rsidRPr="00BF0050">
        <w:rPr>
          <w:sz w:val="26"/>
          <w:szCs w:val="26"/>
        </w:rPr>
        <w:t xml:space="preserve"> США к 201</w:t>
      </w:r>
      <w:r w:rsidR="009476C8" w:rsidRPr="00BF0050">
        <w:rPr>
          <w:sz w:val="26"/>
          <w:szCs w:val="26"/>
        </w:rPr>
        <w:t>9</w:t>
      </w:r>
      <w:r w:rsidRPr="00BF0050">
        <w:rPr>
          <w:sz w:val="26"/>
          <w:szCs w:val="26"/>
        </w:rPr>
        <w:t xml:space="preserve"> году. </w:t>
      </w:r>
      <w:r w:rsidR="00CD252A" w:rsidRPr="00BF0050">
        <w:rPr>
          <w:sz w:val="26"/>
          <w:szCs w:val="26"/>
        </w:rPr>
        <w:t>З</w:t>
      </w:r>
      <w:r w:rsidRPr="00BF0050">
        <w:rPr>
          <w:sz w:val="26"/>
          <w:szCs w:val="26"/>
        </w:rPr>
        <w:t xml:space="preserve">а этой динамикой </w:t>
      </w:r>
      <w:r w:rsidR="00CD252A" w:rsidRPr="00BF0050">
        <w:rPr>
          <w:sz w:val="26"/>
          <w:szCs w:val="26"/>
        </w:rPr>
        <w:t xml:space="preserve">в основном </w:t>
      </w:r>
      <w:r w:rsidRPr="00BF0050">
        <w:rPr>
          <w:sz w:val="26"/>
          <w:szCs w:val="26"/>
        </w:rPr>
        <w:t xml:space="preserve">стоит экспорт топливно-энергетической группы товаров. </w:t>
      </w:r>
      <w:proofErr w:type="gramStart"/>
      <w:r w:rsidR="00CD252A" w:rsidRPr="00BF0050">
        <w:rPr>
          <w:sz w:val="26"/>
          <w:szCs w:val="26"/>
        </w:rPr>
        <w:t>П</w:t>
      </w:r>
      <w:r w:rsidRPr="00BF0050">
        <w:rPr>
          <w:sz w:val="26"/>
          <w:szCs w:val="26"/>
        </w:rPr>
        <w:t>адение цен на нефть с 51,2 долл</w:t>
      </w:r>
      <w:r w:rsidR="002C43A6" w:rsidRPr="00BF0050">
        <w:rPr>
          <w:sz w:val="26"/>
          <w:szCs w:val="26"/>
        </w:rPr>
        <w:t>.</w:t>
      </w:r>
      <w:r w:rsidRPr="00BF0050">
        <w:rPr>
          <w:sz w:val="26"/>
          <w:szCs w:val="26"/>
        </w:rPr>
        <w:t xml:space="preserve"> США</w:t>
      </w:r>
      <w:r w:rsidR="002C43A6" w:rsidRPr="00BF0050">
        <w:rPr>
          <w:sz w:val="26"/>
          <w:szCs w:val="26"/>
        </w:rPr>
        <w:t xml:space="preserve">/ </w:t>
      </w:r>
      <w:proofErr w:type="spellStart"/>
      <w:r w:rsidR="002C43A6" w:rsidRPr="00BF0050">
        <w:rPr>
          <w:sz w:val="26"/>
          <w:szCs w:val="26"/>
        </w:rPr>
        <w:t>барр</w:t>
      </w:r>
      <w:proofErr w:type="spellEnd"/>
      <w:r w:rsidR="002C43A6" w:rsidRPr="00BF0050">
        <w:rPr>
          <w:sz w:val="26"/>
          <w:szCs w:val="26"/>
        </w:rPr>
        <w:t>. в 2015 году до 40 долл.</w:t>
      </w:r>
      <w:r w:rsidRPr="00BF0050">
        <w:rPr>
          <w:sz w:val="26"/>
          <w:szCs w:val="26"/>
        </w:rPr>
        <w:t xml:space="preserve"> США</w:t>
      </w:r>
      <w:r w:rsidR="002C43A6" w:rsidRPr="00BF0050">
        <w:rPr>
          <w:sz w:val="26"/>
          <w:szCs w:val="26"/>
        </w:rPr>
        <w:t>/</w:t>
      </w:r>
      <w:proofErr w:type="spellStart"/>
      <w:r w:rsidRPr="00BF0050">
        <w:rPr>
          <w:sz w:val="26"/>
          <w:szCs w:val="26"/>
        </w:rPr>
        <w:t>барр</w:t>
      </w:r>
      <w:proofErr w:type="spellEnd"/>
      <w:r w:rsidR="002C43A6" w:rsidRPr="00BF0050">
        <w:rPr>
          <w:sz w:val="26"/>
          <w:szCs w:val="26"/>
        </w:rPr>
        <w:t>.</w:t>
      </w:r>
      <w:r w:rsidRPr="00BF0050">
        <w:rPr>
          <w:sz w:val="26"/>
          <w:szCs w:val="26"/>
        </w:rPr>
        <w:t xml:space="preserve"> в 2016 году и цен на природный газ, экспортируемый в страны дальнего зарубежья</w:t>
      </w:r>
      <w:r w:rsidR="006B4083" w:rsidRPr="00BF0050">
        <w:rPr>
          <w:sz w:val="26"/>
          <w:szCs w:val="26"/>
        </w:rPr>
        <w:t>,</w:t>
      </w:r>
      <w:r w:rsidRPr="00BF0050">
        <w:rPr>
          <w:sz w:val="26"/>
          <w:szCs w:val="26"/>
        </w:rPr>
        <w:t xml:space="preserve"> с 245 долл</w:t>
      </w:r>
      <w:r w:rsidR="002C43A6" w:rsidRPr="00BF0050">
        <w:rPr>
          <w:sz w:val="26"/>
          <w:szCs w:val="26"/>
        </w:rPr>
        <w:t>.</w:t>
      </w:r>
      <w:r w:rsidRPr="00BF0050">
        <w:rPr>
          <w:sz w:val="26"/>
          <w:szCs w:val="26"/>
        </w:rPr>
        <w:t xml:space="preserve"> США</w:t>
      </w:r>
      <w:r w:rsidR="002C43A6" w:rsidRPr="00BF0050">
        <w:rPr>
          <w:sz w:val="26"/>
          <w:szCs w:val="26"/>
        </w:rPr>
        <w:t>/</w:t>
      </w:r>
      <w:r w:rsidRPr="00BF0050">
        <w:rPr>
          <w:sz w:val="26"/>
          <w:szCs w:val="26"/>
        </w:rPr>
        <w:t xml:space="preserve"> тыс. куб. м в 2015 году до </w:t>
      </w:r>
      <w:r w:rsidR="00F218D9" w:rsidRPr="00BF0050">
        <w:rPr>
          <w:sz w:val="26"/>
          <w:szCs w:val="26"/>
        </w:rPr>
        <w:t>155</w:t>
      </w:r>
      <w:r w:rsidR="002C43A6" w:rsidRPr="00BF0050">
        <w:rPr>
          <w:sz w:val="26"/>
          <w:szCs w:val="26"/>
        </w:rPr>
        <w:t>–</w:t>
      </w:r>
      <w:r w:rsidR="00F218D9" w:rsidRPr="00BF0050">
        <w:rPr>
          <w:sz w:val="26"/>
          <w:szCs w:val="26"/>
        </w:rPr>
        <w:t xml:space="preserve">160 </w:t>
      </w:r>
      <w:r w:rsidRPr="00BF0050">
        <w:rPr>
          <w:sz w:val="26"/>
          <w:szCs w:val="26"/>
        </w:rPr>
        <w:t>долл</w:t>
      </w:r>
      <w:r w:rsidR="002C43A6" w:rsidRPr="00BF0050">
        <w:rPr>
          <w:sz w:val="26"/>
          <w:szCs w:val="26"/>
        </w:rPr>
        <w:t>.</w:t>
      </w:r>
      <w:r w:rsidRPr="00BF0050">
        <w:rPr>
          <w:sz w:val="26"/>
          <w:szCs w:val="26"/>
        </w:rPr>
        <w:t xml:space="preserve"> США</w:t>
      </w:r>
      <w:r w:rsidR="002C43A6" w:rsidRPr="00BF0050">
        <w:rPr>
          <w:sz w:val="26"/>
          <w:szCs w:val="26"/>
        </w:rPr>
        <w:t>/</w:t>
      </w:r>
      <w:r w:rsidRPr="00BF0050">
        <w:rPr>
          <w:sz w:val="26"/>
          <w:szCs w:val="26"/>
        </w:rPr>
        <w:t xml:space="preserve"> тыс. куб. м </w:t>
      </w:r>
      <w:r w:rsidR="006B4083" w:rsidRPr="00BF0050">
        <w:rPr>
          <w:sz w:val="26"/>
          <w:szCs w:val="26"/>
        </w:rPr>
        <w:t>прив</w:t>
      </w:r>
      <w:r w:rsidR="00C95BEC" w:rsidRPr="00BF0050">
        <w:rPr>
          <w:sz w:val="26"/>
          <w:szCs w:val="26"/>
        </w:rPr>
        <w:t>едет</w:t>
      </w:r>
      <w:r w:rsidRPr="00BF0050">
        <w:rPr>
          <w:sz w:val="26"/>
          <w:szCs w:val="26"/>
        </w:rPr>
        <w:t xml:space="preserve"> к значительному снижению стоимостных объемов топливно-энергетической группы – с</w:t>
      </w:r>
      <w:r w:rsidR="002C43A6" w:rsidRPr="00BF0050">
        <w:rPr>
          <w:sz w:val="26"/>
          <w:szCs w:val="26"/>
        </w:rPr>
        <w:t> </w:t>
      </w:r>
      <w:r w:rsidRPr="00BF0050">
        <w:rPr>
          <w:sz w:val="26"/>
          <w:szCs w:val="26"/>
        </w:rPr>
        <w:t>203 млрд. долл</w:t>
      </w:r>
      <w:r w:rsidR="002C43A6" w:rsidRPr="00BF0050">
        <w:rPr>
          <w:sz w:val="26"/>
          <w:szCs w:val="26"/>
        </w:rPr>
        <w:t>.</w:t>
      </w:r>
      <w:r w:rsidRPr="00BF0050">
        <w:rPr>
          <w:sz w:val="26"/>
          <w:szCs w:val="26"/>
        </w:rPr>
        <w:t xml:space="preserve"> США</w:t>
      </w:r>
      <w:proofErr w:type="gramEnd"/>
      <w:r w:rsidRPr="00BF0050">
        <w:rPr>
          <w:sz w:val="26"/>
          <w:szCs w:val="26"/>
        </w:rPr>
        <w:t xml:space="preserve"> в 2015 году до </w:t>
      </w:r>
      <w:r w:rsidR="00F218D9" w:rsidRPr="00BF0050">
        <w:rPr>
          <w:sz w:val="26"/>
          <w:szCs w:val="26"/>
        </w:rPr>
        <w:t>153 </w:t>
      </w:r>
      <w:r w:rsidRPr="00BF0050">
        <w:rPr>
          <w:sz w:val="26"/>
          <w:szCs w:val="26"/>
        </w:rPr>
        <w:t>млрд. долл</w:t>
      </w:r>
      <w:r w:rsidR="002C43A6" w:rsidRPr="00BF0050">
        <w:rPr>
          <w:sz w:val="26"/>
          <w:szCs w:val="26"/>
        </w:rPr>
        <w:t>.</w:t>
      </w:r>
      <w:r w:rsidRPr="00BF0050">
        <w:rPr>
          <w:sz w:val="26"/>
          <w:szCs w:val="26"/>
        </w:rPr>
        <w:t xml:space="preserve"> США в</w:t>
      </w:r>
      <w:r w:rsidR="006B4083" w:rsidRPr="00BF0050">
        <w:rPr>
          <w:sz w:val="26"/>
          <w:szCs w:val="26"/>
        </w:rPr>
        <w:t xml:space="preserve"> </w:t>
      </w:r>
      <w:r w:rsidRPr="00BF0050">
        <w:rPr>
          <w:sz w:val="26"/>
          <w:szCs w:val="26"/>
        </w:rPr>
        <w:t xml:space="preserve"> 2016  году. </w:t>
      </w:r>
      <w:r w:rsidR="00F218D9" w:rsidRPr="00BF0050">
        <w:rPr>
          <w:sz w:val="26"/>
          <w:szCs w:val="26"/>
        </w:rPr>
        <w:t xml:space="preserve">К 2019 году экспорт этой товарной </w:t>
      </w:r>
      <w:r w:rsidR="00D73214" w:rsidRPr="00BF0050">
        <w:rPr>
          <w:sz w:val="26"/>
          <w:szCs w:val="26"/>
        </w:rPr>
        <w:t xml:space="preserve">группы незначительно увеличится, </w:t>
      </w:r>
      <w:r w:rsidR="00F218D9" w:rsidRPr="00BF0050">
        <w:rPr>
          <w:sz w:val="26"/>
          <w:szCs w:val="26"/>
        </w:rPr>
        <w:t xml:space="preserve">до 157 млрд. долл. США, что объясняется стабилизацией цен на нефть. </w:t>
      </w:r>
      <w:r w:rsidRPr="00BF0050">
        <w:rPr>
          <w:sz w:val="26"/>
          <w:szCs w:val="26"/>
        </w:rPr>
        <w:t>Доля топливно-энергетической группы уменьшится с 59,2 % в</w:t>
      </w:r>
      <w:r w:rsidR="009476C8" w:rsidRPr="00BF0050">
        <w:rPr>
          <w:sz w:val="26"/>
          <w:szCs w:val="26"/>
        </w:rPr>
        <w:t> </w:t>
      </w:r>
      <w:r w:rsidRPr="00BF0050">
        <w:rPr>
          <w:sz w:val="26"/>
          <w:szCs w:val="26"/>
        </w:rPr>
        <w:t>2015 году до 52,</w:t>
      </w:r>
      <w:r w:rsidR="00F218D9" w:rsidRPr="00BF0050">
        <w:rPr>
          <w:sz w:val="26"/>
          <w:szCs w:val="26"/>
        </w:rPr>
        <w:t>8</w:t>
      </w:r>
      <w:r w:rsidR="00D73214" w:rsidRPr="00BF0050">
        <w:rPr>
          <w:sz w:val="26"/>
          <w:szCs w:val="26"/>
        </w:rPr>
        <w:t> </w:t>
      </w:r>
      <w:r w:rsidRPr="00BF0050">
        <w:rPr>
          <w:sz w:val="26"/>
          <w:szCs w:val="26"/>
        </w:rPr>
        <w:t xml:space="preserve">% в 2016 году и до </w:t>
      </w:r>
      <w:r w:rsidR="00F218D9" w:rsidRPr="00BF0050">
        <w:rPr>
          <w:sz w:val="26"/>
          <w:szCs w:val="26"/>
        </w:rPr>
        <w:t>49,8</w:t>
      </w:r>
      <w:r w:rsidRPr="00BF0050">
        <w:rPr>
          <w:sz w:val="26"/>
          <w:szCs w:val="26"/>
        </w:rPr>
        <w:t xml:space="preserve"> % к концу прогнозного периода. </w:t>
      </w:r>
    </w:p>
    <w:p w:rsidR="004050F2" w:rsidRPr="00BF0050" w:rsidRDefault="004050F2" w:rsidP="005458C8">
      <w:pPr>
        <w:spacing w:before="0" w:after="0"/>
        <w:ind w:firstLine="720"/>
        <w:jc w:val="both"/>
        <w:rPr>
          <w:color w:val="FF0000"/>
          <w:sz w:val="26"/>
          <w:szCs w:val="26"/>
        </w:rPr>
      </w:pPr>
      <w:r w:rsidRPr="00BF0050">
        <w:rPr>
          <w:sz w:val="26"/>
          <w:szCs w:val="26"/>
        </w:rPr>
        <w:t>Экспорт нефти снизится с 244</w:t>
      </w:r>
      <w:r w:rsidR="00C95BEC" w:rsidRPr="00BF0050">
        <w:rPr>
          <w:sz w:val="26"/>
          <w:szCs w:val="26"/>
        </w:rPr>
        <w:t>,5</w:t>
      </w:r>
      <w:r w:rsidRPr="00BF0050">
        <w:rPr>
          <w:sz w:val="26"/>
          <w:szCs w:val="26"/>
        </w:rPr>
        <w:t xml:space="preserve"> млн. т </w:t>
      </w:r>
      <w:r w:rsidR="00C95BEC" w:rsidRPr="00BF0050">
        <w:rPr>
          <w:sz w:val="26"/>
          <w:szCs w:val="26"/>
        </w:rPr>
        <w:t xml:space="preserve">в 2015 году </w:t>
      </w:r>
      <w:r w:rsidRPr="00BF0050">
        <w:rPr>
          <w:sz w:val="26"/>
          <w:szCs w:val="26"/>
        </w:rPr>
        <w:t xml:space="preserve">до </w:t>
      </w:r>
      <w:r w:rsidR="007077E8" w:rsidRPr="00BF0050">
        <w:rPr>
          <w:sz w:val="26"/>
          <w:szCs w:val="26"/>
        </w:rPr>
        <w:t>243 </w:t>
      </w:r>
      <w:r w:rsidRPr="00BF0050">
        <w:rPr>
          <w:sz w:val="26"/>
          <w:szCs w:val="26"/>
        </w:rPr>
        <w:t xml:space="preserve">млн. т в 2016 году, в </w:t>
      </w:r>
      <w:r w:rsidR="007077E8" w:rsidRPr="00BF0050">
        <w:rPr>
          <w:sz w:val="26"/>
          <w:szCs w:val="26"/>
        </w:rPr>
        <w:t xml:space="preserve">2018 году </w:t>
      </w:r>
      <w:r w:rsidRPr="00BF0050">
        <w:rPr>
          <w:sz w:val="26"/>
          <w:szCs w:val="26"/>
        </w:rPr>
        <w:t xml:space="preserve">объемы экспорта нефти будут возрастать </w:t>
      </w:r>
      <w:r w:rsidR="002C43A6" w:rsidRPr="00BF0050">
        <w:rPr>
          <w:sz w:val="26"/>
          <w:szCs w:val="26"/>
        </w:rPr>
        <w:t xml:space="preserve"> </w:t>
      </w:r>
      <w:r w:rsidR="007077E8" w:rsidRPr="00BF0050">
        <w:rPr>
          <w:sz w:val="26"/>
          <w:szCs w:val="26"/>
        </w:rPr>
        <w:t xml:space="preserve">и </w:t>
      </w:r>
      <w:r w:rsidRPr="00BF0050">
        <w:rPr>
          <w:sz w:val="26"/>
          <w:szCs w:val="26"/>
        </w:rPr>
        <w:t xml:space="preserve"> </w:t>
      </w:r>
      <w:r w:rsidR="00C95BEC" w:rsidRPr="00BF0050">
        <w:rPr>
          <w:sz w:val="26"/>
          <w:szCs w:val="26"/>
        </w:rPr>
        <w:t xml:space="preserve">к 2019 году </w:t>
      </w:r>
      <w:r w:rsidRPr="00BF0050">
        <w:rPr>
          <w:sz w:val="26"/>
          <w:szCs w:val="26"/>
        </w:rPr>
        <w:t>превысят уровень 2015 года.</w:t>
      </w:r>
      <w:r w:rsidRPr="00BF0050">
        <w:rPr>
          <w:color w:val="FF0000"/>
          <w:sz w:val="26"/>
          <w:szCs w:val="26"/>
        </w:rPr>
        <w:t xml:space="preserve"> </w:t>
      </w:r>
      <w:proofErr w:type="gramStart"/>
      <w:r w:rsidRPr="00BF0050">
        <w:rPr>
          <w:sz w:val="26"/>
          <w:szCs w:val="26"/>
        </w:rPr>
        <w:t xml:space="preserve">Прогнозируемое сокращение производства нефтепродуктов обусловлено переориентацией нефтяных компаний в новых налоговых условиях </w:t>
      </w:r>
      <w:r w:rsidR="007077E8" w:rsidRPr="00BF0050">
        <w:rPr>
          <w:sz w:val="26"/>
          <w:szCs w:val="26"/>
        </w:rPr>
        <w:t>с </w:t>
      </w:r>
      <w:r w:rsidRPr="00BF0050">
        <w:rPr>
          <w:sz w:val="26"/>
          <w:szCs w:val="26"/>
        </w:rPr>
        <w:t>экспорта «темных» нефтепродуктов на более прибыльный экспорт нефти, при этом объем первичной переработки нефти уменьшится к 201</w:t>
      </w:r>
      <w:r w:rsidR="009476C8" w:rsidRPr="00BF0050">
        <w:rPr>
          <w:sz w:val="26"/>
          <w:szCs w:val="26"/>
        </w:rPr>
        <w:t>9</w:t>
      </w:r>
      <w:r w:rsidRPr="00BF0050">
        <w:rPr>
          <w:sz w:val="26"/>
          <w:szCs w:val="26"/>
        </w:rPr>
        <w:t xml:space="preserve"> году, экспорт нефтепродуктов с 2015 года также </w:t>
      </w:r>
      <w:r w:rsidRPr="00BF0050">
        <w:rPr>
          <w:sz w:val="26"/>
          <w:szCs w:val="26"/>
        </w:rPr>
        <w:lastRenderedPageBreak/>
        <w:t xml:space="preserve">будет снижаться, </w:t>
      </w:r>
      <w:r w:rsidR="00C95BEC" w:rsidRPr="00BF0050">
        <w:rPr>
          <w:sz w:val="26"/>
          <w:szCs w:val="26"/>
        </w:rPr>
        <w:t xml:space="preserve">при этом </w:t>
      </w:r>
      <w:r w:rsidRPr="00BF0050">
        <w:rPr>
          <w:sz w:val="26"/>
          <w:szCs w:val="26"/>
        </w:rPr>
        <w:t xml:space="preserve">темпы </w:t>
      </w:r>
      <w:r w:rsidR="00C95BEC" w:rsidRPr="00BF0050">
        <w:rPr>
          <w:sz w:val="26"/>
          <w:szCs w:val="26"/>
        </w:rPr>
        <w:t xml:space="preserve">его </w:t>
      </w:r>
      <w:r w:rsidRPr="00BF0050">
        <w:rPr>
          <w:sz w:val="26"/>
          <w:szCs w:val="26"/>
        </w:rPr>
        <w:t xml:space="preserve">падения будут </w:t>
      </w:r>
      <w:r w:rsidR="0060778E" w:rsidRPr="00BF0050">
        <w:rPr>
          <w:sz w:val="26"/>
          <w:szCs w:val="26"/>
        </w:rPr>
        <w:t>возрастать</w:t>
      </w:r>
      <w:r w:rsidRPr="00BF0050">
        <w:rPr>
          <w:sz w:val="26"/>
          <w:szCs w:val="26"/>
        </w:rPr>
        <w:t xml:space="preserve"> и</w:t>
      </w:r>
      <w:r w:rsidR="006E0FAD" w:rsidRPr="00BF0050">
        <w:rPr>
          <w:sz w:val="26"/>
          <w:szCs w:val="26"/>
        </w:rPr>
        <w:t> </w:t>
      </w:r>
      <w:r w:rsidRPr="00BF0050">
        <w:rPr>
          <w:sz w:val="26"/>
          <w:szCs w:val="26"/>
        </w:rPr>
        <w:t>к</w:t>
      </w:r>
      <w:r w:rsidR="006E0FAD" w:rsidRPr="00BF0050">
        <w:rPr>
          <w:sz w:val="26"/>
          <w:szCs w:val="26"/>
        </w:rPr>
        <w:t> </w:t>
      </w:r>
      <w:r w:rsidRPr="00BF0050">
        <w:rPr>
          <w:sz w:val="26"/>
          <w:szCs w:val="26"/>
        </w:rPr>
        <w:t>2019 году достигнут 5,</w:t>
      </w:r>
      <w:r w:rsidR="007077E8" w:rsidRPr="00BF0050">
        <w:rPr>
          <w:sz w:val="26"/>
          <w:szCs w:val="26"/>
        </w:rPr>
        <w:t>1 </w:t>
      </w:r>
      <w:r w:rsidRPr="00BF0050">
        <w:rPr>
          <w:sz w:val="26"/>
          <w:szCs w:val="26"/>
        </w:rPr>
        <w:t>процента.</w:t>
      </w:r>
      <w:proofErr w:type="gramEnd"/>
    </w:p>
    <w:p w:rsidR="004050F2" w:rsidRPr="00BF0050" w:rsidRDefault="004050F2" w:rsidP="005458C8">
      <w:pPr>
        <w:spacing w:before="0" w:after="0"/>
        <w:jc w:val="both"/>
        <w:rPr>
          <w:sz w:val="26"/>
          <w:szCs w:val="26"/>
        </w:rPr>
      </w:pPr>
      <w:r w:rsidRPr="00BF0050">
        <w:rPr>
          <w:sz w:val="26"/>
          <w:szCs w:val="26"/>
        </w:rPr>
        <w:t xml:space="preserve">Экспорт сетевого газа в страны дальнего зарубежья </w:t>
      </w:r>
      <w:r w:rsidR="00F47F7C" w:rsidRPr="00BF0050">
        <w:rPr>
          <w:sz w:val="26"/>
          <w:szCs w:val="26"/>
        </w:rPr>
        <w:t xml:space="preserve">после </w:t>
      </w:r>
      <w:r w:rsidRPr="00BF0050">
        <w:rPr>
          <w:sz w:val="26"/>
          <w:szCs w:val="26"/>
        </w:rPr>
        <w:t>сни</w:t>
      </w:r>
      <w:r w:rsidR="00F47F7C" w:rsidRPr="00BF0050">
        <w:rPr>
          <w:sz w:val="26"/>
          <w:szCs w:val="26"/>
        </w:rPr>
        <w:t>жения</w:t>
      </w:r>
      <w:r w:rsidRPr="00BF0050">
        <w:rPr>
          <w:sz w:val="26"/>
          <w:szCs w:val="26"/>
        </w:rPr>
        <w:t xml:space="preserve"> </w:t>
      </w:r>
      <w:r w:rsidR="00F47F7C" w:rsidRPr="00BF0050">
        <w:rPr>
          <w:sz w:val="26"/>
          <w:szCs w:val="26"/>
        </w:rPr>
        <w:t>в 2016 году на 4,</w:t>
      </w:r>
      <w:r w:rsidR="008B5AE7" w:rsidRPr="00BF0050">
        <w:rPr>
          <w:sz w:val="26"/>
          <w:szCs w:val="26"/>
        </w:rPr>
        <w:t>7</w:t>
      </w:r>
      <w:r w:rsidR="00F47F7C" w:rsidRPr="00BF0050">
        <w:rPr>
          <w:sz w:val="26"/>
          <w:szCs w:val="26"/>
        </w:rPr>
        <w:t xml:space="preserve"> %, до 138 млрд. куб. м, </w:t>
      </w:r>
      <w:r w:rsidRPr="00BF0050">
        <w:rPr>
          <w:sz w:val="26"/>
          <w:szCs w:val="26"/>
        </w:rPr>
        <w:t>по сравнению с предыдущим годом, в дальнейш</w:t>
      </w:r>
      <w:r w:rsidR="002C43A6" w:rsidRPr="00BF0050">
        <w:rPr>
          <w:sz w:val="26"/>
          <w:szCs w:val="26"/>
        </w:rPr>
        <w:t>ем</w:t>
      </w:r>
      <w:r w:rsidRPr="00BF0050">
        <w:rPr>
          <w:sz w:val="26"/>
          <w:szCs w:val="26"/>
        </w:rPr>
        <w:t xml:space="preserve"> стабилизируется на уровне 139 млрд. куб. м</w:t>
      </w:r>
      <w:r w:rsidR="002C43A6" w:rsidRPr="00BF0050">
        <w:rPr>
          <w:sz w:val="26"/>
          <w:szCs w:val="26"/>
        </w:rPr>
        <w:t>етров</w:t>
      </w:r>
      <w:r w:rsidRPr="00BF0050">
        <w:rPr>
          <w:sz w:val="26"/>
          <w:szCs w:val="26"/>
        </w:rPr>
        <w:t xml:space="preserve">. С учетом намерений стран Евросоюза снизить зависимость от импорта российского газа </w:t>
      </w:r>
      <w:r w:rsidR="00B53A89" w:rsidRPr="00BF0050">
        <w:rPr>
          <w:sz w:val="26"/>
          <w:szCs w:val="26"/>
        </w:rPr>
        <w:t>замещением его</w:t>
      </w:r>
      <w:r w:rsidRPr="00BF0050">
        <w:rPr>
          <w:sz w:val="26"/>
          <w:szCs w:val="26"/>
        </w:rPr>
        <w:t xml:space="preserve"> другими видами топлива, в</w:t>
      </w:r>
      <w:r w:rsidR="00B53A89" w:rsidRPr="00BF0050">
        <w:rPr>
          <w:sz w:val="26"/>
          <w:szCs w:val="26"/>
        </w:rPr>
        <w:t> </w:t>
      </w:r>
      <w:r w:rsidRPr="00BF0050">
        <w:rPr>
          <w:sz w:val="26"/>
          <w:szCs w:val="26"/>
        </w:rPr>
        <w:t xml:space="preserve">том числе углем и возобновляемыми источниками энергии, существуют риски замедления роста экспорта сетевого газа в дальнее зарубежье. </w:t>
      </w:r>
    </w:p>
    <w:p w:rsidR="004050F2" w:rsidRPr="00BF0050" w:rsidRDefault="004050F2" w:rsidP="005458C8">
      <w:pPr>
        <w:spacing w:before="0" w:after="0"/>
        <w:jc w:val="both"/>
        <w:rPr>
          <w:sz w:val="26"/>
          <w:szCs w:val="26"/>
        </w:rPr>
      </w:pPr>
      <w:r w:rsidRPr="00BF0050">
        <w:rPr>
          <w:sz w:val="26"/>
          <w:szCs w:val="26"/>
        </w:rPr>
        <w:t>В 2016 году экспорт сжиженного природного газа (далее – СПГ) в страны АТР сохранится на уровне 10 млн. тонн. В 2017 году</w:t>
      </w:r>
      <w:r w:rsidR="00F47F7C" w:rsidRPr="00BF0050">
        <w:rPr>
          <w:sz w:val="26"/>
          <w:szCs w:val="26"/>
        </w:rPr>
        <w:t>,</w:t>
      </w:r>
      <w:r w:rsidRPr="00BF0050">
        <w:rPr>
          <w:sz w:val="26"/>
          <w:szCs w:val="26"/>
        </w:rPr>
        <w:t xml:space="preserve"> с учетом запланированного на конец года ввода Южно-</w:t>
      </w:r>
      <w:proofErr w:type="spellStart"/>
      <w:r w:rsidRPr="00BF0050">
        <w:rPr>
          <w:sz w:val="26"/>
          <w:szCs w:val="26"/>
        </w:rPr>
        <w:t>Тамбейского</w:t>
      </w:r>
      <w:proofErr w:type="spellEnd"/>
      <w:r w:rsidRPr="00BF0050">
        <w:rPr>
          <w:sz w:val="26"/>
          <w:szCs w:val="26"/>
        </w:rPr>
        <w:t xml:space="preserve"> месторождения и первой очереди проекта «Ямал-СПГ» мощностью 5,5 млн. т в год</w:t>
      </w:r>
      <w:r w:rsidR="00F47F7C" w:rsidRPr="00BF0050">
        <w:rPr>
          <w:sz w:val="26"/>
          <w:szCs w:val="26"/>
        </w:rPr>
        <w:t>,</w:t>
      </w:r>
      <w:r w:rsidRPr="00BF0050">
        <w:rPr>
          <w:sz w:val="26"/>
          <w:szCs w:val="26"/>
        </w:rPr>
        <w:t xml:space="preserve"> экспорт СПГ увеличится до 11,2 млн. т, а к 2019 году возрастет до 16,0 млн. тонн.</w:t>
      </w:r>
    </w:p>
    <w:p w:rsidR="004050F2" w:rsidRPr="00BF0050" w:rsidRDefault="004050F2" w:rsidP="005458C8">
      <w:pPr>
        <w:spacing w:after="0"/>
        <w:ind w:firstLine="720"/>
        <w:jc w:val="center"/>
        <w:rPr>
          <w:b/>
          <w:sz w:val="26"/>
          <w:szCs w:val="26"/>
        </w:rPr>
      </w:pPr>
      <w:r w:rsidRPr="00BF0050">
        <w:rPr>
          <w:b/>
          <w:sz w:val="26"/>
          <w:szCs w:val="26"/>
        </w:rPr>
        <w:t>Динамика физического объема экспорта, %</w:t>
      </w:r>
    </w:p>
    <w:p w:rsidR="004050F2" w:rsidRPr="00BF0050" w:rsidRDefault="004050F2" w:rsidP="004050F2">
      <w:pPr>
        <w:spacing w:before="0" w:after="0" w:line="220" w:lineRule="exact"/>
        <w:ind w:firstLine="7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362"/>
        <w:gridCol w:w="1362"/>
        <w:gridCol w:w="1362"/>
        <w:gridCol w:w="1362"/>
        <w:gridCol w:w="1363"/>
      </w:tblGrid>
      <w:tr w:rsidR="004050F2" w:rsidRPr="00BF0050" w:rsidTr="005458C8">
        <w:trPr>
          <w:jc w:val="center"/>
        </w:trPr>
        <w:tc>
          <w:tcPr>
            <w:tcW w:w="331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both"/>
            </w:pPr>
          </w:p>
        </w:tc>
        <w:tc>
          <w:tcPr>
            <w:tcW w:w="136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2015 г.</w:t>
            </w:r>
          </w:p>
          <w:p w:rsidR="004050F2" w:rsidRPr="00BF0050" w:rsidRDefault="004050F2" w:rsidP="004050F2">
            <w:pPr>
              <w:spacing w:before="20" w:after="20" w:line="240" w:lineRule="auto"/>
              <w:ind w:hanging="108"/>
              <w:jc w:val="center"/>
            </w:pPr>
            <w:r w:rsidRPr="00BF0050">
              <w:t>отчет</w:t>
            </w:r>
          </w:p>
        </w:tc>
        <w:tc>
          <w:tcPr>
            <w:tcW w:w="136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2016 г.</w:t>
            </w:r>
          </w:p>
        </w:tc>
        <w:tc>
          <w:tcPr>
            <w:tcW w:w="136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2017 г.</w:t>
            </w:r>
          </w:p>
        </w:tc>
        <w:tc>
          <w:tcPr>
            <w:tcW w:w="136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2018 г.</w:t>
            </w:r>
          </w:p>
        </w:tc>
        <w:tc>
          <w:tcPr>
            <w:tcW w:w="1363"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2019 г.</w:t>
            </w:r>
          </w:p>
        </w:tc>
      </w:tr>
      <w:tr w:rsidR="00F218D9" w:rsidRPr="00BF0050" w:rsidTr="005458C8">
        <w:trPr>
          <w:jc w:val="center"/>
        </w:trPr>
        <w:tc>
          <w:tcPr>
            <w:tcW w:w="3312" w:type="dxa"/>
            <w:tcBorders>
              <w:bottom w:val="nil"/>
              <w:right w:val="single" w:sz="4" w:space="0" w:color="auto"/>
            </w:tcBorders>
            <w:shd w:val="clear" w:color="auto" w:fill="auto"/>
            <w:vAlign w:val="center"/>
          </w:tcPr>
          <w:p w:rsidR="00F218D9" w:rsidRPr="00BF0050" w:rsidRDefault="00F218D9" w:rsidP="00265BE8">
            <w:pPr>
              <w:spacing w:after="40" w:line="240" w:lineRule="auto"/>
              <w:ind w:firstLine="0"/>
              <w:jc w:val="both"/>
            </w:pPr>
            <w:r w:rsidRPr="00BF0050">
              <w:t>Экспорт  – всего</w:t>
            </w:r>
          </w:p>
        </w:tc>
        <w:tc>
          <w:tcPr>
            <w:tcW w:w="1362" w:type="dxa"/>
            <w:tcBorders>
              <w:left w:val="single" w:sz="4" w:space="0" w:color="auto"/>
              <w:bottom w:val="nil"/>
              <w:right w:val="nil"/>
            </w:tcBorders>
            <w:shd w:val="clear" w:color="auto" w:fill="auto"/>
            <w:vAlign w:val="bottom"/>
          </w:tcPr>
          <w:p w:rsidR="00F218D9" w:rsidRPr="00BF0050" w:rsidRDefault="00F218D9" w:rsidP="000D5110">
            <w:pPr>
              <w:spacing w:after="40" w:line="240" w:lineRule="auto"/>
              <w:ind w:firstLine="0"/>
              <w:jc w:val="center"/>
            </w:pPr>
            <w:r w:rsidRPr="00BF0050">
              <w:t>6,2</w:t>
            </w:r>
          </w:p>
        </w:tc>
        <w:tc>
          <w:tcPr>
            <w:tcW w:w="1362" w:type="dxa"/>
            <w:tcBorders>
              <w:left w:val="nil"/>
              <w:bottom w:val="nil"/>
              <w:right w:val="nil"/>
            </w:tcBorders>
            <w:shd w:val="clear" w:color="auto" w:fill="auto"/>
            <w:vAlign w:val="bottom"/>
          </w:tcPr>
          <w:p w:rsidR="00F218D9" w:rsidRPr="00BF0050" w:rsidRDefault="00F218D9" w:rsidP="000D5110">
            <w:pPr>
              <w:spacing w:after="40" w:line="240" w:lineRule="auto"/>
              <w:ind w:firstLine="0"/>
              <w:jc w:val="center"/>
            </w:pPr>
            <w:r w:rsidRPr="00BF0050">
              <w:t>0,8</w:t>
            </w:r>
          </w:p>
        </w:tc>
        <w:tc>
          <w:tcPr>
            <w:tcW w:w="1362" w:type="dxa"/>
            <w:tcBorders>
              <w:left w:val="nil"/>
              <w:bottom w:val="nil"/>
              <w:right w:val="nil"/>
            </w:tcBorders>
            <w:shd w:val="clear" w:color="auto" w:fill="auto"/>
            <w:vAlign w:val="bottom"/>
          </w:tcPr>
          <w:p w:rsidR="00F218D9" w:rsidRPr="00BF0050" w:rsidRDefault="00F218D9" w:rsidP="000D5110">
            <w:pPr>
              <w:spacing w:after="40" w:line="240" w:lineRule="auto"/>
              <w:ind w:firstLine="0"/>
              <w:jc w:val="center"/>
            </w:pPr>
            <w:r w:rsidRPr="00BF0050">
              <w:t>0,8</w:t>
            </w:r>
          </w:p>
        </w:tc>
        <w:tc>
          <w:tcPr>
            <w:tcW w:w="1362" w:type="dxa"/>
            <w:tcBorders>
              <w:left w:val="nil"/>
              <w:bottom w:val="nil"/>
              <w:right w:val="nil"/>
            </w:tcBorders>
            <w:shd w:val="clear" w:color="auto" w:fill="auto"/>
            <w:vAlign w:val="bottom"/>
          </w:tcPr>
          <w:p w:rsidR="00F218D9" w:rsidRPr="00BF0050" w:rsidRDefault="00F218D9" w:rsidP="000D5110">
            <w:pPr>
              <w:spacing w:after="40" w:line="240" w:lineRule="auto"/>
              <w:ind w:firstLine="0"/>
              <w:jc w:val="center"/>
            </w:pPr>
            <w:r w:rsidRPr="00BF0050">
              <w:t>1,6</w:t>
            </w:r>
          </w:p>
        </w:tc>
        <w:tc>
          <w:tcPr>
            <w:tcW w:w="1363" w:type="dxa"/>
            <w:tcBorders>
              <w:left w:val="nil"/>
              <w:bottom w:val="nil"/>
            </w:tcBorders>
            <w:shd w:val="clear" w:color="auto" w:fill="auto"/>
            <w:vAlign w:val="bottom"/>
          </w:tcPr>
          <w:p w:rsidR="00F218D9" w:rsidRPr="00BF0050" w:rsidRDefault="00F218D9" w:rsidP="000D5110">
            <w:pPr>
              <w:spacing w:after="40" w:line="240" w:lineRule="auto"/>
              <w:ind w:firstLine="0"/>
              <w:jc w:val="center"/>
            </w:pPr>
            <w:r w:rsidRPr="00BF0050">
              <w:t>1,</w:t>
            </w:r>
            <w:r w:rsidR="00337876" w:rsidRPr="00BF0050">
              <w:t>7</w:t>
            </w:r>
          </w:p>
        </w:tc>
      </w:tr>
      <w:tr w:rsidR="00F218D9" w:rsidRPr="00BF0050" w:rsidTr="005458C8">
        <w:trPr>
          <w:jc w:val="center"/>
        </w:trPr>
        <w:tc>
          <w:tcPr>
            <w:tcW w:w="3312" w:type="dxa"/>
            <w:tcBorders>
              <w:top w:val="nil"/>
              <w:bottom w:val="nil"/>
              <w:right w:val="single" w:sz="4" w:space="0" w:color="auto"/>
            </w:tcBorders>
            <w:shd w:val="clear" w:color="auto" w:fill="auto"/>
            <w:vAlign w:val="center"/>
          </w:tcPr>
          <w:p w:rsidR="00F218D9" w:rsidRPr="00BF0050" w:rsidRDefault="00F218D9" w:rsidP="00265BE8">
            <w:pPr>
              <w:spacing w:before="40" w:after="40" w:line="240" w:lineRule="auto"/>
              <w:ind w:firstLine="0"/>
              <w:jc w:val="both"/>
            </w:pPr>
            <w:r w:rsidRPr="00BF0050">
              <w:t xml:space="preserve">     экспорт ТЭК</w:t>
            </w:r>
          </w:p>
        </w:tc>
        <w:tc>
          <w:tcPr>
            <w:tcW w:w="1362" w:type="dxa"/>
            <w:tcBorders>
              <w:top w:val="nil"/>
              <w:left w:val="single" w:sz="4" w:space="0" w:color="auto"/>
              <w:bottom w:val="nil"/>
              <w:right w:val="nil"/>
            </w:tcBorders>
            <w:shd w:val="clear" w:color="auto" w:fill="auto"/>
            <w:vAlign w:val="bottom"/>
          </w:tcPr>
          <w:p w:rsidR="00F218D9" w:rsidRPr="00BF0050" w:rsidRDefault="00F218D9" w:rsidP="000D5110">
            <w:pPr>
              <w:spacing w:before="40" w:after="40" w:line="240" w:lineRule="auto"/>
              <w:ind w:firstLine="0"/>
              <w:jc w:val="center"/>
            </w:pPr>
            <w:r w:rsidRPr="00BF0050">
              <w:t>6,9</w:t>
            </w:r>
          </w:p>
        </w:tc>
        <w:tc>
          <w:tcPr>
            <w:tcW w:w="1362" w:type="dxa"/>
            <w:tcBorders>
              <w:top w:val="nil"/>
              <w:left w:val="nil"/>
              <w:bottom w:val="nil"/>
              <w:right w:val="nil"/>
            </w:tcBorders>
            <w:shd w:val="clear" w:color="auto" w:fill="auto"/>
            <w:vAlign w:val="bottom"/>
          </w:tcPr>
          <w:p w:rsidR="00F218D9" w:rsidRPr="00BF0050" w:rsidRDefault="00F218D9" w:rsidP="000D5110">
            <w:pPr>
              <w:spacing w:before="40" w:after="40" w:line="240" w:lineRule="auto"/>
              <w:ind w:firstLine="0"/>
              <w:jc w:val="center"/>
            </w:pPr>
            <w:r w:rsidRPr="00BF0050">
              <w:t>-0,6</w:t>
            </w:r>
          </w:p>
        </w:tc>
        <w:tc>
          <w:tcPr>
            <w:tcW w:w="1362" w:type="dxa"/>
            <w:tcBorders>
              <w:top w:val="nil"/>
              <w:left w:val="nil"/>
              <w:bottom w:val="nil"/>
              <w:right w:val="nil"/>
            </w:tcBorders>
            <w:shd w:val="clear" w:color="auto" w:fill="auto"/>
            <w:vAlign w:val="bottom"/>
          </w:tcPr>
          <w:p w:rsidR="00F218D9" w:rsidRPr="00BF0050" w:rsidRDefault="00F218D9" w:rsidP="000D5110">
            <w:pPr>
              <w:spacing w:before="40" w:after="40" w:line="240" w:lineRule="auto"/>
              <w:ind w:firstLine="0"/>
              <w:jc w:val="center"/>
            </w:pPr>
            <w:r w:rsidRPr="00BF0050">
              <w:t>-0,9</w:t>
            </w:r>
          </w:p>
        </w:tc>
        <w:tc>
          <w:tcPr>
            <w:tcW w:w="1362" w:type="dxa"/>
            <w:tcBorders>
              <w:top w:val="nil"/>
              <w:left w:val="nil"/>
              <w:bottom w:val="nil"/>
              <w:right w:val="nil"/>
            </w:tcBorders>
            <w:shd w:val="clear" w:color="auto" w:fill="auto"/>
            <w:vAlign w:val="bottom"/>
          </w:tcPr>
          <w:p w:rsidR="00F218D9" w:rsidRPr="00BF0050" w:rsidRDefault="00F218D9" w:rsidP="000D5110">
            <w:pPr>
              <w:spacing w:before="40" w:after="40" w:line="240" w:lineRule="auto"/>
              <w:ind w:firstLine="0"/>
              <w:jc w:val="center"/>
            </w:pPr>
            <w:r w:rsidRPr="00BF0050">
              <w:t>0,2</w:t>
            </w:r>
          </w:p>
        </w:tc>
        <w:tc>
          <w:tcPr>
            <w:tcW w:w="1363" w:type="dxa"/>
            <w:tcBorders>
              <w:top w:val="nil"/>
              <w:left w:val="nil"/>
              <w:bottom w:val="nil"/>
            </w:tcBorders>
            <w:shd w:val="clear" w:color="auto" w:fill="auto"/>
            <w:vAlign w:val="bottom"/>
          </w:tcPr>
          <w:p w:rsidR="00F218D9" w:rsidRPr="00BF0050" w:rsidRDefault="00F218D9" w:rsidP="000D5110">
            <w:pPr>
              <w:spacing w:before="40" w:after="40" w:line="240" w:lineRule="auto"/>
              <w:ind w:firstLine="0"/>
              <w:jc w:val="center"/>
            </w:pPr>
            <w:r w:rsidRPr="00BF0050">
              <w:t>-1,1</w:t>
            </w:r>
          </w:p>
        </w:tc>
      </w:tr>
      <w:tr w:rsidR="00F218D9" w:rsidRPr="00BF0050" w:rsidTr="005458C8">
        <w:trPr>
          <w:jc w:val="center"/>
        </w:trPr>
        <w:tc>
          <w:tcPr>
            <w:tcW w:w="3312" w:type="dxa"/>
            <w:tcBorders>
              <w:top w:val="nil"/>
              <w:right w:val="single" w:sz="4" w:space="0" w:color="auto"/>
            </w:tcBorders>
            <w:shd w:val="clear" w:color="auto" w:fill="auto"/>
            <w:vAlign w:val="center"/>
          </w:tcPr>
          <w:p w:rsidR="00F218D9" w:rsidRPr="00BF0050" w:rsidRDefault="00F218D9" w:rsidP="00265BE8">
            <w:pPr>
              <w:spacing w:before="40" w:line="240" w:lineRule="auto"/>
              <w:ind w:firstLine="0"/>
              <w:jc w:val="both"/>
            </w:pPr>
            <w:r w:rsidRPr="00BF0050">
              <w:t xml:space="preserve">     прочий экспорт</w:t>
            </w:r>
          </w:p>
        </w:tc>
        <w:tc>
          <w:tcPr>
            <w:tcW w:w="1362" w:type="dxa"/>
            <w:tcBorders>
              <w:top w:val="nil"/>
              <w:left w:val="single" w:sz="4" w:space="0" w:color="auto"/>
              <w:right w:val="nil"/>
            </w:tcBorders>
            <w:shd w:val="clear" w:color="auto" w:fill="auto"/>
            <w:vAlign w:val="bottom"/>
          </w:tcPr>
          <w:p w:rsidR="00F218D9" w:rsidRPr="00BF0050" w:rsidRDefault="00F218D9" w:rsidP="00CC0A8C">
            <w:pPr>
              <w:spacing w:before="40" w:line="240" w:lineRule="auto"/>
              <w:ind w:firstLine="0"/>
              <w:jc w:val="center"/>
            </w:pPr>
            <w:r w:rsidRPr="00BF0050">
              <w:t>4,9</w:t>
            </w:r>
          </w:p>
        </w:tc>
        <w:tc>
          <w:tcPr>
            <w:tcW w:w="1362" w:type="dxa"/>
            <w:tcBorders>
              <w:top w:val="nil"/>
              <w:left w:val="nil"/>
              <w:right w:val="nil"/>
            </w:tcBorders>
            <w:shd w:val="clear" w:color="auto" w:fill="auto"/>
            <w:vAlign w:val="bottom"/>
          </w:tcPr>
          <w:p w:rsidR="00F218D9" w:rsidRPr="00BF0050" w:rsidRDefault="00F218D9">
            <w:pPr>
              <w:spacing w:before="40" w:line="240" w:lineRule="auto"/>
              <w:ind w:firstLine="0"/>
              <w:jc w:val="center"/>
            </w:pPr>
            <w:r w:rsidRPr="00BF0050">
              <w:t>2,8</w:t>
            </w:r>
          </w:p>
        </w:tc>
        <w:tc>
          <w:tcPr>
            <w:tcW w:w="1362" w:type="dxa"/>
            <w:tcBorders>
              <w:top w:val="nil"/>
              <w:left w:val="nil"/>
              <w:right w:val="nil"/>
            </w:tcBorders>
            <w:shd w:val="clear" w:color="auto" w:fill="auto"/>
            <w:vAlign w:val="bottom"/>
          </w:tcPr>
          <w:p w:rsidR="00F218D9" w:rsidRPr="00BF0050" w:rsidRDefault="00F218D9">
            <w:pPr>
              <w:spacing w:before="40" w:line="240" w:lineRule="auto"/>
              <w:ind w:firstLine="0"/>
              <w:jc w:val="center"/>
            </w:pPr>
            <w:r w:rsidRPr="00BF0050">
              <w:t>2,8</w:t>
            </w:r>
          </w:p>
        </w:tc>
        <w:tc>
          <w:tcPr>
            <w:tcW w:w="1362" w:type="dxa"/>
            <w:tcBorders>
              <w:top w:val="nil"/>
              <w:left w:val="nil"/>
              <w:right w:val="nil"/>
            </w:tcBorders>
            <w:shd w:val="clear" w:color="auto" w:fill="auto"/>
            <w:vAlign w:val="bottom"/>
          </w:tcPr>
          <w:p w:rsidR="00F218D9" w:rsidRPr="00BF0050" w:rsidRDefault="00F218D9">
            <w:pPr>
              <w:spacing w:before="40" w:line="240" w:lineRule="auto"/>
              <w:ind w:firstLine="0"/>
              <w:jc w:val="center"/>
            </w:pPr>
            <w:r w:rsidRPr="00BF0050">
              <w:t>3,2</w:t>
            </w:r>
          </w:p>
        </w:tc>
        <w:tc>
          <w:tcPr>
            <w:tcW w:w="1363" w:type="dxa"/>
            <w:tcBorders>
              <w:top w:val="nil"/>
              <w:left w:val="nil"/>
            </w:tcBorders>
            <w:shd w:val="clear" w:color="auto" w:fill="auto"/>
            <w:vAlign w:val="bottom"/>
          </w:tcPr>
          <w:p w:rsidR="00F218D9" w:rsidRPr="00BF0050" w:rsidRDefault="00F218D9">
            <w:pPr>
              <w:spacing w:before="40" w:line="240" w:lineRule="auto"/>
              <w:ind w:firstLine="0"/>
              <w:jc w:val="center"/>
            </w:pPr>
            <w:r w:rsidRPr="00BF0050">
              <w:t>4,6</w:t>
            </w:r>
          </w:p>
        </w:tc>
      </w:tr>
    </w:tbl>
    <w:p w:rsidR="004050F2" w:rsidRPr="00BF0050" w:rsidRDefault="004050F2" w:rsidP="004050F2">
      <w:pPr>
        <w:spacing w:before="0" w:after="0"/>
        <w:ind w:firstLine="720"/>
        <w:jc w:val="both"/>
        <w:rPr>
          <w:sz w:val="26"/>
          <w:szCs w:val="26"/>
        </w:rPr>
      </w:pPr>
    </w:p>
    <w:p w:rsidR="004050F2" w:rsidRPr="00BF0050" w:rsidRDefault="004050F2" w:rsidP="005458C8">
      <w:pPr>
        <w:spacing w:before="0" w:after="0"/>
        <w:ind w:firstLine="720"/>
        <w:jc w:val="both"/>
        <w:rPr>
          <w:sz w:val="26"/>
          <w:szCs w:val="26"/>
        </w:rPr>
      </w:pPr>
      <w:r w:rsidRPr="00BF0050">
        <w:rPr>
          <w:sz w:val="26"/>
          <w:szCs w:val="26"/>
        </w:rPr>
        <w:t xml:space="preserve">Возможности наращивания объемов экспорта в среднесрочный период в условиях базового варианта будут существенно ограничены ростом конкуренции на мировых сырьевых рынках и снижением </w:t>
      </w:r>
      <w:r w:rsidR="00133B33" w:rsidRPr="00BF0050">
        <w:rPr>
          <w:sz w:val="26"/>
          <w:szCs w:val="26"/>
        </w:rPr>
        <w:t xml:space="preserve">с 2017 года </w:t>
      </w:r>
      <w:r w:rsidR="001F5582" w:rsidRPr="00BF0050">
        <w:rPr>
          <w:sz w:val="26"/>
          <w:szCs w:val="26"/>
        </w:rPr>
        <w:t>объемов</w:t>
      </w:r>
      <w:r w:rsidRPr="00BF0050">
        <w:rPr>
          <w:sz w:val="26"/>
          <w:szCs w:val="26"/>
        </w:rPr>
        <w:t xml:space="preserve"> добычи нефти. В 2016 году экспорт в реальном выражении увеличится на 0,</w:t>
      </w:r>
      <w:r w:rsidR="00F218D9" w:rsidRPr="00BF0050">
        <w:rPr>
          <w:sz w:val="26"/>
          <w:szCs w:val="26"/>
        </w:rPr>
        <w:t xml:space="preserve">8 </w:t>
      </w:r>
      <w:r w:rsidRPr="00BF0050">
        <w:rPr>
          <w:sz w:val="26"/>
          <w:szCs w:val="26"/>
        </w:rPr>
        <w:t xml:space="preserve">%, в дальнейшем физический рост экспорта составит </w:t>
      </w:r>
      <w:r w:rsidR="00F218D9" w:rsidRPr="00BF0050">
        <w:rPr>
          <w:sz w:val="26"/>
          <w:szCs w:val="26"/>
        </w:rPr>
        <w:t>0,8</w:t>
      </w:r>
      <w:r w:rsidR="002C43A6" w:rsidRPr="00BF0050">
        <w:rPr>
          <w:sz w:val="26"/>
          <w:szCs w:val="26"/>
        </w:rPr>
        <w:t>–</w:t>
      </w:r>
      <w:r w:rsidRPr="00BF0050">
        <w:rPr>
          <w:sz w:val="26"/>
          <w:szCs w:val="26"/>
        </w:rPr>
        <w:t>1,</w:t>
      </w:r>
      <w:r w:rsidR="00F218D9" w:rsidRPr="00BF0050">
        <w:rPr>
          <w:sz w:val="26"/>
          <w:szCs w:val="26"/>
        </w:rPr>
        <w:t xml:space="preserve">7 </w:t>
      </w:r>
      <w:r w:rsidRPr="00BF0050">
        <w:rPr>
          <w:sz w:val="26"/>
          <w:szCs w:val="26"/>
        </w:rPr>
        <w:t xml:space="preserve">процента. </w:t>
      </w:r>
    </w:p>
    <w:p w:rsidR="004050F2" w:rsidRPr="00BF0050" w:rsidRDefault="004050F2" w:rsidP="005458C8">
      <w:pPr>
        <w:spacing w:before="0" w:after="0"/>
        <w:ind w:firstLine="720"/>
        <w:jc w:val="both"/>
        <w:rPr>
          <w:sz w:val="26"/>
          <w:szCs w:val="26"/>
        </w:rPr>
      </w:pPr>
      <w:r w:rsidRPr="00BF0050">
        <w:rPr>
          <w:sz w:val="26"/>
          <w:szCs w:val="26"/>
        </w:rPr>
        <w:t xml:space="preserve">В 2016 – 2019 гг. увеличение экспорта в реальном выражении будет происходить под влиянием оживления экономики и </w:t>
      </w:r>
      <w:r w:rsidR="002C43A6" w:rsidRPr="00BF0050">
        <w:rPr>
          <w:sz w:val="26"/>
          <w:szCs w:val="26"/>
        </w:rPr>
        <w:t xml:space="preserve">будет </w:t>
      </w:r>
      <w:r w:rsidRPr="00BF0050">
        <w:rPr>
          <w:sz w:val="26"/>
          <w:szCs w:val="26"/>
        </w:rPr>
        <w:t>связано с расширением поставок машин, оборудования и </w:t>
      </w:r>
      <w:r w:rsidR="004766E5" w:rsidRPr="00BF0050">
        <w:rPr>
          <w:sz w:val="26"/>
          <w:szCs w:val="26"/>
        </w:rPr>
        <w:t xml:space="preserve"> </w:t>
      </w:r>
      <w:r w:rsidRPr="00BF0050">
        <w:rPr>
          <w:sz w:val="26"/>
          <w:szCs w:val="26"/>
        </w:rPr>
        <w:t>транспортных средств, металлов, продовольствия, древесины и</w:t>
      </w:r>
      <w:r w:rsidR="004766E5" w:rsidRPr="00BF0050">
        <w:rPr>
          <w:sz w:val="26"/>
          <w:szCs w:val="26"/>
        </w:rPr>
        <w:t xml:space="preserve"> </w:t>
      </w:r>
      <w:r w:rsidR="009476C8" w:rsidRPr="00BF0050">
        <w:rPr>
          <w:sz w:val="26"/>
          <w:szCs w:val="26"/>
        </w:rPr>
        <w:t> </w:t>
      </w:r>
      <w:r w:rsidRPr="00BF0050">
        <w:rPr>
          <w:sz w:val="26"/>
          <w:szCs w:val="26"/>
        </w:rPr>
        <w:t>продукции химической промышленности. Экспорт машин, оборудования и</w:t>
      </w:r>
      <w:r w:rsidR="00DE13E3" w:rsidRPr="00BF0050">
        <w:rPr>
          <w:sz w:val="26"/>
          <w:szCs w:val="26"/>
        </w:rPr>
        <w:t> </w:t>
      </w:r>
      <w:r w:rsidRPr="00BF0050">
        <w:rPr>
          <w:sz w:val="26"/>
          <w:szCs w:val="26"/>
        </w:rPr>
        <w:t>транспортных средств увеличится с 25,4 млрд. долл</w:t>
      </w:r>
      <w:r w:rsidR="002C43A6" w:rsidRPr="00BF0050">
        <w:rPr>
          <w:sz w:val="26"/>
          <w:szCs w:val="26"/>
        </w:rPr>
        <w:t>.</w:t>
      </w:r>
      <w:r w:rsidRPr="00BF0050">
        <w:rPr>
          <w:sz w:val="26"/>
          <w:szCs w:val="26"/>
        </w:rPr>
        <w:t xml:space="preserve"> США в 2015 году до 31,</w:t>
      </w:r>
      <w:r w:rsidR="009B0185" w:rsidRPr="00BF0050">
        <w:rPr>
          <w:sz w:val="26"/>
          <w:szCs w:val="26"/>
        </w:rPr>
        <w:t>1</w:t>
      </w:r>
      <w:r w:rsidRPr="00BF0050">
        <w:rPr>
          <w:sz w:val="26"/>
          <w:szCs w:val="26"/>
        </w:rPr>
        <w:t xml:space="preserve"> млрд. </w:t>
      </w:r>
      <w:r w:rsidR="004766E5" w:rsidRPr="00BF0050">
        <w:rPr>
          <w:sz w:val="26"/>
          <w:szCs w:val="26"/>
        </w:rPr>
        <w:t xml:space="preserve">долл. </w:t>
      </w:r>
      <w:r w:rsidRPr="00BF0050">
        <w:rPr>
          <w:sz w:val="26"/>
          <w:szCs w:val="26"/>
        </w:rPr>
        <w:t>США в 2019 году, физический темп прироста составит в среднем 4,</w:t>
      </w:r>
      <w:r w:rsidR="00591FFE" w:rsidRPr="00BF0050">
        <w:rPr>
          <w:sz w:val="26"/>
          <w:szCs w:val="26"/>
        </w:rPr>
        <w:t>7 </w:t>
      </w:r>
      <w:r w:rsidRPr="00BF0050">
        <w:rPr>
          <w:sz w:val="26"/>
          <w:szCs w:val="26"/>
        </w:rPr>
        <w:t xml:space="preserve">процента. </w:t>
      </w:r>
    </w:p>
    <w:p w:rsidR="004050F2" w:rsidRPr="00BF0050" w:rsidRDefault="004050F2" w:rsidP="005458C8">
      <w:pPr>
        <w:shd w:val="clear" w:color="auto" w:fill="FFFFFF"/>
        <w:spacing w:before="0" w:after="0"/>
        <w:ind w:firstLine="720"/>
        <w:jc w:val="both"/>
        <w:rPr>
          <w:sz w:val="26"/>
          <w:szCs w:val="26"/>
        </w:rPr>
      </w:pPr>
      <w:r w:rsidRPr="00BF0050">
        <w:rPr>
          <w:sz w:val="26"/>
          <w:szCs w:val="26"/>
        </w:rPr>
        <w:t xml:space="preserve">Динамика </w:t>
      </w:r>
      <w:r w:rsidRPr="00BF0050">
        <w:rPr>
          <w:b/>
          <w:sz w:val="26"/>
          <w:szCs w:val="26"/>
        </w:rPr>
        <w:t>импорта товаров</w:t>
      </w:r>
      <w:r w:rsidRPr="00BF0050">
        <w:rPr>
          <w:sz w:val="26"/>
          <w:szCs w:val="26"/>
        </w:rPr>
        <w:t xml:space="preserve"> будет сильно ограничена динамикой обменного курса и внутреннего спроса. Курс доллара в 2016 году составит 67</w:t>
      </w:r>
      <w:r w:rsidR="002C43A6" w:rsidRPr="00BF0050">
        <w:rPr>
          <w:sz w:val="26"/>
          <w:szCs w:val="26"/>
        </w:rPr>
        <w:t>–</w:t>
      </w:r>
      <w:r w:rsidRPr="00BF0050">
        <w:rPr>
          <w:sz w:val="26"/>
          <w:szCs w:val="26"/>
        </w:rPr>
        <w:t xml:space="preserve">68 руб./долл. США, </w:t>
      </w:r>
      <w:r w:rsidR="004766E5" w:rsidRPr="00BF0050">
        <w:rPr>
          <w:sz w:val="26"/>
          <w:szCs w:val="26"/>
        </w:rPr>
        <w:t xml:space="preserve">                      </w:t>
      </w:r>
      <w:r w:rsidRPr="00BF0050">
        <w:rPr>
          <w:sz w:val="26"/>
          <w:szCs w:val="26"/>
        </w:rPr>
        <w:t>а к 2019 году, с учетом роста цен на нефть и прогнозируемых параметров платежного баланса</w:t>
      </w:r>
      <w:r w:rsidR="004766E5" w:rsidRPr="00BF0050">
        <w:rPr>
          <w:sz w:val="26"/>
          <w:szCs w:val="26"/>
        </w:rPr>
        <w:t>,</w:t>
      </w:r>
      <w:r w:rsidRPr="00BF0050">
        <w:rPr>
          <w:sz w:val="26"/>
          <w:szCs w:val="26"/>
        </w:rPr>
        <w:t xml:space="preserve"> может укрепиться до </w:t>
      </w:r>
      <w:r w:rsidR="00591FFE" w:rsidRPr="00BF0050">
        <w:rPr>
          <w:sz w:val="26"/>
          <w:szCs w:val="26"/>
        </w:rPr>
        <w:t>62</w:t>
      </w:r>
      <w:r w:rsidR="002C43A6" w:rsidRPr="00BF0050">
        <w:rPr>
          <w:sz w:val="26"/>
          <w:szCs w:val="26"/>
        </w:rPr>
        <w:t>–</w:t>
      </w:r>
      <w:r w:rsidR="00591FFE" w:rsidRPr="00BF0050">
        <w:rPr>
          <w:sz w:val="26"/>
          <w:szCs w:val="26"/>
        </w:rPr>
        <w:t xml:space="preserve">63 </w:t>
      </w:r>
      <w:r w:rsidRPr="00BF0050">
        <w:rPr>
          <w:sz w:val="26"/>
          <w:szCs w:val="26"/>
        </w:rPr>
        <w:t>руб./долл. США.</w:t>
      </w:r>
    </w:p>
    <w:p w:rsidR="004050F2" w:rsidRPr="00BF0050" w:rsidRDefault="004050F2" w:rsidP="005458C8">
      <w:pPr>
        <w:shd w:val="clear" w:color="auto" w:fill="FFFFFF"/>
        <w:spacing w:before="0" w:after="0"/>
        <w:ind w:firstLine="720"/>
        <w:jc w:val="both"/>
        <w:rPr>
          <w:sz w:val="26"/>
          <w:szCs w:val="26"/>
        </w:rPr>
      </w:pPr>
      <w:r w:rsidRPr="00BF0050">
        <w:rPr>
          <w:sz w:val="26"/>
          <w:szCs w:val="26"/>
        </w:rPr>
        <w:t>В 2016 году внутренний спрос сократится за счет сжатия потребительского спроса</w:t>
      </w:r>
      <w:r w:rsidR="004766E5" w:rsidRPr="00BF0050">
        <w:rPr>
          <w:sz w:val="26"/>
          <w:szCs w:val="26"/>
        </w:rPr>
        <w:t xml:space="preserve"> и </w:t>
      </w:r>
      <w:r w:rsidRPr="00BF0050">
        <w:rPr>
          <w:sz w:val="26"/>
          <w:szCs w:val="26"/>
        </w:rPr>
        <w:t xml:space="preserve">негативной динамики инвестиций в основной капитал. С учетом сокращения импортных поставок на </w:t>
      </w:r>
      <w:r w:rsidR="007077E8" w:rsidRPr="00BF0050">
        <w:rPr>
          <w:sz w:val="26"/>
          <w:szCs w:val="26"/>
        </w:rPr>
        <w:t>3</w:t>
      </w:r>
      <w:r w:rsidRPr="00BF0050">
        <w:rPr>
          <w:sz w:val="26"/>
          <w:szCs w:val="26"/>
        </w:rPr>
        <w:t xml:space="preserve">,3 % возрастет доля отечественного производства как источника </w:t>
      </w:r>
      <w:r w:rsidRPr="00BF0050">
        <w:rPr>
          <w:sz w:val="26"/>
          <w:szCs w:val="26"/>
        </w:rPr>
        <w:lastRenderedPageBreak/>
        <w:t>покрытия внутреннего спроса. В 2017</w:t>
      </w:r>
      <w:r w:rsidR="002C43A6" w:rsidRPr="00BF0050">
        <w:rPr>
          <w:sz w:val="26"/>
          <w:szCs w:val="26"/>
        </w:rPr>
        <w:t> </w:t>
      </w:r>
      <w:r w:rsidRPr="00BF0050">
        <w:rPr>
          <w:sz w:val="26"/>
          <w:szCs w:val="26"/>
        </w:rPr>
        <w:t>–</w:t>
      </w:r>
      <w:r w:rsidR="002C43A6" w:rsidRPr="00BF0050">
        <w:rPr>
          <w:sz w:val="26"/>
          <w:szCs w:val="26"/>
        </w:rPr>
        <w:t> </w:t>
      </w:r>
      <w:r w:rsidRPr="00BF0050">
        <w:rPr>
          <w:sz w:val="26"/>
          <w:szCs w:val="26"/>
        </w:rPr>
        <w:t>2019 гг. рост импорта будет восстанавлива</w:t>
      </w:r>
      <w:r w:rsidR="002C43A6" w:rsidRPr="00BF0050">
        <w:rPr>
          <w:sz w:val="26"/>
          <w:szCs w:val="26"/>
        </w:rPr>
        <w:t>ть</w:t>
      </w:r>
      <w:r w:rsidRPr="00BF0050">
        <w:rPr>
          <w:sz w:val="26"/>
          <w:szCs w:val="26"/>
        </w:rPr>
        <w:t xml:space="preserve">ся в среднем </w:t>
      </w:r>
      <w:r w:rsidR="002C43A6" w:rsidRPr="00BF0050">
        <w:rPr>
          <w:sz w:val="26"/>
          <w:szCs w:val="26"/>
        </w:rPr>
        <w:t xml:space="preserve">на </w:t>
      </w:r>
      <w:r w:rsidR="007077E8" w:rsidRPr="00BF0050">
        <w:rPr>
          <w:sz w:val="26"/>
          <w:szCs w:val="26"/>
        </w:rPr>
        <w:t>4,4</w:t>
      </w:r>
      <w:r w:rsidRPr="00BF0050">
        <w:rPr>
          <w:sz w:val="26"/>
          <w:szCs w:val="26"/>
        </w:rPr>
        <w:t xml:space="preserve"> % в реальном выражении.</w:t>
      </w:r>
    </w:p>
    <w:p w:rsidR="004050F2" w:rsidRPr="00BF0050" w:rsidRDefault="004050F2" w:rsidP="00B460B2">
      <w:pPr>
        <w:spacing w:before="240" w:line="360" w:lineRule="auto"/>
        <w:ind w:firstLine="720"/>
        <w:jc w:val="center"/>
        <w:rPr>
          <w:b/>
          <w:sz w:val="26"/>
          <w:szCs w:val="26"/>
        </w:rPr>
      </w:pPr>
      <w:r w:rsidRPr="00BF0050">
        <w:rPr>
          <w:b/>
          <w:sz w:val="26"/>
          <w:szCs w:val="26"/>
        </w:rPr>
        <w:t>Динамика физического объема импорта товаров,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53"/>
        <w:gridCol w:w="1352"/>
        <w:gridCol w:w="1352"/>
        <w:gridCol w:w="1352"/>
        <w:gridCol w:w="1352"/>
      </w:tblGrid>
      <w:tr w:rsidR="004050F2" w:rsidRPr="00BF0050" w:rsidTr="005458C8">
        <w:trPr>
          <w:jc w:val="center"/>
        </w:trPr>
        <w:tc>
          <w:tcPr>
            <w:tcW w:w="3440" w:type="dxa"/>
            <w:tcBorders>
              <w:bottom w:val="single" w:sz="4" w:space="0" w:color="auto"/>
            </w:tcBorders>
            <w:shd w:val="clear" w:color="auto" w:fill="auto"/>
            <w:vAlign w:val="center"/>
          </w:tcPr>
          <w:p w:rsidR="004050F2" w:rsidRPr="00BF0050" w:rsidRDefault="004050F2" w:rsidP="009251A6">
            <w:pPr>
              <w:spacing w:before="20" w:after="20" w:line="240" w:lineRule="auto"/>
              <w:ind w:firstLine="0"/>
              <w:jc w:val="both"/>
            </w:pPr>
          </w:p>
        </w:tc>
        <w:tc>
          <w:tcPr>
            <w:tcW w:w="1353" w:type="dxa"/>
            <w:tcBorders>
              <w:bottom w:val="single" w:sz="4" w:space="0" w:color="auto"/>
            </w:tcBorders>
            <w:shd w:val="clear" w:color="auto" w:fill="auto"/>
            <w:vAlign w:val="center"/>
          </w:tcPr>
          <w:p w:rsidR="004050F2" w:rsidRPr="00BF0050" w:rsidRDefault="004050F2" w:rsidP="005458C8">
            <w:pPr>
              <w:spacing w:before="20" w:after="20" w:line="240" w:lineRule="auto"/>
              <w:ind w:firstLine="0"/>
              <w:jc w:val="center"/>
            </w:pPr>
            <w:r w:rsidRPr="00BF0050">
              <w:t>2015 г.</w:t>
            </w:r>
          </w:p>
          <w:p w:rsidR="004050F2" w:rsidRPr="00BF0050" w:rsidRDefault="004050F2" w:rsidP="005458C8">
            <w:pPr>
              <w:spacing w:before="20" w:after="20" w:line="240" w:lineRule="auto"/>
              <w:ind w:hanging="108"/>
              <w:jc w:val="center"/>
            </w:pPr>
            <w:r w:rsidRPr="00BF0050">
              <w:t>отчет</w:t>
            </w:r>
          </w:p>
        </w:tc>
        <w:tc>
          <w:tcPr>
            <w:tcW w:w="1352" w:type="dxa"/>
            <w:tcBorders>
              <w:bottom w:val="single" w:sz="4" w:space="0" w:color="auto"/>
            </w:tcBorders>
            <w:shd w:val="clear" w:color="auto" w:fill="auto"/>
            <w:vAlign w:val="center"/>
          </w:tcPr>
          <w:p w:rsidR="004050F2" w:rsidRPr="00BF0050" w:rsidRDefault="004050F2" w:rsidP="005458C8">
            <w:pPr>
              <w:spacing w:before="20" w:after="20" w:line="240" w:lineRule="auto"/>
              <w:ind w:firstLine="0"/>
              <w:jc w:val="center"/>
            </w:pPr>
            <w:r w:rsidRPr="00BF0050">
              <w:t>2016 г.</w:t>
            </w:r>
          </w:p>
        </w:tc>
        <w:tc>
          <w:tcPr>
            <w:tcW w:w="1352" w:type="dxa"/>
            <w:tcBorders>
              <w:bottom w:val="single" w:sz="4" w:space="0" w:color="auto"/>
            </w:tcBorders>
            <w:shd w:val="clear" w:color="auto" w:fill="auto"/>
            <w:vAlign w:val="center"/>
          </w:tcPr>
          <w:p w:rsidR="004050F2" w:rsidRPr="00BF0050" w:rsidRDefault="004050F2" w:rsidP="005458C8">
            <w:pPr>
              <w:spacing w:before="20" w:after="20" w:line="240" w:lineRule="auto"/>
              <w:ind w:firstLine="0"/>
              <w:jc w:val="center"/>
            </w:pPr>
            <w:r w:rsidRPr="00BF0050">
              <w:t>2017 г.</w:t>
            </w:r>
          </w:p>
        </w:tc>
        <w:tc>
          <w:tcPr>
            <w:tcW w:w="1352" w:type="dxa"/>
            <w:tcBorders>
              <w:bottom w:val="single" w:sz="4" w:space="0" w:color="auto"/>
            </w:tcBorders>
            <w:shd w:val="clear" w:color="auto" w:fill="auto"/>
            <w:vAlign w:val="center"/>
          </w:tcPr>
          <w:p w:rsidR="004050F2" w:rsidRPr="00BF0050" w:rsidRDefault="004050F2" w:rsidP="005458C8">
            <w:pPr>
              <w:spacing w:before="20" w:after="20" w:line="240" w:lineRule="auto"/>
              <w:ind w:firstLine="0"/>
              <w:jc w:val="center"/>
            </w:pPr>
            <w:r w:rsidRPr="00BF0050">
              <w:t>2018 г.</w:t>
            </w:r>
          </w:p>
        </w:tc>
        <w:tc>
          <w:tcPr>
            <w:tcW w:w="1352" w:type="dxa"/>
            <w:tcBorders>
              <w:bottom w:val="single" w:sz="4" w:space="0" w:color="auto"/>
            </w:tcBorders>
            <w:shd w:val="clear" w:color="auto" w:fill="auto"/>
            <w:vAlign w:val="center"/>
          </w:tcPr>
          <w:p w:rsidR="004050F2" w:rsidRPr="00BF0050" w:rsidRDefault="004050F2" w:rsidP="005458C8">
            <w:pPr>
              <w:spacing w:before="20" w:after="20" w:line="240" w:lineRule="auto"/>
              <w:ind w:firstLine="0"/>
              <w:jc w:val="center"/>
            </w:pPr>
            <w:r w:rsidRPr="00BF0050">
              <w:t>2019 г.</w:t>
            </w:r>
          </w:p>
        </w:tc>
      </w:tr>
      <w:tr w:rsidR="004050F2" w:rsidRPr="00BF0050" w:rsidTr="005458C8">
        <w:trPr>
          <w:jc w:val="center"/>
        </w:trPr>
        <w:tc>
          <w:tcPr>
            <w:tcW w:w="3440" w:type="dxa"/>
            <w:tcBorders>
              <w:bottom w:val="nil"/>
              <w:right w:val="single" w:sz="4" w:space="0" w:color="auto"/>
            </w:tcBorders>
            <w:shd w:val="clear" w:color="auto" w:fill="auto"/>
            <w:vAlign w:val="center"/>
          </w:tcPr>
          <w:p w:rsidR="004050F2" w:rsidRPr="00BF0050" w:rsidRDefault="004050F2" w:rsidP="005458C8">
            <w:pPr>
              <w:spacing w:after="60" w:line="240" w:lineRule="auto"/>
              <w:ind w:left="113" w:firstLine="0"/>
              <w:jc w:val="both"/>
            </w:pPr>
            <w:r w:rsidRPr="00BF0050">
              <w:t>Импорт – всего</w:t>
            </w:r>
          </w:p>
        </w:tc>
        <w:tc>
          <w:tcPr>
            <w:tcW w:w="1353" w:type="dxa"/>
            <w:tcBorders>
              <w:left w:val="single" w:sz="4" w:space="0" w:color="auto"/>
              <w:bottom w:val="nil"/>
              <w:right w:val="nil"/>
            </w:tcBorders>
            <w:shd w:val="clear" w:color="auto" w:fill="auto"/>
            <w:vAlign w:val="bottom"/>
          </w:tcPr>
          <w:p w:rsidR="004050F2" w:rsidRPr="00BF0050" w:rsidRDefault="004050F2" w:rsidP="005458C8">
            <w:pPr>
              <w:spacing w:after="60" w:line="240" w:lineRule="auto"/>
              <w:ind w:firstLine="0"/>
              <w:jc w:val="center"/>
            </w:pPr>
            <w:r w:rsidRPr="00BF0050">
              <w:t>-25,9</w:t>
            </w:r>
          </w:p>
        </w:tc>
        <w:tc>
          <w:tcPr>
            <w:tcW w:w="1352" w:type="dxa"/>
            <w:tcBorders>
              <w:left w:val="nil"/>
              <w:bottom w:val="nil"/>
              <w:right w:val="nil"/>
            </w:tcBorders>
            <w:shd w:val="clear" w:color="auto" w:fill="auto"/>
            <w:vAlign w:val="bottom"/>
          </w:tcPr>
          <w:p w:rsidR="004050F2" w:rsidRPr="00BF0050" w:rsidRDefault="004050F2" w:rsidP="00337876">
            <w:pPr>
              <w:spacing w:after="60" w:line="240" w:lineRule="auto"/>
              <w:ind w:firstLine="0"/>
              <w:jc w:val="center"/>
            </w:pPr>
            <w:r w:rsidRPr="00BF0050">
              <w:t>-</w:t>
            </w:r>
            <w:r w:rsidR="00337876" w:rsidRPr="00BF0050">
              <w:t>3</w:t>
            </w:r>
            <w:r w:rsidRPr="00BF0050">
              <w:t>,3</w:t>
            </w:r>
          </w:p>
        </w:tc>
        <w:tc>
          <w:tcPr>
            <w:tcW w:w="1352" w:type="dxa"/>
            <w:tcBorders>
              <w:left w:val="nil"/>
              <w:bottom w:val="nil"/>
              <w:right w:val="nil"/>
            </w:tcBorders>
            <w:shd w:val="clear" w:color="auto" w:fill="auto"/>
            <w:vAlign w:val="bottom"/>
          </w:tcPr>
          <w:p w:rsidR="004050F2" w:rsidRPr="00BF0050" w:rsidRDefault="00337876" w:rsidP="005458C8">
            <w:pPr>
              <w:spacing w:after="60" w:line="240" w:lineRule="auto"/>
              <w:ind w:firstLine="0"/>
              <w:jc w:val="center"/>
            </w:pPr>
            <w:r w:rsidRPr="00BF0050">
              <w:t>3,5</w:t>
            </w:r>
          </w:p>
        </w:tc>
        <w:tc>
          <w:tcPr>
            <w:tcW w:w="1352" w:type="dxa"/>
            <w:tcBorders>
              <w:left w:val="nil"/>
              <w:bottom w:val="nil"/>
              <w:right w:val="nil"/>
            </w:tcBorders>
            <w:shd w:val="clear" w:color="auto" w:fill="auto"/>
            <w:vAlign w:val="bottom"/>
          </w:tcPr>
          <w:p w:rsidR="004050F2" w:rsidRPr="00BF0050" w:rsidRDefault="00337876" w:rsidP="005458C8">
            <w:pPr>
              <w:spacing w:after="60" w:line="240" w:lineRule="auto"/>
              <w:ind w:firstLine="0"/>
              <w:jc w:val="center"/>
            </w:pPr>
            <w:r w:rsidRPr="00BF0050">
              <w:t>4,2</w:t>
            </w:r>
          </w:p>
        </w:tc>
        <w:tc>
          <w:tcPr>
            <w:tcW w:w="1352" w:type="dxa"/>
            <w:tcBorders>
              <w:left w:val="nil"/>
              <w:bottom w:val="nil"/>
            </w:tcBorders>
            <w:shd w:val="clear" w:color="auto" w:fill="auto"/>
            <w:vAlign w:val="bottom"/>
          </w:tcPr>
          <w:p w:rsidR="004050F2" w:rsidRPr="00BF0050" w:rsidRDefault="00337876" w:rsidP="005458C8">
            <w:pPr>
              <w:spacing w:after="60" w:line="240" w:lineRule="auto"/>
              <w:ind w:firstLine="0"/>
              <w:jc w:val="center"/>
            </w:pPr>
            <w:r w:rsidRPr="00BF0050">
              <w:t>5,7</w:t>
            </w:r>
          </w:p>
        </w:tc>
      </w:tr>
      <w:tr w:rsidR="00591FFE" w:rsidRPr="00BF0050" w:rsidTr="005458C8">
        <w:trPr>
          <w:jc w:val="center"/>
        </w:trPr>
        <w:tc>
          <w:tcPr>
            <w:tcW w:w="3440" w:type="dxa"/>
            <w:tcBorders>
              <w:top w:val="nil"/>
              <w:bottom w:val="nil"/>
              <w:right w:val="single" w:sz="4" w:space="0" w:color="auto"/>
            </w:tcBorders>
            <w:shd w:val="clear" w:color="auto" w:fill="auto"/>
          </w:tcPr>
          <w:p w:rsidR="00591FFE" w:rsidRPr="00BF0050" w:rsidRDefault="00591FFE" w:rsidP="005458C8">
            <w:pPr>
              <w:spacing w:before="40" w:after="40" w:line="240" w:lineRule="auto"/>
              <w:ind w:firstLine="372"/>
              <w:jc w:val="both"/>
            </w:pPr>
            <w:r w:rsidRPr="00BF0050">
              <w:t xml:space="preserve"> инвестиционный </w:t>
            </w:r>
          </w:p>
        </w:tc>
        <w:tc>
          <w:tcPr>
            <w:tcW w:w="1353" w:type="dxa"/>
            <w:tcBorders>
              <w:top w:val="nil"/>
              <w:left w:val="single" w:sz="4" w:space="0" w:color="auto"/>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-32,0</w:t>
            </w:r>
          </w:p>
        </w:tc>
        <w:tc>
          <w:tcPr>
            <w:tcW w:w="1352" w:type="dxa"/>
            <w:tcBorders>
              <w:top w:val="nil"/>
              <w:left w:val="nil"/>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-6,2</w:t>
            </w:r>
          </w:p>
        </w:tc>
        <w:tc>
          <w:tcPr>
            <w:tcW w:w="1352" w:type="dxa"/>
            <w:tcBorders>
              <w:top w:val="nil"/>
              <w:left w:val="nil"/>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4,6</w:t>
            </w:r>
          </w:p>
        </w:tc>
        <w:tc>
          <w:tcPr>
            <w:tcW w:w="1352" w:type="dxa"/>
            <w:tcBorders>
              <w:top w:val="nil"/>
              <w:left w:val="nil"/>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6,3</w:t>
            </w:r>
          </w:p>
        </w:tc>
        <w:tc>
          <w:tcPr>
            <w:tcW w:w="1352" w:type="dxa"/>
            <w:tcBorders>
              <w:top w:val="nil"/>
              <w:left w:val="nil"/>
              <w:bottom w:val="nil"/>
            </w:tcBorders>
            <w:shd w:val="clear" w:color="auto" w:fill="auto"/>
            <w:vAlign w:val="bottom"/>
          </w:tcPr>
          <w:p w:rsidR="00591FFE" w:rsidRPr="00BF0050" w:rsidRDefault="00591FFE" w:rsidP="005458C8">
            <w:pPr>
              <w:spacing w:before="40" w:after="40" w:line="240" w:lineRule="auto"/>
              <w:ind w:firstLine="0"/>
              <w:jc w:val="center"/>
            </w:pPr>
            <w:r w:rsidRPr="00BF0050">
              <w:t>8,5</w:t>
            </w:r>
          </w:p>
        </w:tc>
      </w:tr>
      <w:tr w:rsidR="00591FFE" w:rsidRPr="00BF0050" w:rsidTr="005458C8">
        <w:trPr>
          <w:jc w:val="center"/>
        </w:trPr>
        <w:tc>
          <w:tcPr>
            <w:tcW w:w="3440" w:type="dxa"/>
            <w:tcBorders>
              <w:top w:val="nil"/>
              <w:bottom w:val="nil"/>
              <w:right w:val="single" w:sz="4" w:space="0" w:color="auto"/>
            </w:tcBorders>
            <w:shd w:val="clear" w:color="auto" w:fill="auto"/>
          </w:tcPr>
          <w:p w:rsidR="00591FFE" w:rsidRPr="00BF0050" w:rsidRDefault="00591FFE" w:rsidP="005458C8">
            <w:pPr>
              <w:spacing w:before="40" w:after="40" w:line="240" w:lineRule="auto"/>
              <w:ind w:firstLine="372"/>
              <w:jc w:val="both"/>
            </w:pPr>
            <w:r w:rsidRPr="00BF0050">
              <w:t xml:space="preserve"> потребительский </w:t>
            </w:r>
          </w:p>
        </w:tc>
        <w:tc>
          <w:tcPr>
            <w:tcW w:w="1353" w:type="dxa"/>
            <w:tcBorders>
              <w:top w:val="nil"/>
              <w:left w:val="single" w:sz="4" w:space="0" w:color="auto"/>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-24,8</w:t>
            </w:r>
          </w:p>
        </w:tc>
        <w:tc>
          <w:tcPr>
            <w:tcW w:w="1352" w:type="dxa"/>
            <w:tcBorders>
              <w:top w:val="nil"/>
              <w:left w:val="nil"/>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-3,0</w:t>
            </w:r>
          </w:p>
        </w:tc>
        <w:tc>
          <w:tcPr>
            <w:tcW w:w="1352" w:type="dxa"/>
            <w:tcBorders>
              <w:top w:val="nil"/>
              <w:left w:val="nil"/>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2,9</w:t>
            </w:r>
          </w:p>
        </w:tc>
        <w:tc>
          <w:tcPr>
            <w:tcW w:w="1352" w:type="dxa"/>
            <w:tcBorders>
              <w:top w:val="nil"/>
              <w:left w:val="nil"/>
              <w:bottom w:val="nil"/>
              <w:right w:val="nil"/>
            </w:tcBorders>
            <w:shd w:val="clear" w:color="auto" w:fill="auto"/>
            <w:vAlign w:val="bottom"/>
          </w:tcPr>
          <w:p w:rsidR="00591FFE" w:rsidRPr="00BF0050" w:rsidRDefault="00591FFE" w:rsidP="005458C8">
            <w:pPr>
              <w:spacing w:before="40" w:after="40" w:line="240" w:lineRule="auto"/>
              <w:ind w:firstLine="0"/>
              <w:jc w:val="center"/>
            </w:pPr>
            <w:r w:rsidRPr="00BF0050">
              <w:t>3,7</w:t>
            </w:r>
          </w:p>
        </w:tc>
        <w:tc>
          <w:tcPr>
            <w:tcW w:w="1352" w:type="dxa"/>
            <w:tcBorders>
              <w:top w:val="nil"/>
              <w:left w:val="nil"/>
              <w:bottom w:val="nil"/>
            </w:tcBorders>
            <w:shd w:val="clear" w:color="auto" w:fill="auto"/>
            <w:vAlign w:val="bottom"/>
          </w:tcPr>
          <w:p w:rsidR="00591FFE" w:rsidRPr="00BF0050" w:rsidRDefault="00591FFE" w:rsidP="005458C8">
            <w:pPr>
              <w:spacing w:before="40" w:after="40" w:line="240" w:lineRule="auto"/>
              <w:ind w:firstLine="0"/>
              <w:jc w:val="center"/>
            </w:pPr>
            <w:r w:rsidRPr="00BF0050">
              <w:t>5,1</w:t>
            </w:r>
          </w:p>
        </w:tc>
      </w:tr>
      <w:tr w:rsidR="00591FFE" w:rsidRPr="00BF0050" w:rsidTr="005458C8">
        <w:trPr>
          <w:jc w:val="center"/>
        </w:trPr>
        <w:tc>
          <w:tcPr>
            <w:tcW w:w="3440" w:type="dxa"/>
            <w:tcBorders>
              <w:top w:val="nil"/>
              <w:right w:val="single" w:sz="4" w:space="0" w:color="auto"/>
            </w:tcBorders>
            <w:shd w:val="clear" w:color="auto" w:fill="auto"/>
          </w:tcPr>
          <w:p w:rsidR="00591FFE" w:rsidRPr="00BF0050" w:rsidRDefault="00591FFE" w:rsidP="005458C8">
            <w:pPr>
              <w:spacing w:before="40" w:line="240" w:lineRule="auto"/>
              <w:ind w:firstLine="372"/>
              <w:jc w:val="both"/>
            </w:pPr>
            <w:r w:rsidRPr="00BF0050">
              <w:t xml:space="preserve"> промежуточный </w:t>
            </w:r>
          </w:p>
        </w:tc>
        <w:tc>
          <w:tcPr>
            <w:tcW w:w="1353" w:type="dxa"/>
            <w:tcBorders>
              <w:top w:val="nil"/>
              <w:left w:val="single" w:sz="4" w:space="0" w:color="auto"/>
              <w:right w:val="nil"/>
            </w:tcBorders>
            <w:shd w:val="clear" w:color="auto" w:fill="auto"/>
            <w:vAlign w:val="bottom"/>
          </w:tcPr>
          <w:p w:rsidR="00591FFE" w:rsidRPr="00BF0050" w:rsidRDefault="00591FFE" w:rsidP="005458C8">
            <w:pPr>
              <w:spacing w:before="40" w:line="240" w:lineRule="auto"/>
              <w:ind w:firstLine="0"/>
              <w:jc w:val="center"/>
            </w:pPr>
            <w:r w:rsidRPr="00BF0050">
              <w:t>-22,6</w:t>
            </w:r>
          </w:p>
        </w:tc>
        <w:tc>
          <w:tcPr>
            <w:tcW w:w="1352" w:type="dxa"/>
            <w:tcBorders>
              <w:top w:val="nil"/>
              <w:left w:val="nil"/>
              <w:right w:val="nil"/>
            </w:tcBorders>
            <w:shd w:val="clear" w:color="auto" w:fill="auto"/>
            <w:vAlign w:val="bottom"/>
          </w:tcPr>
          <w:p w:rsidR="00591FFE" w:rsidRPr="00BF0050" w:rsidRDefault="00591FFE" w:rsidP="005458C8">
            <w:pPr>
              <w:spacing w:before="40" w:line="240" w:lineRule="auto"/>
              <w:ind w:firstLine="0"/>
              <w:jc w:val="center"/>
            </w:pPr>
            <w:r w:rsidRPr="00BF0050">
              <w:t>-1,7</w:t>
            </w:r>
          </w:p>
        </w:tc>
        <w:tc>
          <w:tcPr>
            <w:tcW w:w="1352" w:type="dxa"/>
            <w:tcBorders>
              <w:top w:val="nil"/>
              <w:left w:val="nil"/>
              <w:right w:val="nil"/>
            </w:tcBorders>
            <w:shd w:val="clear" w:color="auto" w:fill="auto"/>
            <w:vAlign w:val="bottom"/>
          </w:tcPr>
          <w:p w:rsidR="00591FFE" w:rsidRPr="00BF0050" w:rsidRDefault="00591FFE" w:rsidP="005458C8">
            <w:pPr>
              <w:spacing w:before="40" w:line="240" w:lineRule="auto"/>
              <w:ind w:firstLine="0"/>
              <w:jc w:val="center"/>
            </w:pPr>
            <w:r w:rsidRPr="00BF0050">
              <w:t>3,4</w:t>
            </w:r>
          </w:p>
        </w:tc>
        <w:tc>
          <w:tcPr>
            <w:tcW w:w="1352" w:type="dxa"/>
            <w:tcBorders>
              <w:top w:val="nil"/>
              <w:left w:val="nil"/>
              <w:right w:val="nil"/>
            </w:tcBorders>
            <w:shd w:val="clear" w:color="auto" w:fill="auto"/>
            <w:vAlign w:val="bottom"/>
          </w:tcPr>
          <w:p w:rsidR="00591FFE" w:rsidRPr="00BF0050" w:rsidRDefault="00591FFE" w:rsidP="005458C8">
            <w:pPr>
              <w:spacing w:before="40" w:line="240" w:lineRule="auto"/>
              <w:ind w:firstLine="0"/>
              <w:jc w:val="center"/>
            </w:pPr>
            <w:r w:rsidRPr="00BF0050">
              <w:t>3,2</w:t>
            </w:r>
          </w:p>
        </w:tc>
        <w:tc>
          <w:tcPr>
            <w:tcW w:w="1352" w:type="dxa"/>
            <w:tcBorders>
              <w:top w:val="nil"/>
              <w:left w:val="nil"/>
            </w:tcBorders>
            <w:shd w:val="clear" w:color="auto" w:fill="auto"/>
            <w:vAlign w:val="bottom"/>
          </w:tcPr>
          <w:p w:rsidR="00591FFE" w:rsidRPr="00BF0050" w:rsidRDefault="00591FFE" w:rsidP="005458C8">
            <w:pPr>
              <w:spacing w:before="40" w:line="240" w:lineRule="auto"/>
              <w:ind w:firstLine="0"/>
              <w:jc w:val="center"/>
            </w:pPr>
            <w:r w:rsidRPr="00BF0050">
              <w:t>4,4</w:t>
            </w:r>
          </w:p>
        </w:tc>
      </w:tr>
    </w:tbl>
    <w:p w:rsidR="004050F2" w:rsidRPr="00BF0050" w:rsidRDefault="004050F2" w:rsidP="000D5110">
      <w:pPr>
        <w:shd w:val="clear" w:color="auto" w:fill="FFFFFF"/>
        <w:spacing w:before="360" w:after="240"/>
        <w:ind w:firstLine="720"/>
        <w:jc w:val="both"/>
        <w:rPr>
          <w:sz w:val="26"/>
          <w:szCs w:val="26"/>
        </w:rPr>
      </w:pPr>
      <w:r w:rsidRPr="00BF0050">
        <w:rPr>
          <w:sz w:val="26"/>
          <w:szCs w:val="26"/>
        </w:rPr>
        <w:t>В 2016 году в структуре импорта продолжится сокращение доли инвестиционных товаров с 23,5 % в 2015 году до 22,</w:t>
      </w:r>
      <w:r w:rsidR="00591FFE" w:rsidRPr="00BF0050">
        <w:rPr>
          <w:sz w:val="26"/>
          <w:szCs w:val="26"/>
        </w:rPr>
        <w:t>7 </w:t>
      </w:r>
      <w:r w:rsidRPr="00BF0050">
        <w:rPr>
          <w:sz w:val="26"/>
          <w:szCs w:val="26"/>
        </w:rPr>
        <w:t xml:space="preserve">% в 2016 году. В дальнейшем рост импорта начнет восстанавливаться, темп роста инвестиционного импорта будет </w:t>
      </w:r>
      <w:r w:rsidR="006E7AC3" w:rsidRPr="00BF0050">
        <w:rPr>
          <w:sz w:val="26"/>
          <w:szCs w:val="26"/>
        </w:rPr>
        <w:t>опережать</w:t>
      </w:r>
      <w:r w:rsidRPr="00BF0050">
        <w:rPr>
          <w:sz w:val="26"/>
          <w:szCs w:val="26"/>
        </w:rPr>
        <w:t xml:space="preserve"> рост потребительского и промежуточного импорта.</w:t>
      </w:r>
    </w:p>
    <w:p w:rsidR="004050F2" w:rsidRPr="00BF0050" w:rsidRDefault="004050F2" w:rsidP="00B460B2">
      <w:pPr>
        <w:spacing w:before="0"/>
        <w:ind w:firstLine="720"/>
        <w:jc w:val="center"/>
        <w:rPr>
          <w:b/>
          <w:sz w:val="26"/>
          <w:szCs w:val="26"/>
        </w:rPr>
      </w:pPr>
      <w:r w:rsidRPr="00BF0050">
        <w:rPr>
          <w:b/>
          <w:sz w:val="26"/>
          <w:szCs w:val="26"/>
        </w:rPr>
        <w:t>Структура импорта товаров,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353"/>
        <w:gridCol w:w="1352"/>
        <w:gridCol w:w="1352"/>
        <w:gridCol w:w="1352"/>
        <w:gridCol w:w="1352"/>
      </w:tblGrid>
      <w:tr w:rsidR="004050F2" w:rsidRPr="00BF0050" w:rsidTr="005458C8">
        <w:trPr>
          <w:jc w:val="center"/>
        </w:trPr>
        <w:tc>
          <w:tcPr>
            <w:tcW w:w="3329"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both"/>
            </w:pPr>
          </w:p>
        </w:tc>
        <w:tc>
          <w:tcPr>
            <w:tcW w:w="1353"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2015 г.</w:t>
            </w:r>
          </w:p>
          <w:p w:rsidR="004050F2" w:rsidRPr="00BF0050" w:rsidRDefault="004050F2" w:rsidP="004050F2">
            <w:pPr>
              <w:spacing w:before="20" w:after="20" w:line="240" w:lineRule="auto"/>
              <w:ind w:hanging="108"/>
              <w:jc w:val="center"/>
            </w:pPr>
            <w:r w:rsidRPr="00BF0050">
              <w:t>отчет</w:t>
            </w:r>
          </w:p>
        </w:tc>
        <w:tc>
          <w:tcPr>
            <w:tcW w:w="135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2016 г.</w:t>
            </w:r>
          </w:p>
        </w:tc>
        <w:tc>
          <w:tcPr>
            <w:tcW w:w="135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2017 г.</w:t>
            </w:r>
          </w:p>
        </w:tc>
        <w:tc>
          <w:tcPr>
            <w:tcW w:w="135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2018 г.</w:t>
            </w:r>
          </w:p>
        </w:tc>
        <w:tc>
          <w:tcPr>
            <w:tcW w:w="1352" w:type="dxa"/>
            <w:tcBorders>
              <w:bottom w:val="single" w:sz="4" w:space="0" w:color="auto"/>
            </w:tcBorders>
            <w:shd w:val="clear" w:color="auto" w:fill="auto"/>
            <w:vAlign w:val="center"/>
          </w:tcPr>
          <w:p w:rsidR="004050F2" w:rsidRPr="00BF0050" w:rsidRDefault="004050F2" w:rsidP="004050F2">
            <w:pPr>
              <w:spacing w:before="20" w:after="20" w:line="240" w:lineRule="auto"/>
              <w:ind w:firstLine="0"/>
              <w:jc w:val="center"/>
            </w:pPr>
            <w:r w:rsidRPr="00BF0050">
              <w:t>2019 г.</w:t>
            </w:r>
          </w:p>
        </w:tc>
      </w:tr>
      <w:tr w:rsidR="004050F2" w:rsidRPr="00BF0050" w:rsidTr="005458C8">
        <w:trPr>
          <w:jc w:val="center"/>
        </w:trPr>
        <w:tc>
          <w:tcPr>
            <w:tcW w:w="3329" w:type="dxa"/>
            <w:tcBorders>
              <w:bottom w:val="nil"/>
              <w:right w:val="single" w:sz="4" w:space="0" w:color="auto"/>
            </w:tcBorders>
            <w:shd w:val="clear" w:color="auto" w:fill="auto"/>
            <w:vAlign w:val="center"/>
          </w:tcPr>
          <w:p w:rsidR="004050F2" w:rsidRPr="00BF0050" w:rsidRDefault="004050F2" w:rsidP="0019491B">
            <w:pPr>
              <w:spacing w:after="40" w:line="240" w:lineRule="auto"/>
              <w:ind w:firstLine="48"/>
              <w:jc w:val="both"/>
            </w:pPr>
            <w:r w:rsidRPr="00BF0050">
              <w:t>Импорт – всего</w:t>
            </w:r>
          </w:p>
        </w:tc>
        <w:tc>
          <w:tcPr>
            <w:tcW w:w="1353" w:type="dxa"/>
            <w:tcBorders>
              <w:left w:val="single" w:sz="4" w:space="0" w:color="auto"/>
              <w:bottom w:val="nil"/>
              <w:right w:val="nil"/>
            </w:tcBorders>
            <w:shd w:val="clear" w:color="auto" w:fill="auto"/>
            <w:vAlign w:val="center"/>
          </w:tcPr>
          <w:p w:rsidR="004050F2" w:rsidRPr="00BF0050" w:rsidRDefault="004050F2" w:rsidP="0019491B">
            <w:pPr>
              <w:spacing w:after="40" w:line="240" w:lineRule="auto"/>
              <w:ind w:firstLine="0"/>
              <w:jc w:val="center"/>
            </w:pPr>
            <w:r w:rsidRPr="00BF0050">
              <w:t>100,0</w:t>
            </w:r>
          </w:p>
        </w:tc>
        <w:tc>
          <w:tcPr>
            <w:tcW w:w="1352" w:type="dxa"/>
            <w:tcBorders>
              <w:left w:val="nil"/>
              <w:bottom w:val="nil"/>
              <w:right w:val="nil"/>
            </w:tcBorders>
            <w:shd w:val="clear" w:color="auto" w:fill="auto"/>
            <w:vAlign w:val="center"/>
          </w:tcPr>
          <w:p w:rsidR="004050F2" w:rsidRPr="00BF0050" w:rsidRDefault="004050F2" w:rsidP="0019491B">
            <w:pPr>
              <w:spacing w:after="40" w:line="240" w:lineRule="auto"/>
              <w:ind w:firstLine="0"/>
              <w:jc w:val="center"/>
            </w:pPr>
            <w:r w:rsidRPr="00BF0050">
              <w:t>100,0</w:t>
            </w:r>
          </w:p>
        </w:tc>
        <w:tc>
          <w:tcPr>
            <w:tcW w:w="1352" w:type="dxa"/>
            <w:tcBorders>
              <w:left w:val="nil"/>
              <w:bottom w:val="nil"/>
              <w:right w:val="nil"/>
            </w:tcBorders>
            <w:shd w:val="clear" w:color="auto" w:fill="auto"/>
            <w:vAlign w:val="center"/>
          </w:tcPr>
          <w:p w:rsidR="004050F2" w:rsidRPr="00BF0050" w:rsidRDefault="004050F2" w:rsidP="0019491B">
            <w:pPr>
              <w:spacing w:after="40" w:line="240" w:lineRule="auto"/>
              <w:ind w:firstLine="0"/>
              <w:jc w:val="center"/>
            </w:pPr>
            <w:r w:rsidRPr="00BF0050">
              <w:t>100,0</w:t>
            </w:r>
          </w:p>
        </w:tc>
        <w:tc>
          <w:tcPr>
            <w:tcW w:w="1352" w:type="dxa"/>
            <w:tcBorders>
              <w:left w:val="nil"/>
              <w:bottom w:val="nil"/>
              <w:right w:val="nil"/>
            </w:tcBorders>
            <w:shd w:val="clear" w:color="auto" w:fill="auto"/>
            <w:vAlign w:val="center"/>
          </w:tcPr>
          <w:p w:rsidR="004050F2" w:rsidRPr="00BF0050" w:rsidRDefault="004050F2" w:rsidP="0019491B">
            <w:pPr>
              <w:spacing w:after="40" w:line="240" w:lineRule="auto"/>
              <w:ind w:firstLine="0"/>
              <w:jc w:val="center"/>
            </w:pPr>
            <w:r w:rsidRPr="00BF0050">
              <w:t>100,0</w:t>
            </w:r>
          </w:p>
        </w:tc>
        <w:tc>
          <w:tcPr>
            <w:tcW w:w="1352" w:type="dxa"/>
            <w:tcBorders>
              <w:left w:val="nil"/>
              <w:bottom w:val="nil"/>
            </w:tcBorders>
            <w:shd w:val="clear" w:color="auto" w:fill="auto"/>
            <w:vAlign w:val="center"/>
          </w:tcPr>
          <w:p w:rsidR="004050F2" w:rsidRPr="00BF0050" w:rsidRDefault="004050F2" w:rsidP="0019491B">
            <w:pPr>
              <w:spacing w:after="40" w:line="240" w:lineRule="auto"/>
              <w:ind w:firstLine="0"/>
              <w:jc w:val="center"/>
            </w:pPr>
            <w:r w:rsidRPr="00BF0050">
              <w:t>100,0</w:t>
            </w:r>
          </w:p>
        </w:tc>
      </w:tr>
      <w:tr w:rsidR="00591FFE" w:rsidRPr="00BF0050" w:rsidTr="005458C8">
        <w:trPr>
          <w:jc w:val="center"/>
        </w:trPr>
        <w:tc>
          <w:tcPr>
            <w:tcW w:w="3329" w:type="dxa"/>
            <w:tcBorders>
              <w:top w:val="nil"/>
              <w:bottom w:val="nil"/>
              <w:right w:val="single" w:sz="4" w:space="0" w:color="auto"/>
            </w:tcBorders>
            <w:shd w:val="clear" w:color="auto" w:fill="auto"/>
          </w:tcPr>
          <w:p w:rsidR="00591FFE" w:rsidRPr="00BF0050" w:rsidRDefault="00591FFE" w:rsidP="0019491B">
            <w:pPr>
              <w:spacing w:before="40" w:after="40" w:line="240" w:lineRule="auto"/>
              <w:ind w:firstLine="372"/>
              <w:jc w:val="both"/>
            </w:pPr>
            <w:r w:rsidRPr="00BF0050">
              <w:t xml:space="preserve">инвестиционный </w:t>
            </w:r>
          </w:p>
        </w:tc>
        <w:tc>
          <w:tcPr>
            <w:tcW w:w="1353" w:type="dxa"/>
            <w:tcBorders>
              <w:top w:val="nil"/>
              <w:left w:val="single" w:sz="4" w:space="0" w:color="auto"/>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23,5</w:t>
            </w:r>
          </w:p>
        </w:tc>
        <w:tc>
          <w:tcPr>
            <w:tcW w:w="1352" w:type="dxa"/>
            <w:tcBorders>
              <w:top w:val="nil"/>
              <w:left w:val="nil"/>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22,7</w:t>
            </w:r>
          </w:p>
        </w:tc>
        <w:tc>
          <w:tcPr>
            <w:tcW w:w="1352" w:type="dxa"/>
            <w:tcBorders>
              <w:top w:val="nil"/>
              <w:left w:val="nil"/>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23,4</w:t>
            </w:r>
          </w:p>
        </w:tc>
        <w:tc>
          <w:tcPr>
            <w:tcW w:w="1352" w:type="dxa"/>
            <w:tcBorders>
              <w:top w:val="nil"/>
              <w:left w:val="nil"/>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24,3</w:t>
            </w:r>
          </w:p>
        </w:tc>
        <w:tc>
          <w:tcPr>
            <w:tcW w:w="1352" w:type="dxa"/>
            <w:tcBorders>
              <w:top w:val="nil"/>
              <w:left w:val="nil"/>
              <w:bottom w:val="nil"/>
            </w:tcBorders>
            <w:shd w:val="clear" w:color="auto" w:fill="auto"/>
            <w:vAlign w:val="bottom"/>
          </w:tcPr>
          <w:p w:rsidR="00591FFE" w:rsidRPr="00BF0050" w:rsidRDefault="00591FFE" w:rsidP="0019491B">
            <w:pPr>
              <w:spacing w:before="40" w:after="40" w:line="240" w:lineRule="auto"/>
              <w:ind w:firstLine="0"/>
              <w:jc w:val="center"/>
            </w:pPr>
            <w:r w:rsidRPr="00BF0050">
              <w:t>24,6</w:t>
            </w:r>
          </w:p>
        </w:tc>
      </w:tr>
      <w:tr w:rsidR="00591FFE" w:rsidRPr="00BF0050" w:rsidTr="005458C8">
        <w:trPr>
          <w:jc w:val="center"/>
        </w:trPr>
        <w:tc>
          <w:tcPr>
            <w:tcW w:w="3329" w:type="dxa"/>
            <w:tcBorders>
              <w:top w:val="nil"/>
              <w:bottom w:val="nil"/>
              <w:right w:val="single" w:sz="4" w:space="0" w:color="auto"/>
            </w:tcBorders>
            <w:shd w:val="clear" w:color="auto" w:fill="auto"/>
          </w:tcPr>
          <w:p w:rsidR="00591FFE" w:rsidRPr="00BF0050" w:rsidRDefault="00591FFE" w:rsidP="0019491B">
            <w:pPr>
              <w:spacing w:before="40" w:after="40" w:line="240" w:lineRule="auto"/>
              <w:ind w:firstLine="372"/>
              <w:jc w:val="both"/>
            </w:pPr>
            <w:r w:rsidRPr="00BF0050">
              <w:t xml:space="preserve">потребительский </w:t>
            </w:r>
          </w:p>
        </w:tc>
        <w:tc>
          <w:tcPr>
            <w:tcW w:w="1353" w:type="dxa"/>
            <w:tcBorders>
              <w:top w:val="nil"/>
              <w:left w:val="single" w:sz="4" w:space="0" w:color="auto"/>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43,7</w:t>
            </w:r>
          </w:p>
        </w:tc>
        <w:tc>
          <w:tcPr>
            <w:tcW w:w="1352" w:type="dxa"/>
            <w:tcBorders>
              <w:top w:val="nil"/>
              <w:left w:val="nil"/>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45,0</w:t>
            </w:r>
          </w:p>
        </w:tc>
        <w:tc>
          <w:tcPr>
            <w:tcW w:w="1352" w:type="dxa"/>
            <w:tcBorders>
              <w:top w:val="nil"/>
              <w:left w:val="nil"/>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44,3</w:t>
            </w:r>
          </w:p>
        </w:tc>
        <w:tc>
          <w:tcPr>
            <w:tcW w:w="1352" w:type="dxa"/>
            <w:tcBorders>
              <w:top w:val="nil"/>
              <w:left w:val="nil"/>
              <w:bottom w:val="nil"/>
              <w:right w:val="nil"/>
            </w:tcBorders>
            <w:shd w:val="clear" w:color="auto" w:fill="auto"/>
            <w:vAlign w:val="bottom"/>
          </w:tcPr>
          <w:p w:rsidR="00591FFE" w:rsidRPr="00BF0050" w:rsidRDefault="00591FFE" w:rsidP="0019491B">
            <w:pPr>
              <w:spacing w:before="40" w:after="40" w:line="240" w:lineRule="auto"/>
              <w:ind w:firstLine="0"/>
              <w:jc w:val="center"/>
            </w:pPr>
            <w:r w:rsidRPr="00BF0050">
              <w:t>43,8</w:t>
            </w:r>
          </w:p>
        </w:tc>
        <w:tc>
          <w:tcPr>
            <w:tcW w:w="1352" w:type="dxa"/>
            <w:tcBorders>
              <w:top w:val="nil"/>
              <w:left w:val="nil"/>
              <w:bottom w:val="nil"/>
            </w:tcBorders>
            <w:shd w:val="clear" w:color="auto" w:fill="auto"/>
            <w:vAlign w:val="bottom"/>
          </w:tcPr>
          <w:p w:rsidR="00591FFE" w:rsidRPr="00BF0050" w:rsidRDefault="00591FFE" w:rsidP="0019491B">
            <w:pPr>
              <w:spacing w:before="40" w:after="40" w:line="240" w:lineRule="auto"/>
              <w:ind w:firstLine="0"/>
              <w:jc w:val="center"/>
            </w:pPr>
            <w:r w:rsidRPr="00BF0050">
              <w:t>43,5</w:t>
            </w:r>
          </w:p>
        </w:tc>
      </w:tr>
      <w:tr w:rsidR="00591FFE" w:rsidRPr="00BF0050" w:rsidTr="00B460B2">
        <w:trPr>
          <w:jc w:val="center"/>
        </w:trPr>
        <w:tc>
          <w:tcPr>
            <w:tcW w:w="3329" w:type="dxa"/>
            <w:tcBorders>
              <w:top w:val="nil"/>
              <w:right w:val="single" w:sz="4" w:space="0" w:color="auto"/>
            </w:tcBorders>
            <w:shd w:val="clear" w:color="auto" w:fill="auto"/>
            <w:vAlign w:val="center"/>
          </w:tcPr>
          <w:p w:rsidR="00591FFE" w:rsidRPr="00BF0050" w:rsidRDefault="00591FFE" w:rsidP="0019491B">
            <w:pPr>
              <w:spacing w:before="40" w:line="240" w:lineRule="auto"/>
              <w:ind w:firstLine="372"/>
              <w:jc w:val="both"/>
            </w:pPr>
            <w:r w:rsidRPr="00BF0050">
              <w:t xml:space="preserve">промежуточный </w:t>
            </w:r>
          </w:p>
        </w:tc>
        <w:tc>
          <w:tcPr>
            <w:tcW w:w="1353" w:type="dxa"/>
            <w:tcBorders>
              <w:top w:val="nil"/>
              <w:left w:val="single" w:sz="4" w:space="0" w:color="auto"/>
              <w:right w:val="nil"/>
            </w:tcBorders>
            <w:shd w:val="clear" w:color="auto" w:fill="auto"/>
            <w:vAlign w:val="bottom"/>
          </w:tcPr>
          <w:p w:rsidR="00591FFE" w:rsidRPr="00BF0050" w:rsidRDefault="00591FFE" w:rsidP="0019491B">
            <w:pPr>
              <w:spacing w:before="40" w:line="240" w:lineRule="auto"/>
              <w:ind w:firstLine="0"/>
              <w:jc w:val="center"/>
            </w:pPr>
            <w:r w:rsidRPr="00BF0050">
              <w:t>32,7</w:t>
            </w:r>
          </w:p>
        </w:tc>
        <w:tc>
          <w:tcPr>
            <w:tcW w:w="1352" w:type="dxa"/>
            <w:tcBorders>
              <w:top w:val="nil"/>
              <w:left w:val="nil"/>
              <w:right w:val="nil"/>
            </w:tcBorders>
            <w:shd w:val="clear" w:color="auto" w:fill="auto"/>
            <w:vAlign w:val="bottom"/>
          </w:tcPr>
          <w:p w:rsidR="00591FFE" w:rsidRPr="00BF0050" w:rsidRDefault="00591FFE" w:rsidP="0019491B">
            <w:pPr>
              <w:spacing w:before="40" w:line="240" w:lineRule="auto"/>
              <w:ind w:firstLine="0"/>
              <w:jc w:val="center"/>
            </w:pPr>
            <w:r w:rsidRPr="00BF0050">
              <w:t>32,3</w:t>
            </w:r>
          </w:p>
        </w:tc>
        <w:tc>
          <w:tcPr>
            <w:tcW w:w="1352" w:type="dxa"/>
            <w:tcBorders>
              <w:top w:val="nil"/>
              <w:left w:val="nil"/>
              <w:right w:val="nil"/>
            </w:tcBorders>
            <w:shd w:val="clear" w:color="auto" w:fill="auto"/>
            <w:vAlign w:val="bottom"/>
          </w:tcPr>
          <w:p w:rsidR="00591FFE" w:rsidRPr="00BF0050" w:rsidRDefault="00591FFE" w:rsidP="0019491B">
            <w:pPr>
              <w:spacing w:before="40" w:line="240" w:lineRule="auto"/>
              <w:ind w:firstLine="0"/>
              <w:jc w:val="center"/>
            </w:pPr>
            <w:r w:rsidRPr="00BF0050">
              <w:t>32,3</w:t>
            </w:r>
          </w:p>
        </w:tc>
        <w:tc>
          <w:tcPr>
            <w:tcW w:w="1352" w:type="dxa"/>
            <w:tcBorders>
              <w:top w:val="nil"/>
              <w:left w:val="nil"/>
              <w:right w:val="nil"/>
            </w:tcBorders>
            <w:shd w:val="clear" w:color="auto" w:fill="auto"/>
            <w:vAlign w:val="bottom"/>
          </w:tcPr>
          <w:p w:rsidR="00591FFE" w:rsidRPr="00BF0050" w:rsidRDefault="00591FFE" w:rsidP="0019491B">
            <w:pPr>
              <w:spacing w:before="40" w:line="240" w:lineRule="auto"/>
              <w:ind w:firstLine="0"/>
              <w:jc w:val="center"/>
            </w:pPr>
            <w:r w:rsidRPr="00BF0050">
              <w:t>31,8</w:t>
            </w:r>
          </w:p>
        </w:tc>
        <w:tc>
          <w:tcPr>
            <w:tcW w:w="1352" w:type="dxa"/>
            <w:tcBorders>
              <w:top w:val="nil"/>
              <w:left w:val="nil"/>
            </w:tcBorders>
            <w:shd w:val="clear" w:color="auto" w:fill="auto"/>
            <w:vAlign w:val="bottom"/>
          </w:tcPr>
          <w:p w:rsidR="00591FFE" w:rsidRPr="00BF0050" w:rsidRDefault="00591FFE" w:rsidP="0019491B">
            <w:pPr>
              <w:spacing w:before="40" w:line="240" w:lineRule="auto"/>
              <w:ind w:firstLine="0"/>
              <w:jc w:val="center"/>
            </w:pPr>
            <w:r w:rsidRPr="00BF0050">
              <w:t>31,9</w:t>
            </w:r>
          </w:p>
        </w:tc>
      </w:tr>
    </w:tbl>
    <w:p w:rsidR="00591FFE" w:rsidRPr="00BF0050" w:rsidRDefault="004050F2" w:rsidP="00337876">
      <w:pPr>
        <w:shd w:val="clear" w:color="auto" w:fill="FFFFFF"/>
        <w:spacing w:after="0" w:line="480" w:lineRule="auto"/>
        <w:ind w:firstLine="720"/>
        <w:jc w:val="both"/>
        <w:rPr>
          <w:sz w:val="26"/>
          <w:szCs w:val="26"/>
        </w:rPr>
      </w:pPr>
      <w:r w:rsidRPr="00BF0050">
        <w:rPr>
          <w:sz w:val="26"/>
          <w:szCs w:val="26"/>
        </w:rPr>
        <w:t xml:space="preserve"> </w:t>
      </w:r>
    </w:p>
    <w:p w:rsidR="00C1551D" w:rsidRPr="00BF0050" w:rsidRDefault="00337876" w:rsidP="00337876">
      <w:pPr>
        <w:spacing w:before="0" w:after="0"/>
        <w:jc w:val="both"/>
        <w:rPr>
          <w:sz w:val="26"/>
          <w:szCs w:val="26"/>
        </w:rPr>
      </w:pPr>
      <w:r w:rsidRPr="00BF0050">
        <w:rPr>
          <w:noProof/>
        </w:rPr>
        <w:drawing>
          <wp:anchor distT="0" distB="0" distL="114300" distR="114300" simplePos="0" relativeHeight="251693056" behindDoc="0" locked="0" layoutInCell="1" allowOverlap="1" wp14:anchorId="7FC5F59D" wp14:editId="686C968C">
            <wp:simplePos x="0" y="0"/>
            <wp:positionH relativeFrom="column">
              <wp:posOffset>2895600</wp:posOffset>
            </wp:positionH>
            <wp:positionV relativeFrom="paragraph">
              <wp:posOffset>75565</wp:posOffset>
            </wp:positionV>
            <wp:extent cx="3608705" cy="248412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BF0050">
        <w:rPr>
          <w:sz w:val="26"/>
          <w:szCs w:val="26"/>
        </w:rPr>
        <w:t xml:space="preserve"> </w:t>
      </w:r>
      <w:r w:rsidR="00C1551D" w:rsidRPr="00BF0050">
        <w:rPr>
          <w:sz w:val="26"/>
          <w:szCs w:val="26"/>
        </w:rPr>
        <w:t>Снижение профицита торгового баланса в 2016 году до 109 млрд. долл. США (149 млрд. долл. США в 2015 г.) обусловлено динамикой товарного экспорта и  импорта. После 2016 года  более заметный рост стоимостных объемов импорта при возобновлении роста экспорта обусловит снижение положительного торгового сальдо до 104 млрд. долл. США в 2019 году.</w:t>
      </w:r>
      <w:r w:rsidR="00C1551D" w:rsidRPr="00BF0050">
        <w:rPr>
          <w:sz w:val="26"/>
          <w:szCs w:val="26"/>
        </w:rPr>
        <w:br w:type="page"/>
      </w:r>
    </w:p>
    <w:p w:rsidR="00594354" w:rsidRPr="00BF0050" w:rsidRDefault="00594354" w:rsidP="000D5110">
      <w:pPr>
        <w:pStyle w:val="1"/>
        <w:numPr>
          <w:ilvl w:val="0"/>
          <w:numId w:val="3"/>
        </w:numPr>
        <w:spacing w:before="240" w:after="240" w:line="360" w:lineRule="exact"/>
        <w:ind w:left="284" w:firstLine="0"/>
        <w:jc w:val="center"/>
        <w:rPr>
          <w:rFonts w:ascii="Times New Roman" w:hAnsi="Times New Roman"/>
          <w:color w:val="auto"/>
          <w:sz w:val="26"/>
          <w:szCs w:val="26"/>
        </w:rPr>
      </w:pPr>
      <w:bookmarkStart w:id="28" w:name="_Toc447721489"/>
      <w:bookmarkStart w:id="29" w:name="_Toc447812942"/>
      <w:bookmarkEnd w:id="28"/>
      <w:r w:rsidRPr="00BF0050">
        <w:rPr>
          <w:rFonts w:ascii="Times New Roman" w:hAnsi="Times New Roman"/>
          <w:color w:val="auto"/>
          <w:sz w:val="26"/>
          <w:szCs w:val="26"/>
        </w:rPr>
        <w:lastRenderedPageBreak/>
        <w:t>Инвестиции в основной капитал</w:t>
      </w:r>
      <w:bookmarkEnd w:id="29"/>
    </w:p>
    <w:p w:rsidR="009A6D30" w:rsidRPr="00BF0050" w:rsidRDefault="00C1551D" w:rsidP="005458C8">
      <w:pPr>
        <w:spacing w:before="0" w:after="0"/>
        <w:ind w:firstLine="720"/>
        <w:jc w:val="both"/>
        <w:rPr>
          <w:rFonts w:eastAsia="Calibri"/>
          <w:sz w:val="26"/>
          <w:szCs w:val="26"/>
          <w:lang w:eastAsia="en-US"/>
        </w:rPr>
      </w:pPr>
      <w:r w:rsidRPr="00BF0050">
        <w:rPr>
          <w:rFonts w:eastAsia="Calibri"/>
          <w:noProof/>
          <w:color w:val="000000"/>
          <w:sz w:val="26"/>
          <w:szCs w:val="26"/>
        </w:rPr>
        <w:drawing>
          <wp:anchor distT="0" distB="0" distL="114300" distR="114300" simplePos="0" relativeHeight="251687936" behindDoc="0" locked="0" layoutInCell="1" allowOverlap="1" wp14:anchorId="28D86522" wp14:editId="10AC8EE3">
            <wp:simplePos x="0" y="0"/>
            <wp:positionH relativeFrom="margin">
              <wp:posOffset>3077210</wp:posOffset>
            </wp:positionH>
            <wp:positionV relativeFrom="margin">
              <wp:posOffset>4688205</wp:posOffset>
            </wp:positionV>
            <wp:extent cx="3389630" cy="268859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9630" cy="2688590"/>
                    </a:xfrm>
                    <a:prstGeom prst="rect">
                      <a:avLst/>
                    </a:prstGeom>
                    <a:noFill/>
                  </pic:spPr>
                </pic:pic>
              </a:graphicData>
            </a:graphic>
          </wp:anchor>
        </w:drawing>
      </w:r>
      <w:r w:rsidR="009A6D30" w:rsidRPr="00BF0050">
        <w:rPr>
          <w:rFonts w:eastAsia="Calibri"/>
          <w:sz w:val="26"/>
          <w:szCs w:val="26"/>
          <w:lang w:eastAsia="en-US"/>
        </w:rPr>
        <w:t xml:space="preserve">Со второй половины 2012 г. динамика </w:t>
      </w:r>
      <w:r w:rsidR="009A6D30" w:rsidRPr="00BF0050">
        <w:rPr>
          <w:rFonts w:eastAsia="Calibri"/>
          <w:b/>
          <w:sz w:val="26"/>
          <w:szCs w:val="26"/>
          <w:lang w:eastAsia="en-US"/>
        </w:rPr>
        <w:t>инвестиций</w:t>
      </w:r>
      <w:r w:rsidR="009A6D30" w:rsidRPr="00BF0050">
        <w:rPr>
          <w:rFonts w:eastAsia="Calibri"/>
          <w:sz w:val="26"/>
          <w:szCs w:val="26"/>
          <w:lang w:eastAsia="en-US"/>
        </w:rPr>
        <w:t xml:space="preserve"> в основной капитал стала резко замедляться, в 2014 году перешла в область отрицательных значений, а по итогам 2015 года глубина падения инвестиций достигла 8,4 процента.</w:t>
      </w:r>
    </w:p>
    <w:p w:rsidR="009A6D30" w:rsidRPr="00BF0050" w:rsidRDefault="009A6D30" w:rsidP="005458C8">
      <w:pPr>
        <w:spacing w:before="0" w:after="0"/>
        <w:ind w:firstLine="720"/>
        <w:jc w:val="both"/>
        <w:rPr>
          <w:rFonts w:eastAsia="Calibri"/>
          <w:color w:val="000000"/>
          <w:sz w:val="26"/>
          <w:szCs w:val="26"/>
        </w:rPr>
      </w:pPr>
      <w:r w:rsidRPr="00BF0050">
        <w:rPr>
          <w:rFonts w:eastAsia="Calibri"/>
          <w:color w:val="000000"/>
          <w:sz w:val="26"/>
          <w:szCs w:val="26"/>
        </w:rPr>
        <w:t xml:space="preserve">Неблагоприятные глобальные тенденции на сырьевых рынках заставляют крупнейшие российские компании сдвигать инвестиционные планы. В условиях продолжающегося снижения цен на нефть, </w:t>
      </w:r>
      <w:r w:rsidRPr="00BF0050">
        <w:rPr>
          <w:sz w:val="26"/>
          <w:szCs w:val="26"/>
        </w:rPr>
        <w:t>сохранения достаточно жестких условий заимствования капитала и общей неуверенности инвесторов</w:t>
      </w:r>
      <w:r w:rsidRPr="00BF0050">
        <w:rPr>
          <w:rFonts w:eastAsia="Calibri"/>
          <w:color w:val="000000"/>
          <w:sz w:val="26"/>
          <w:szCs w:val="26"/>
        </w:rPr>
        <w:t xml:space="preserve"> динамика инвестиций в 2016 году останется в </w:t>
      </w:r>
      <w:r w:rsidR="00F66E77" w:rsidRPr="00BF0050">
        <w:rPr>
          <w:rFonts w:eastAsia="Calibri"/>
          <w:color w:val="000000"/>
          <w:sz w:val="26"/>
          <w:szCs w:val="26"/>
        </w:rPr>
        <w:t> </w:t>
      </w:r>
      <w:r w:rsidRPr="00BF0050">
        <w:rPr>
          <w:rFonts w:eastAsia="Calibri"/>
          <w:color w:val="000000"/>
          <w:sz w:val="26"/>
          <w:szCs w:val="26"/>
        </w:rPr>
        <w:t xml:space="preserve">отрицательной области. В базовом варианте снижение объема инвестиций </w:t>
      </w:r>
      <w:r w:rsidR="004766E5" w:rsidRPr="00BF0050">
        <w:rPr>
          <w:rFonts w:eastAsia="Calibri"/>
          <w:color w:val="000000"/>
          <w:sz w:val="26"/>
          <w:szCs w:val="26"/>
        </w:rPr>
        <w:t>в </w:t>
      </w:r>
      <w:r w:rsidR="00F66E77" w:rsidRPr="00BF0050">
        <w:rPr>
          <w:rFonts w:eastAsia="Calibri"/>
          <w:color w:val="000000"/>
          <w:sz w:val="26"/>
          <w:szCs w:val="26"/>
        </w:rPr>
        <w:t> </w:t>
      </w:r>
      <w:r w:rsidRPr="00BF0050">
        <w:rPr>
          <w:rFonts w:eastAsia="Calibri"/>
          <w:color w:val="000000"/>
          <w:sz w:val="26"/>
          <w:szCs w:val="26"/>
        </w:rPr>
        <w:t>2016 году замедлится и составит 3,1 процента. Уже во втором полугодии ожидается разворот инвестиционного цикла. Финансовым ресурсом восстановления инвестиционной активности послужит рост прибыли организаций в условиях стабилизации оттока капитала.</w:t>
      </w:r>
    </w:p>
    <w:p w:rsidR="009A6D30" w:rsidRPr="00BF0050" w:rsidRDefault="009A6D30" w:rsidP="005458C8">
      <w:pPr>
        <w:spacing w:before="0" w:after="0"/>
        <w:jc w:val="both"/>
        <w:rPr>
          <w:rFonts w:eastAsia="Calibri"/>
          <w:sz w:val="26"/>
          <w:szCs w:val="26"/>
          <w:lang w:eastAsia="en-US"/>
        </w:rPr>
      </w:pPr>
      <w:r w:rsidRPr="00BF0050">
        <w:rPr>
          <w:rFonts w:eastAsia="Calibri"/>
          <w:sz w:val="26"/>
          <w:szCs w:val="26"/>
          <w:lang w:eastAsia="en-US"/>
        </w:rPr>
        <w:t>В условиях предполагаемого сокращения бюджетного финансирования капитальных вложений и достаточно дорогих кредитных ресурсов ожидаются структурные изменения источников финансирования инвестиций. В прогнозный период доля инвестиций за счет собственных сре</w:t>
      </w:r>
      <w:proofErr w:type="gramStart"/>
      <w:r w:rsidRPr="00BF0050">
        <w:rPr>
          <w:rFonts w:eastAsia="Calibri"/>
          <w:sz w:val="26"/>
          <w:szCs w:val="26"/>
          <w:lang w:eastAsia="en-US"/>
        </w:rPr>
        <w:t>дств пр</w:t>
      </w:r>
      <w:proofErr w:type="gramEnd"/>
      <w:r w:rsidRPr="00BF0050">
        <w:rPr>
          <w:rFonts w:eastAsia="Calibri"/>
          <w:sz w:val="26"/>
          <w:szCs w:val="26"/>
          <w:lang w:eastAsia="en-US"/>
        </w:rPr>
        <w:t>евысит 50 процентов. В результате перераспределения источников финансирования в сторону собственных средств возрастает чувствительность инвестиционного процесса к прибыльности реального сектора и амортизационной политике.</w:t>
      </w:r>
    </w:p>
    <w:p w:rsidR="009A6D30" w:rsidRPr="00BF0050" w:rsidRDefault="009A6D30" w:rsidP="005458C8">
      <w:pPr>
        <w:spacing w:before="0" w:after="0"/>
        <w:jc w:val="both"/>
        <w:rPr>
          <w:rFonts w:eastAsia="Calibri"/>
          <w:sz w:val="26"/>
          <w:szCs w:val="26"/>
          <w:lang w:eastAsia="en-US"/>
        </w:rPr>
      </w:pPr>
      <w:r w:rsidRPr="00BF0050">
        <w:rPr>
          <w:rFonts w:eastAsia="Calibri"/>
          <w:sz w:val="26"/>
          <w:szCs w:val="26"/>
          <w:lang w:eastAsia="en-US"/>
        </w:rPr>
        <w:t xml:space="preserve">Динамика инвестиций в основной капитал перейдет в положительную область с 2017 года, и в среднем прирост инвестиций в 2017 – 2019 гг. составит </w:t>
      </w:r>
      <w:r w:rsidR="000A672C" w:rsidRPr="00BF0050">
        <w:rPr>
          <w:rFonts w:eastAsia="Calibri"/>
          <w:sz w:val="26"/>
          <w:szCs w:val="26"/>
          <w:lang w:eastAsia="en-US"/>
        </w:rPr>
        <w:t>2,7</w:t>
      </w:r>
      <w:r w:rsidRPr="00BF0050">
        <w:rPr>
          <w:rFonts w:eastAsia="Calibri"/>
          <w:sz w:val="26"/>
          <w:szCs w:val="26"/>
          <w:lang w:eastAsia="en-US"/>
        </w:rPr>
        <w:t> % в год. При таких темпах роста валовое накопление основного капитала достигнет 22,</w:t>
      </w:r>
      <w:r w:rsidR="008143E7" w:rsidRPr="00BF0050">
        <w:rPr>
          <w:rFonts w:eastAsia="Calibri"/>
          <w:sz w:val="26"/>
          <w:szCs w:val="26"/>
          <w:lang w:eastAsia="en-US"/>
        </w:rPr>
        <w:t>0 </w:t>
      </w:r>
      <w:r w:rsidRPr="00BF0050">
        <w:rPr>
          <w:rFonts w:eastAsia="Calibri"/>
          <w:sz w:val="26"/>
          <w:szCs w:val="26"/>
          <w:lang w:eastAsia="en-US"/>
        </w:rPr>
        <w:t>% ВВП  в 2019 году. Рост инвестиций в основной капитал в 2017 – 2019 гг. будет определяться возможностью наращивания частных инвестиций на фоне сокращения государственных инвестиционных расходов.</w:t>
      </w:r>
    </w:p>
    <w:p w:rsidR="009A6D30" w:rsidRPr="00BF0050" w:rsidRDefault="009A6D30" w:rsidP="005458C8">
      <w:pPr>
        <w:spacing w:before="0"/>
        <w:jc w:val="both"/>
        <w:rPr>
          <w:rFonts w:eastAsia="Calibri"/>
          <w:sz w:val="26"/>
          <w:szCs w:val="26"/>
          <w:lang w:eastAsia="en-US"/>
        </w:rPr>
      </w:pPr>
      <w:r w:rsidRPr="00BF0050">
        <w:rPr>
          <w:rFonts w:eastAsia="Calibri"/>
          <w:sz w:val="26"/>
          <w:szCs w:val="26"/>
          <w:lang w:eastAsia="en-US"/>
        </w:rPr>
        <w:t xml:space="preserve">Одним из факторов восстановления роста будет служить динамика инвестиций в строительный комплекс и операции с недвижимым имуществом. После сокращения доли капитальных вложений в строительный комплекс и операции с недвижимым имуществом в 2016 году до </w:t>
      </w:r>
      <w:r w:rsidR="000A672C" w:rsidRPr="00BF0050">
        <w:rPr>
          <w:rFonts w:eastAsia="Calibri"/>
          <w:sz w:val="26"/>
          <w:szCs w:val="26"/>
          <w:lang w:eastAsia="en-US"/>
        </w:rPr>
        <w:t>21</w:t>
      </w:r>
      <w:r w:rsidRPr="00BF0050">
        <w:rPr>
          <w:rFonts w:eastAsia="Calibri"/>
          <w:sz w:val="26"/>
          <w:szCs w:val="26"/>
          <w:lang w:eastAsia="en-US"/>
        </w:rPr>
        <w:t>,</w:t>
      </w:r>
      <w:r w:rsidR="000A672C" w:rsidRPr="00BF0050">
        <w:rPr>
          <w:rFonts w:eastAsia="Calibri"/>
          <w:sz w:val="26"/>
          <w:szCs w:val="26"/>
          <w:lang w:eastAsia="en-US"/>
        </w:rPr>
        <w:t>1 </w:t>
      </w:r>
      <w:r w:rsidRPr="00BF0050">
        <w:rPr>
          <w:rFonts w:eastAsia="Calibri"/>
          <w:sz w:val="26"/>
          <w:szCs w:val="26"/>
          <w:lang w:eastAsia="en-US"/>
        </w:rPr>
        <w:t xml:space="preserve">%, к 2019 году ожидается ее постепенное восстановление </w:t>
      </w:r>
      <w:r w:rsidR="000A672C" w:rsidRPr="00BF0050">
        <w:rPr>
          <w:rFonts w:eastAsia="Calibri"/>
          <w:sz w:val="26"/>
          <w:szCs w:val="26"/>
          <w:lang w:eastAsia="en-US"/>
        </w:rPr>
        <w:t xml:space="preserve">почти </w:t>
      </w:r>
      <w:r w:rsidRPr="00BF0050">
        <w:rPr>
          <w:rFonts w:eastAsia="Calibri"/>
          <w:sz w:val="26"/>
          <w:szCs w:val="26"/>
          <w:lang w:eastAsia="en-US"/>
        </w:rPr>
        <w:t>до уровня 2015 года (</w:t>
      </w:r>
      <w:r w:rsidR="000A672C" w:rsidRPr="00BF0050">
        <w:rPr>
          <w:rFonts w:eastAsia="Calibri"/>
          <w:sz w:val="26"/>
          <w:szCs w:val="26"/>
          <w:lang w:eastAsia="en-US"/>
        </w:rPr>
        <w:t>21</w:t>
      </w:r>
      <w:r w:rsidRPr="00BF0050">
        <w:rPr>
          <w:rFonts w:eastAsia="Calibri"/>
          <w:sz w:val="26"/>
          <w:szCs w:val="26"/>
          <w:lang w:eastAsia="en-US"/>
        </w:rPr>
        <w:t>,</w:t>
      </w:r>
      <w:r w:rsidR="000A672C" w:rsidRPr="00BF0050">
        <w:rPr>
          <w:rFonts w:eastAsia="Calibri"/>
          <w:sz w:val="26"/>
          <w:szCs w:val="26"/>
          <w:lang w:eastAsia="en-US"/>
        </w:rPr>
        <w:t>7 </w:t>
      </w:r>
      <w:r w:rsidRPr="00BF0050">
        <w:rPr>
          <w:rFonts w:eastAsia="Calibri"/>
          <w:sz w:val="26"/>
          <w:szCs w:val="26"/>
          <w:lang w:eastAsia="en-US"/>
        </w:rPr>
        <w:t xml:space="preserve">процента). </w:t>
      </w:r>
    </w:p>
    <w:p w:rsidR="004A6AA1" w:rsidRPr="00BF0050" w:rsidRDefault="004A6AA1" w:rsidP="009A6D30">
      <w:pPr>
        <w:spacing w:line="240" w:lineRule="auto"/>
        <w:ind w:firstLine="0"/>
        <w:jc w:val="center"/>
        <w:rPr>
          <w:b/>
          <w:bCs/>
          <w:sz w:val="26"/>
          <w:szCs w:val="26"/>
        </w:rPr>
      </w:pPr>
    </w:p>
    <w:p w:rsidR="009A6D30" w:rsidRPr="00BF0050" w:rsidRDefault="009A6D30" w:rsidP="009A6D30">
      <w:pPr>
        <w:spacing w:line="240" w:lineRule="auto"/>
        <w:ind w:firstLine="0"/>
        <w:jc w:val="center"/>
        <w:rPr>
          <w:b/>
          <w:bCs/>
          <w:sz w:val="26"/>
          <w:szCs w:val="26"/>
        </w:rPr>
      </w:pPr>
      <w:r w:rsidRPr="00BF0050">
        <w:rPr>
          <w:b/>
          <w:bCs/>
          <w:sz w:val="26"/>
          <w:szCs w:val="26"/>
        </w:rPr>
        <w:lastRenderedPageBreak/>
        <w:t>Структура инвестиций в основной капитал, %</w:t>
      </w:r>
    </w:p>
    <w:tbl>
      <w:tblPr>
        <w:tblW w:w="10020" w:type="dxa"/>
        <w:jc w:val="center"/>
        <w:tblLayout w:type="fixed"/>
        <w:tblLook w:val="0000" w:firstRow="0" w:lastRow="0" w:firstColumn="0" w:lastColumn="0" w:noHBand="0" w:noVBand="0"/>
      </w:tblPr>
      <w:tblGrid>
        <w:gridCol w:w="6716"/>
        <w:gridCol w:w="1101"/>
        <w:gridCol w:w="1101"/>
        <w:gridCol w:w="1102"/>
      </w:tblGrid>
      <w:tr w:rsidR="009A6D30" w:rsidRPr="00BF0050" w:rsidTr="00862985">
        <w:trPr>
          <w:trHeight w:val="330"/>
          <w:jc w:val="center"/>
        </w:trPr>
        <w:tc>
          <w:tcPr>
            <w:tcW w:w="67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A6D30" w:rsidRPr="00BF0050" w:rsidRDefault="009A6D30" w:rsidP="00862985">
            <w:pPr>
              <w:spacing w:before="0" w:after="0" w:line="240" w:lineRule="auto"/>
              <w:ind w:firstLine="0"/>
              <w:jc w:val="center"/>
              <w:rPr>
                <w:bCs/>
                <w:color w:val="000000"/>
              </w:rPr>
            </w:pPr>
          </w:p>
        </w:tc>
        <w:tc>
          <w:tcPr>
            <w:tcW w:w="1101" w:type="dxa"/>
            <w:tcBorders>
              <w:top w:val="single" w:sz="8" w:space="0" w:color="auto"/>
              <w:left w:val="nil"/>
              <w:bottom w:val="single" w:sz="8" w:space="0" w:color="auto"/>
              <w:right w:val="single" w:sz="8" w:space="0" w:color="auto"/>
            </w:tcBorders>
            <w:shd w:val="clear" w:color="auto" w:fill="auto"/>
            <w:noWrap/>
            <w:vAlign w:val="center"/>
          </w:tcPr>
          <w:p w:rsidR="009A6D30" w:rsidRPr="00BF0050" w:rsidRDefault="009A6D30" w:rsidP="00862985">
            <w:pPr>
              <w:spacing w:before="0" w:after="0" w:line="240" w:lineRule="auto"/>
              <w:ind w:firstLine="0"/>
              <w:jc w:val="center"/>
              <w:rPr>
                <w:bCs/>
                <w:color w:val="000000"/>
              </w:rPr>
            </w:pPr>
            <w:r w:rsidRPr="00BF0050">
              <w:rPr>
                <w:bCs/>
                <w:color w:val="000000"/>
              </w:rPr>
              <w:t>2017 г.</w:t>
            </w:r>
          </w:p>
        </w:tc>
        <w:tc>
          <w:tcPr>
            <w:tcW w:w="1101" w:type="dxa"/>
            <w:tcBorders>
              <w:top w:val="single" w:sz="8" w:space="0" w:color="auto"/>
              <w:left w:val="nil"/>
              <w:bottom w:val="single" w:sz="8" w:space="0" w:color="auto"/>
              <w:right w:val="single" w:sz="8" w:space="0" w:color="auto"/>
            </w:tcBorders>
            <w:shd w:val="clear" w:color="auto" w:fill="auto"/>
            <w:noWrap/>
            <w:vAlign w:val="center"/>
          </w:tcPr>
          <w:p w:rsidR="009A6D30" w:rsidRPr="00BF0050" w:rsidRDefault="009A6D30" w:rsidP="00862985">
            <w:pPr>
              <w:spacing w:before="0" w:after="0" w:line="240" w:lineRule="auto"/>
              <w:ind w:firstLine="0"/>
              <w:jc w:val="center"/>
              <w:rPr>
                <w:bCs/>
                <w:color w:val="000000"/>
              </w:rPr>
            </w:pPr>
            <w:r w:rsidRPr="00BF0050">
              <w:rPr>
                <w:bCs/>
                <w:color w:val="000000"/>
              </w:rPr>
              <w:t>2018 г.</w:t>
            </w:r>
          </w:p>
        </w:tc>
        <w:tc>
          <w:tcPr>
            <w:tcW w:w="1102" w:type="dxa"/>
            <w:tcBorders>
              <w:top w:val="single" w:sz="8" w:space="0" w:color="auto"/>
              <w:left w:val="nil"/>
              <w:bottom w:val="single" w:sz="8" w:space="0" w:color="auto"/>
              <w:right w:val="single" w:sz="8" w:space="0" w:color="auto"/>
            </w:tcBorders>
            <w:vAlign w:val="center"/>
          </w:tcPr>
          <w:p w:rsidR="009A6D30" w:rsidRPr="00BF0050" w:rsidRDefault="009A6D30" w:rsidP="00862985">
            <w:pPr>
              <w:spacing w:before="0" w:after="0" w:line="240" w:lineRule="auto"/>
              <w:ind w:firstLine="0"/>
              <w:jc w:val="center"/>
              <w:rPr>
                <w:bCs/>
                <w:color w:val="000000"/>
              </w:rPr>
            </w:pPr>
            <w:r w:rsidRPr="00BF0050">
              <w:rPr>
                <w:bCs/>
                <w:color w:val="000000"/>
              </w:rPr>
              <w:t>2019 г.</w:t>
            </w:r>
          </w:p>
        </w:tc>
      </w:tr>
      <w:tr w:rsidR="000A672C" w:rsidRPr="00BF0050" w:rsidTr="00862985">
        <w:trPr>
          <w:trHeight w:val="315"/>
          <w:jc w:val="center"/>
        </w:trPr>
        <w:tc>
          <w:tcPr>
            <w:tcW w:w="6716" w:type="dxa"/>
            <w:tcBorders>
              <w:top w:val="nil"/>
              <w:left w:val="single" w:sz="8" w:space="0" w:color="auto"/>
              <w:bottom w:val="nil"/>
              <w:right w:val="single" w:sz="8" w:space="0" w:color="auto"/>
            </w:tcBorders>
            <w:shd w:val="clear" w:color="auto" w:fill="auto"/>
            <w:noWrap/>
            <w:vAlign w:val="center"/>
          </w:tcPr>
          <w:p w:rsidR="000A672C" w:rsidRPr="00BF0050" w:rsidRDefault="000A672C" w:rsidP="005458C8">
            <w:pPr>
              <w:spacing w:after="0" w:line="240" w:lineRule="auto"/>
              <w:ind w:firstLineChars="128" w:firstLine="307"/>
              <w:rPr>
                <w:color w:val="000000"/>
              </w:rPr>
            </w:pPr>
            <w:r w:rsidRPr="00BF0050">
              <w:rPr>
                <w:color w:val="000000"/>
              </w:rPr>
              <w:t>Топливно-энергетический комплекс</w:t>
            </w:r>
          </w:p>
        </w:tc>
        <w:tc>
          <w:tcPr>
            <w:tcW w:w="1101" w:type="dxa"/>
            <w:tcBorders>
              <w:top w:val="nil"/>
              <w:left w:val="nil"/>
              <w:bottom w:val="nil"/>
              <w:right w:val="single" w:sz="8" w:space="0" w:color="auto"/>
            </w:tcBorders>
            <w:shd w:val="clear" w:color="auto" w:fill="auto"/>
            <w:noWrap/>
            <w:vAlign w:val="center"/>
          </w:tcPr>
          <w:p w:rsidR="000A672C" w:rsidRPr="00BF0050" w:rsidRDefault="000A672C" w:rsidP="00B100F7">
            <w:pPr>
              <w:spacing w:after="0" w:line="240" w:lineRule="auto"/>
              <w:ind w:firstLine="0"/>
              <w:jc w:val="center"/>
            </w:pPr>
            <w:r w:rsidRPr="00BF0050">
              <w:t>31,6</w:t>
            </w:r>
          </w:p>
        </w:tc>
        <w:tc>
          <w:tcPr>
            <w:tcW w:w="1101" w:type="dxa"/>
            <w:tcBorders>
              <w:top w:val="nil"/>
              <w:left w:val="nil"/>
              <w:bottom w:val="nil"/>
              <w:right w:val="single" w:sz="8" w:space="0" w:color="auto"/>
            </w:tcBorders>
            <w:shd w:val="clear" w:color="auto" w:fill="auto"/>
            <w:noWrap/>
            <w:vAlign w:val="center"/>
          </w:tcPr>
          <w:p w:rsidR="000A672C" w:rsidRPr="00BF0050" w:rsidRDefault="000A672C" w:rsidP="00B100F7">
            <w:pPr>
              <w:spacing w:after="0" w:line="240" w:lineRule="auto"/>
              <w:ind w:firstLine="0"/>
              <w:jc w:val="center"/>
            </w:pPr>
            <w:r w:rsidRPr="00BF0050">
              <w:t>1,2</w:t>
            </w:r>
          </w:p>
        </w:tc>
        <w:tc>
          <w:tcPr>
            <w:tcW w:w="1102" w:type="dxa"/>
            <w:tcBorders>
              <w:top w:val="nil"/>
              <w:left w:val="nil"/>
              <w:bottom w:val="nil"/>
              <w:right w:val="single" w:sz="8" w:space="0" w:color="auto"/>
            </w:tcBorders>
            <w:vAlign w:val="center"/>
          </w:tcPr>
          <w:p w:rsidR="000A672C" w:rsidRPr="00BF0050" w:rsidRDefault="000A672C" w:rsidP="00B100F7">
            <w:pPr>
              <w:spacing w:after="0" w:line="240" w:lineRule="auto"/>
              <w:ind w:firstLine="0"/>
              <w:jc w:val="center"/>
            </w:pPr>
            <w:r w:rsidRPr="00BF0050">
              <w:t>31,0</w:t>
            </w:r>
          </w:p>
        </w:tc>
      </w:tr>
      <w:tr w:rsidR="000A672C" w:rsidRPr="00BF0050" w:rsidTr="00862985">
        <w:trPr>
          <w:trHeight w:val="315"/>
          <w:jc w:val="center"/>
        </w:trPr>
        <w:tc>
          <w:tcPr>
            <w:tcW w:w="6716" w:type="dxa"/>
            <w:tcBorders>
              <w:top w:val="nil"/>
              <w:left w:val="single" w:sz="8" w:space="0" w:color="auto"/>
              <w:bottom w:val="nil"/>
              <w:right w:val="single" w:sz="8" w:space="0" w:color="auto"/>
            </w:tcBorders>
            <w:shd w:val="clear" w:color="auto" w:fill="auto"/>
            <w:noWrap/>
            <w:vAlign w:val="center"/>
          </w:tcPr>
          <w:p w:rsidR="000A672C" w:rsidRPr="00BF0050" w:rsidRDefault="000A672C" w:rsidP="00862985">
            <w:pPr>
              <w:spacing w:before="0" w:after="0" w:line="240" w:lineRule="auto"/>
              <w:ind w:firstLineChars="128" w:firstLine="307"/>
              <w:rPr>
                <w:color w:val="000000"/>
              </w:rPr>
            </w:pPr>
            <w:r w:rsidRPr="00BF0050">
              <w:rPr>
                <w:color w:val="000000"/>
              </w:rPr>
              <w:t xml:space="preserve">Транспорт (без </w:t>
            </w:r>
            <w:proofErr w:type="gramStart"/>
            <w:r w:rsidRPr="00BF0050">
              <w:rPr>
                <w:color w:val="000000"/>
              </w:rPr>
              <w:t>трубопроводного</w:t>
            </w:r>
            <w:proofErr w:type="gramEnd"/>
            <w:r w:rsidRPr="00BF0050">
              <w:rPr>
                <w:color w:val="000000"/>
              </w:rPr>
              <w:t>)</w:t>
            </w:r>
          </w:p>
        </w:tc>
        <w:tc>
          <w:tcPr>
            <w:tcW w:w="1101" w:type="dxa"/>
            <w:tcBorders>
              <w:top w:val="nil"/>
              <w:left w:val="nil"/>
              <w:right w:val="single" w:sz="8" w:space="0" w:color="auto"/>
            </w:tcBorders>
            <w:shd w:val="clear" w:color="auto" w:fill="auto"/>
            <w:noWrap/>
            <w:vAlign w:val="center"/>
          </w:tcPr>
          <w:p w:rsidR="000A672C" w:rsidRPr="00BF0050" w:rsidRDefault="000A672C" w:rsidP="00B100F7">
            <w:pPr>
              <w:spacing w:before="0" w:after="0" w:line="240" w:lineRule="auto"/>
              <w:ind w:firstLine="0"/>
              <w:jc w:val="center"/>
            </w:pPr>
            <w:r w:rsidRPr="00BF0050">
              <w:t>14,3</w:t>
            </w:r>
          </w:p>
        </w:tc>
        <w:tc>
          <w:tcPr>
            <w:tcW w:w="1101" w:type="dxa"/>
            <w:tcBorders>
              <w:top w:val="nil"/>
              <w:left w:val="nil"/>
              <w:right w:val="single" w:sz="8" w:space="0" w:color="auto"/>
            </w:tcBorders>
            <w:shd w:val="clear" w:color="auto" w:fill="auto"/>
            <w:noWrap/>
            <w:vAlign w:val="center"/>
          </w:tcPr>
          <w:p w:rsidR="000A672C" w:rsidRPr="00BF0050" w:rsidRDefault="000A672C" w:rsidP="00B100F7">
            <w:pPr>
              <w:spacing w:before="0" w:after="0" w:line="240" w:lineRule="auto"/>
              <w:ind w:firstLine="0"/>
              <w:jc w:val="center"/>
            </w:pPr>
            <w:r w:rsidRPr="00BF0050">
              <w:t>14,2</w:t>
            </w:r>
          </w:p>
        </w:tc>
        <w:tc>
          <w:tcPr>
            <w:tcW w:w="1102" w:type="dxa"/>
            <w:tcBorders>
              <w:top w:val="nil"/>
              <w:left w:val="nil"/>
              <w:right w:val="single" w:sz="8" w:space="0" w:color="auto"/>
            </w:tcBorders>
            <w:vAlign w:val="center"/>
          </w:tcPr>
          <w:p w:rsidR="000A672C" w:rsidRPr="00BF0050" w:rsidRDefault="000A672C" w:rsidP="00B100F7">
            <w:pPr>
              <w:spacing w:before="0" w:after="0" w:line="240" w:lineRule="auto"/>
              <w:ind w:firstLine="0"/>
              <w:jc w:val="center"/>
            </w:pPr>
            <w:r w:rsidRPr="00BF0050">
              <w:t>14,3</w:t>
            </w:r>
          </w:p>
        </w:tc>
      </w:tr>
      <w:tr w:rsidR="000A672C" w:rsidRPr="00BF0050" w:rsidTr="00862985">
        <w:trPr>
          <w:trHeight w:val="315"/>
          <w:jc w:val="center"/>
        </w:trPr>
        <w:tc>
          <w:tcPr>
            <w:tcW w:w="6716" w:type="dxa"/>
            <w:tcBorders>
              <w:top w:val="nil"/>
              <w:left w:val="single" w:sz="8" w:space="0" w:color="auto"/>
              <w:bottom w:val="nil"/>
              <w:right w:val="single" w:sz="8" w:space="0" w:color="auto"/>
            </w:tcBorders>
            <w:shd w:val="clear" w:color="auto" w:fill="auto"/>
            <w:noWrap/>
            <w:vAlign w:val="center"/>
          </w:tcPr>
          <w:p w:rsidR="000A672C" w:rsidRPr="00BF0050" w:rsidRDefault="000A672C" w:rsidP="00862985">
            <w:pPr>
              <w:spacing w:before="0" w:after="0" w:line="240" w:lineRule="auto"/>
              <w:ind w:firstLineChars="128" w:firstLine="307"/>
              <w:rPr>
                <w:color w:val="000000"/>
              </w:rPr>
            </w:pPr>
            <w:r w:rsidRPr="00BF0050">
              <w:rPr>
                <w:color w:val="000000"/>
              </w:rPr>
              <w:t>Обрабатывающая промышленность (без нефтепереработки)</w:t>
            </w:r>
          </w:p>
        </w:tc>
        <w:tc>
          <w:tcPr>
            <w:tcW w:w="1101" w:type="dxa"/>
            <w:tcBorders>
              <w:top w:val="nil"/>
              <w:left w:val="nil"/>
              <w:bottom w:val="nil"/>
              <w:right w:val="single" w:sz="8" w:space="0" w:color="auto"/>
            </w:tcBorders>
            <w:shd w:val="clear" w:color="auto" w:fill="auto"/>
            <w:noWrap/>
            <w:vAlign w:val="bottom"/>
          </w:tcPr>
          <w:p w:rsidR="000A672C" w:rsidRPr="00BF0050" w:rsidRDefault="000A672C" w:rsidP="00B100F7">
            <w:pPr>
              <w:spacing w:before="0" w:after="0" w:line="240" w:lineRule="auto"/>
              <w:ind w:firstLine="0"/>
              <w:jc w:val="center"/>
            </w:pPr>
            <w:r w:rsidRPr="00BF0050">
              <w:t>13,2</w:t>
            </w:r>
          </w:p>
        </w:tc>
        <w:tc>
          <w:tcPr>
            <w:tcW w:w="1101" w:type="dxa"/>
            <w:tcBorders>
              <w:top w:val="nil"/>
              <w:left w:val="nil"/>
              <w:bottom w:val="nil"/>
              <w:right w:val="single" w:sz="8" w:space="0" w:color="auto"/>
            </w:tcBorders>
            <w:shd w:val="clear" w:color="auto" w:fill="auto"/>
            <w:noWrap/>
            <w:vAlign w:val="bottom"/>
          </w:tcPr>
          <w:p w:rsidR="000A672C" w:rsidRPr="00BF0050" w:rsidRDefault="000A672C" w:rsidP="00B100F7">
            <w:pPr>
              <w:spacing w:before="0" w:after="0" w:line="240" w:lineRule="auto"/>
              <w:ind w:firstLine="0"/>
              <w:jc w:val="center"/>
            </w:pPr>
            <w:r w:rsidRPr="00BF0050">
              <w:t>13,3</w:t>
            </w:r>
          </w:p>
        </w:tc>
        <w:tc>
          <w:tcPr>
            <w:tcW w:w="1102" w:type="dxa"/>
            <w:tcBorders>
              <w:top w:val="nil"/>
              <w:left w:val="nil"/>
              <w:bottom w:val="nil"/>
              <w:right w:val="single" w:sz="8" w:space="0" w:color="auto"/>
            </w:tcBorders>
            <w:vAlign w:val="bottom"/>
          </w:tcPr>
          <w:p w:rsidR="000A672C" w:rsidRPr="00BF0050" w:rsidRDefault="000A672C" w:rsidP="00B100F7">
            <w:pPr>
              <w:spacing w:before="0" w:after="0" w:line="240" w:lineRule="auto"/>
              <w:ind w:firstLine="0"/>
              <w:jc w:val="center"/>
            </w:pPr>
            <w:r w:rsidRPr="00BF0050">
              <w:t>13,4</w:t>
            </w:r>
          </w:p>
        </w:tc>
      </w:tr>
      <w:tr w:rsidR="000A672C" w:rsidRPr="00BF0050" w:rsidTr="00862985">
        <w:trPr>
          <w:trHeight w:val="315"/>
          <w:jc w:val="center"/>
        </w:trPr>
        <w:tc>
          <w:tcPr>
            <w:tcW w:w="6716" w:type="dxa"/>
            <w:tcBorders>
              <w:top w:val="nil"/>
              <w:left w:val="single" w:sz="8" w:space="0" w:color="auto"/>
              <w:right w:val="single" w:sz="8" w:space="0" w:color="auto"/>
            </w:tcBorders>
            <w:shd w:val="clear" w:color="auto" w:fill="auto"/>
            <w:noWrap/>
            <w:vAlign w:val="center"/>
          </w:tcPr>
          <w:p w:rsidR="000A672C" w:rsidRPr="00BF0050" w:rsidRDefault="000A672C" w:rsidP="00862985">
            <w:pPr>
              <w:spacing w:before="0" w:after="0" w:line="240" w:lineRule="auto"/>
              <w:ind w:firstLineChars="128" w:firstLine="307"/>
              <w:rPr>
                <w:color w:val="000000"/>
              </w:rPr>
            </w:pPr>
            <w:r w:rsidRPr="00BF0050">
              <w:rPr>
                <w:color w:val="000000"/>
              </w:rPr>
              <w:t>Образование, здравоохранение</w:t>
            </w:r>
          </w:p>
        </w:tc>
        <w:tc>
          <w:tcPr>
            <w:tcW w:w="1101" w:type="dxa"/>
            <w:tcBorders>
              <w:top w:val="nil"/>
              <w:left w:val="nil"/>
              <w:right w:val="single" w:sz="8" w:space="0" w:color="auto"/>
            </w:tcBorders>
            <w:shd w:val="clear" w:color="auto" w:fill="auto"/>
            <w:noWrap/>
            <w:vAlign w:val="center"/>
          </w:tcPr>
          <w:p w:rsidR="000A672C" w:rsidRPr="00BF0050" w:rsidRDefault="000A672C" w:rsidP="00B100F7">
            <w:pPr>
              <w:spacing w:before="0" w:after="0" w:line="240" w:lineRule="auto"/>
              <w:ind w:firstLine="0"/>
              <w:jc w:val="center"/>
            </w:pPr>
            <w:r w:rsidRPr="00BF0050">
              <w:t>2,9</w:t>
            </w:r>
          </w:p>
        </w:tc>
        <w:tc>
          <w:tcPr>
            <w:tcW w:w="1101" w:type="dxa"/>
            <w:tcBorders>
              <w:top w:val="nil"/>
              <w:left w:val="nil"/>
              <w:right w:val="single" w:sz="8" w:space="0" w:color="auto"/>
            </w:tcBorders>
            <w:shd w:val="clear" w:color="auto" w:fill="auto"/>
            <w:noWrap/>
            <w:vAlign w:val="center"/>
          </w:tcPr>
          <w:p w:rsidR="000A672C" w:rsidRPr="00BF0050" w:rsidRDefault="000A672C" w:rsidP="00B100F7">
            <w:pPr>
              <w:spacing w:before="0" w:after="0" w:line="240" w:lineRule="auto"/>
              <w:ind w:firstLine="0"/>
              <w:jc w:val="center"/>
            </w:pPr>
            <w:r w:rsidRPr="00BF0050">
              <w:t>2,9</w:t>
            </w:r>
          </w:p>
        </w:tc>
        <w:tc>
          <w:tcPr>
            <w:tcW w:w="1102" w:type="dxa"/>
            <w:tcBorders>
              <w:top w:val="nil"/>
              <w:left w:val="nil"/>
              <w:right w:val="single" w:sz="8" w:space="0" w:color="auto"/>
            </w:tcBorders>
            <w:vAlign w:val="center"/>
          </w:tcPr>
          <w:p w:rsidR="000A672C" w:rsidRPr="00BF0050" w:rsidRDefault="000A672C" w:rsidP="00B100F7">
            <w:pPr>
              <w:spacing w:before="0" w:after="0" w:line="240" w:lineRule="auto"/>
              <w:ind w:firstLine="0"/>
              <w:jc w:val="center"/>
            </w:pPr>
            <w:r w:rsidRPr="00BF0050">
              <w:t>2,9</w:t>
            </w:r>
          </w:p>
        </w:tc>
      </w:tr>
      <w:tr w:rsidR="000A672C" w:rsidRPr="00BF0050" w:rsidTr="00862985">
        <w:trPr>
          <w:trHeight w:val="330"/>
          <w:jc w:val="center"/>
        </w:trPr>
        <w:tc>
          <w:tcPr>
            <w:tcW w:w="6716" w:type="dxa"/>
            <w:tcBorders>
              <w:top w:val="nil"/>
              <w:left w:val="single" w:sz="8" w:space="0" w:color="auto"/>
              <w:right w:val="single" w:sz="8" w:space="0" w:color="auto"/>
            </w:tcBorders>
            <w:shd w:val="clear" w:color="auto" w:fill="auto"/>
            <w:noWrap/>
            <w:vAlign w:val="center"/>
          </w:tcPr>
          <w:p w:rsidR="000A672C" w:rsidRPr="00BF0050" w:rsidRDefault="000A672C" w:rsidP="00862985">
            <w:pPr>
              <w:spacing w:before="0" w:after="0" w:line="240" w:lineRule="auto"/>
              <w:ind w:firstLineChars="128" w:firstLine="307"/>
              <w:rPr>
                <w:color w:val="000000"/>
              </w:rPr>
            </w:pPr>
            <w:r w:rsidRPr="00BF0050">
              <w:rPr>
                <w:color w:val="000000"/>
              </w:rPr>
              <w:t>Торговля</w:t>
            </w:r>
          </w:p>
        </w:tc>
        <w:tc>
          <w:tcPr>
            <w:tcW w:w="1101" w:type="dxa"/>
            <w:tcBorders>
              <w:top w:val="nil"/>
              <w:left w:val="nil"/>
              <w:right w:val="single" w:sz="8" w:space="0" w:color="auto"/>
            </w:tcBorders>
            <w:shd w:val="clear" w:color="auto" w:fill="auto"/>
            <w:noWrap/>
            <w:vAlign w:val="center"/>
          </w:tcPr>
          <w:p w:rsidR="000A672C" w:rsidRPr="00BF0050" w:rsidRDefault="000A672C" w:rsidP="00B100F7">
            <w:pPr>
              <w:spacing w:before="0" w:after="0" w:line="240" w:lineRule="auto"/>
              <w:ind w:firstLine="0"/>
              <w:jc w:val="center"/>
            </w:pPr>
            <w:r w:rsidRPr="00BF0050">
              <w:t>5,0</w:t>
            </w:r>
          </w:p>
        </w:tc>
        <w:tc>
          <w:tcPr>
            <w:tcW w:w="1101" w:type="dxa"/>
            <w:tcBorders>
              <w:top w:val="nil"/>
              <w:left w:val="nil"/>
              <w:right w:val="single" w:sz="8" w:space="0" w:color="auto"/>
            </w:tcBorders>
            <w:shd w:val="clear" w:color="auto" w:fill="auto"/>
            <w:noWrap/>
            <w:vAlign w:val="center"/>
          </w:tcPr>
          <w:p w:rsidR="000A672C" w:rsidRPr="00BF0050" w:rsidRDefault="000A672C" w:rsidP="00B100F7">
            <w:pPr>
              <w:spacing w:before="0" w:after="0" w:line="240" w:lineRule="auto"/>
              <w:ind w:firstLine="0"/>
              <w:jc w:val="center"/>
            </w:pPr>
            <w:r w:rsidRPr="00BF0050">
              <w:t>5,1</w:t>
            </w:r>
          </w:p>
        </w:tc>
        <w:tc>
          <w:tcPr>
            <w:tcW w:w="1102" w:type="dxa"/>
            <w:tcBorders>
              <w:top w:val="nil"/>
              <w:left w:val="nil"/>
              <w:right w:val="single" w:sz="8" w:space="0" w:color="auto"/>
            </w:tcBorders>
            <w:vAlign w:val="center"/>
          </w:tcPr>
          <w:p w:rsidR="000A672C" w:rsidRPr="00BF0050" w:rsidRDefault="000A672C" w:rsidP="00B100F7">
            <w:pPr>
              <w:spacing w:before="0" w:after="0" w:line="240" w:lineRule="auto"/>
              <w:ind w:firstLine="0"/>
              <w:jc w:val="center"/>
            </w:pPr>
            <w:r w:rsidRPr="00BF0050">
              <w:t>5,1</w:t>
            </w:r>
          </w:p>
        </w:tc>
      </w:tr>
      <w:tr w:rsidR="000A672C" w:rsidRPr="00BF0050" w:rsidTr="00862985">
        <w:trPr>
          <w:trHeight w:val="330"/>
          <w:jc w:val="center"/>
        </w:trPr>
        <w:tc>
          <w:tcPr>
            <w:tcW w:w="6716" w:type="dxa"/>
            <w:tcBorders>
              <w:top w:val="nil"/>
              <w:left w:val="single" w:sz="8" w:space="0" w:color="auto"/>
              <w:bottom w:val="single" w:sz="8" w:space="0" w:color="auto"/>
              <w:right w:val="single" w:sz="8" w:space="0" w:color="auto"/>
            </w:tcBorders>
            <w:shd w:val="clear" w:color="auto" w:fill="auto"/>
            <w:noWrap/>
            <w:vAlign w:val="center"/>
          </w:tcPr>
          <w:p w:rsidR="000A672C" w:rsidRPr="00BF0050" w:rsidRDefault="000A672C" w:rsidP="005458C8">
            <w:pPr>
              <w:spacing w:before="0" w:line="240" w:lineRule="auto"/>
              <w:ind w:firstLineChars="128" w:firstLine="307"/>
              <w:rPr>
                <w:color w:val="000000"/>
              </w:rPr>
            </w:pPr>
            <w:r w:rsidRPr="00BF0050">
              <w:rPr>
                <w:color w:val="000000"/>
              </w:rPr>
              <w:t>Недвижимость и строительный комплекс</w:t>
            </w:r>
          </w:p>
        </w:tc>
        <w:tc>
          <w:tcPr>
            <w:tcW w:w="1101" w:type="dxa"/>
            <w:tcBorders>
              <w:top w:val="nil"/>
              <w:left w:val="nil"/>
              <w:bottom w:val="single" w:sz="8" w:space="0" w:color="auto"/>
              <w:right w:val="single" w:sz="8" w:space="0" w:color="auto"/>
            </w:tcBorders>
            <w:shd w:val="clear" w:color="auto" w:fill="auto"/>
            <w:noWrap/>
            <w:vAlign w:val="center"/>
          </w:tcPr>
          <w:p w:rsidR="000A672C" w:rsidRPr="00BF0050" w:rsidRDefault="000A672C" w:rsidP="00B100F7">
            <w:pPr>
              <w:spacing w:before="0" w:line="240" w:lineRule="auto"/>
              <w:ind w:firstLine="0"/>
              <w:jc w:val="center"/>
            </w:pPr>
            <w:r w:rsidRPr="00BF0050">
              <w:t>21,1</w:t>
            </w:r>
          </w:p>
        </w:tc>
        <w:tc>
          <w:tcPr>
            <w:tcW w:w="1101" w:type="dxa"/>
            <w:tcBorders>
              <w:top w:val="nil"/>
              <w:left w:val="nil"/>
              <w:bottom w:val="single" w:sz="8" w:space="0" w:color="auto"/>
              <w:right w:val="single" w:sz="8" w:space="0" w:color="auto"/>
            </w:tcBorders>
            <w:shd w:val="clear" w:color="auto" w:fill="auto"/>
            <w:noWrap/>
            <w:vAlign w:val="center"/>
          </w:tcPr>
          <w:p w:rsidR="000A672C" w:rsidRPr="00BF0050" w:rsidRDefault="000A672C" w:rsidP="00B100F7">
            <w:pPr>
              <w:spacing w:before="0" w:line="240" w:lineRule="auto"/>
              <w:ind w:firstLine="0"/>
              <w:jc w:val="center"/>
            </w:pPr>
            <w:r w:rsidRPr="00BF0050">
              <w:t>21,4</w:t>
            </w:r>
          </w:p>
        </w:tc>
        <w:tc>
          <w:tcPr>
            <w:tcW w:w="1102" w:type="dxa"/>
            <w:tcBorders>
              <w:top w:val="nil"/>
              <w:left w:val="nil"/>
              <w:bottom w:val="single" w:sz="8" w:space="0" w:color="auto"/>
              <w:right w:val="single" w:sz="8" w:space="0" w:color="auto"/>
            </w:tcBorders>
            <w:vAlign w:val="center"/>
          </w:tcPr>
          <w:p w:rsidR="000A672C" w:rsidRPr="00BF0050" w:rsidRDefault="000A672C" w:rsidP="00B100F7">
            <w:pPr>
              <w:spacing w:before="0" w:line="240" w:lineRule="auto"/>
              <w:ind w:firstLine="0"/>
              <w:jc w:val="center"/>
            </w:pPr>
            <w:r w:rsidRPr="00BF0050">
              <w:t>21,6</w:t>
            </w:r>
          </w:p>
        </w:tc>
      </w:tr>
    </w:tbl>
    <w:p w:rsidR="009A6D30" w:rsidRPr="00BF0050" w:rsidRDefault="009A6D30" w:rsidP="005458C8">
      <w:pPr>
        <w:spacing w:before="240" w:after="0"/>
        <w:jc w:val="both"/>
        <w:rPr>
          <w:sz w:val="26"/>
          <w:szCs w:val="26"/>
        </w:rPr>
      </w:pPr>
      <w:r w:rsidRPr="00BF0050">
        <w:rPr>
          <w:rFonts w:eastAsia="Calibri"/>
          <w:sz w:val="26"/>
          <w:szCs w:val="26"/>
          <w:lang w:eastAsia="en-US"/>
        </w:rPr>
        <w:t>Среднегодовой прирост инвестиций в 2017 –</w:t>
      </w:r>
      <w:r w:rsidR="000A672C" w:rsidRPr="00BF0050">
        <w:rPr>
          <w:rFonts w:eastAsia="Calibri"/>
          <w:sz w:val="26"/>
          <w:szCs w:val="26"/>
          <w:lang w:eastAsia="en-US"/>
        </w:rPr>
        <w:t> </w:t>
      </w:r>
      <w:r w:rsidRPr="00BF0050">
        <w:rPr>
          <w:rFonts w:eastAsia="Calibri"/>
          <w:sz w:val="26"/>
          <w:szCs w:val="26"/>
          <w:lang w:eastAsia="en-US"/>
        </w:rPr>
        <w:t xml:space="preserve">2019 гг. в обрабатывающую промышленность (без нефтепереработки) составит </w:t>
      </w:r>
      <w:r w:rsidR="000A672C" w:rsidRPr="00BF0050">
        <w:rPr>
          <w:rFonts w:eastAsia="Calibri"/>
          <w:sz w:val="26"/>
          <w:szCs w:val="26"/>
          <w:lang w:eastAsia="en-US"/>
        </w:rPr>
        <w:t>3,5</w:t>
      </w:r>
      <w:r w:rsidRPr="00BF0050">
        <w:rPr>
          <w:rFonts w:eastAsia="Calibri"/>
          <w:sz w:val="26"/>
          <w:szCs w:val="26"/>
          <w:lang w:eastAsia="en-US"/>
        </w:rPr>
        <w:t xml:space="preserve"> %, основными драйверами восстановления инвестиционной активности в обрабатывающей промышленности (без нефтепереработки) выступят химический комплекс, металлургическое производство и машиностроительный комплекс. </w:t>
      </w:r>
      <w:r w:rsidRPr="00BF0050">
        <w:rPr>
          <w:sz w:val="26"/>
          <w:szCs w:val="26"/>
        </w:rPr>
        <w:t xml:space="preserve">Несмотря на достаточно высокие инвестиционные риски по реализации ранее намеченных проектов (ограничения по доступу к заемному капиталу, а также возможное сокращение прибыльности с учетом реализации налогового маневра в нефтехимии), крупные компании химического комплекса предполагают продолжить реализацию инвестиционных проектов, в том числе по выпуску импортозамещающей продукции. Учитывая то обстоятельство, что реального ухудшения финансового состояния компаний черной и цветной металлургии не прогнозируется, инвестиции в металлургический сектор будут восстанавливаться после четырехлетней инвестиционной паузы. В настоящее время осуществляется крупная программа по модернизации алюминиевой промышленности Российской Федерации, создаются новые обрабатывающие центры в особой экономической зоне «Титановая долина», предполагается техническое перевооружение заводов по обработке цветных металлов. </w:t>
      </w:r>
    </w:p>
    <w:p w:rsidR="004A6AA1" w:rsidRPr="00BF0050" w:rsidRDefault="009A6D30" w:rsidP="009A6D30">
      <w:pPr>
        <w:spacing w:before="0" w:after="0"/>
        <w:jc w:val="both"/>
        <w:rPr>
          <w:rFonts w:eastAsia="Calibri"/>
          <w:sz w:val="26"/>
          <w:szCs w:val="26"/>
          <w:lang w:eastAsia="en-US"/>
        </w:rPr>
      </w:pPr>
      <w:r w:rsidRPr="00BF0050">
        <w:rPr>
          <w:rFonts w:eastAsia="Calibri"/>
          <w:sz w:val="26"/>
          <w:szCs w:val="26"/>
          <w:lang w:eastAsia="en-US"/>
        </w:rPr>
        <w:t>Положительный вклад в прирост инвестиций в прогнозный период внесет динамика капитальных вложений в транспортный комплекс (</w:t>
      </w:r>
      <w:proofErr w:type="gramStart"/>
      <w:r w:rsidRPr="00BF0050">
        <w:rPr>
          <w:rFonts w:eastAsia="Calibri"/>
          <w:sz w:val="26"/>
          <w:szCs w:val="26"/>
          <w:lang w:eastAsia="en-US"/>
        </w:rPr>
        <w:t>без</w:t>
      </w:r>
      <w:proofErr w:type="gramEnd"/>
      <w:r w:rsidRPr="00BF0050">
        <w:rPr>
          <w:rFonts w:eastAsia="Calibri"/>
          <w:sz w:val="26"/>
          <w:szCs w:val="26"/>
          <w:lang w:eastAsia="en-US"/>
        </w:rPr>
        <w:t xml:space="preserve"> трубопроводного). </w:t>
      </w:r>
      <w:proofErr w:type="gramStart"/>
      <w:r w:rsidRPr="00BF0050">
        <w:rPr>
          <w:rFonts w:eastAsia="Calibri"/>
          <w:sz w:val="26"/>
          <w:szCs w:val="26"/>
          <w:lang w:eastAsia="en-US"/>
        </w:rPr>
        <w:t>Значительная часть прироста инвестиций в  транспортный комплекс (без трубопроводного) будет обеспечена развитием дорожного хозяйства за счет реализации проектов с привлечением средств ФНБ (ЦКАД), мероприятий по развитию Московского транспортного узла, а также за счет предоставления межбюджетных трансфертов из федерального бюджета бюджетам субъектов Российской Федерации на мероприятия в сфере дорожного хозяйства по выполнению поручения Президента Российской Федерации в части увеличения объемов строительства</w:t>
      </w:r>
      <w:proofErr w:type="gramEnd"/>
      <w:r w:rsidRPr="00BF0050">
        <w:rPr>
          <w:rFonts w:eastAsia="Calibri"/>
          <w:sz w:val="26"/>
          <w:szCs w:val="26"/>
          <w:lang w:eastAsia="en-US"/>
        </w:rPr>
        <w:t xml:space="preserve"> и реконструкции автомобильных дорог регионального и  межмуниципального значения.</w:t>
      </w:r>
    </w:p>
    <w:p w:rsidR="004A6AA1" w:rsidRPr="00BF0050" w:rsidRDefault="004A6AA1">
      <w:pPr>
        <w:spacing w:before="0" w:after="0" w:line="240" w:lineRule="auto"/>
        <w:ind w:firstLine="0"/>
        <w:rPr>
          <w:rFonts w:eastAsia="Calibri"/>
          <w:sz w:val="26"/>
          <w:szCs w:val="26"/>
          <w:lang w:eastAsia="en-US"/>
        </w:rPr>
      </w:pPr>
      <w:r w:rsidRPr="00BF0050">
        <w:rPr>
          <w:rFonts w:eastAsia="Calibri"/>
          <w:sz w:val="26"/>
          <w:szCs w:val="26"/>
          <w:lang w:eastAsia="en-US"/>
        </w:rPr>
        <w:br w:type="page"/>
      </w:r>
    </w:p>
    <w:p w:rsidR="00594354" w:rsidRPr="00BF0050" w:rsidRDefault="00594354" w:rsidP="005458C8">
      <w:pPr>
        <w:pStyle w:val="1"/>
        <w:numPr>
          <w:ilvl w:val="0"/>
          <w:numId w:val="3"/>
        </w:numPr>
        <w:spacing w:before="240" w:after="240" w:line="360" w:lineRule="exact"/>
        <w:ind w:left="0" w:firstLine="0"/>
        <w:jc w:val="center"/>
        <w:rPr>
          <w:rFonts w:ascii="Times New Roman" w:hAnsi="Times New Roman"/>
          <w:color w:val="auto"/>
          <w:sz w:val="26"/>
          <w:szCs w:val="26"/>
        </w:rPr>
      </w:pPr>
      <w:bookmarkStart w:id="30" w:name="_Toc447721507"/>
      <w:bookmarkStart w:id="31" w:name="_Toc447721510"/>
      <w:bookmarkStart w:id="32" w:name="_Toc447721545"/>
      <w:bookmarkStart w:id="33" w:name="_Toc447721547"/>
      <w:bookmarkStart w:id="34" w:name="_Toc447812943"/>
      <w:bookmarkStart w:id="35" w:name="_Toc410405855"/>
      <w:bookmarkEnd w:id="30"/>
      <w:bookmarkEnd w:id="31"/>
      <w:bookmarkEnd w:id="32"/>
      <w:bookmarkEnd w:id="33"/>
      <w:r w:rsidRPr="00BF0050">
        <w:rPr>
          <w:rFonts w:ascii="Times New Roman" w:hAnsi="Times New Roman"/>
          <w:color w:val="auto"/>
          <w:sz w:val="26"/>
          <w:szCs w:val="26"/>
        </w:rPr>
        <w:lastRenderedPageBreak/>
        <w:t>Рынок труда и социальные показатели</w:t>
      </w:r>
      <w:bookmarkEnd w:id="34"/>
    </w:p>
    <w:p w:rsidR="00BD3DBA" w:rsidRPr="00BF0050" w:rsidRDefault="002F4260" w:rsidP="00255145">
      <w:pPr>
        <w:spacing w:before="0" w:after="0"/>
        <w:jc w:val="both"/>
        <w:rPr>
          <w:sz w:val="26"/>
          <w:szCs w:val="26"/>
        </w:rPr>
      </w:pPr>
      <w:r w:rsidRPr="00BF0050">
        <w:rPr>
          <w:sz w:val="26"/>
          <w:szCs w:val="26"/>
        </w:rPr>
        <w:t>В прогнозный период продолжится сокращение численности населения в</w:t>
      </w:r>
      <w:r w:rsidR="008637DA" w:rsidRPr="00BF0050">
        <w:rPr>
          <w:sz w:val="26"/>
          <w:szCs w:val="26"/>
        </w:rPr>
        <w:t> </w:t>
      </w:r>
      <w:r w:rsidRPr="00BF0050">
        <w:rPr>
          <w:sz w:val="26"/>
          <w:szCs w:val="26"/>
        </w:rPr>
        <w:t xml:space="preserve"> трудоспособном возрасте, что приведет к уменьшению численности рабочей силы (экономически активного населения). Предполагается, что частично компенсировать сокращение трудовых ресурсов удастся за счет некоторого увеличения экономической активности в отдельных возрастах (в том числе населения около пенсионного возраста). В результате в среднесрочной перспективе численность рабочей силы (экономически активного населения) снизится меньше, чем населения в трудоспособном возрасте – с 72,9 млн. человек в 2015 году до 71,5 млн. человек в 2019 году.</w:t>
      </w:r>
    </w:p>
    <w:tbl>
      <w:tblPr>
        <w:tblStyle w:val="124"/>
        <w:tblpPr w:leftFromText="180" w:rightFromText="180" w:vertAnchor="text" w:horzAnchor="margin" w:tblpXSpec="right" w:tblpY="660"/>
        <w:tblOverlap w:val="never"/>
        <w:tblW w:w="5199" w:type="dxa"/>
        <w:tblLook w:val="04A0" w:firstRow="1" w:lastRow="0" w:firstColumn="1" w:lastColumn="0" w:noHBand="0" w:noVBand="1"/>
      </w:tblPr>
      <w:tblGrid>
        <w:gridCol w:w="5199"/>
      </w:tblGrid>
      <w:tr w:rsidR="00BD3DBA" w:rsidRPr="00BF0050" w:rsidTr="00BC7936">
        <w:trPr>
          <w:trHeight w:val="227"/>
        </w:trPr>
        <w:tc>
          <w:tcPr>
            <w:tcW w:w="5199" w:type="dxa"/>
            <w:tcBorders>
              <w:top w:val="nil"/>
              <w:left w:val="nil"/>
              <w:bottom w:val="nil"/>
              <w:right w:val="nil"/>
            </w:tcBorders>
          </w:tcPr>
          <w:p w:rsidR="00BD3DBA" w:rsidRPr="00BF0050" w:rsidRDefault="00BD3DBA" w:rsidP="00BC7936">
            <w:pPr>
              <w:spacing w:before="0" w:after="0" w:line="240" w:lineRule="auto"/>
              <w:ind w:firstLine="0"/>
              <w:jc w:val="center"/>
              <w:rPr>
                <w:sz w:val="22"/>
                <w:szCs w:val="22"/>
              </w:rPr>
            </w:pPr>
            <w:r w:rsidRPr="00BF0050">
              <w:rPr>
                <w:b/>
                <w:sz w:val="22"/>
                <w:szCs w:val="22"/>
              </w:rPr>
              <w:t>Занятость и безработица</w:t>
            </w:r>
          </w:p>
        </w:tc>
      </w:tr>
      <w:tr w:rsidR="00BD3DBA" w:rsidRPr="00BF0050" w:rsidTr="00BC7936">
        <w:trPr>
          <w:trHeight w:val="3990"/>
        </w:trPr>
        <w:tc>
          <w:tcPr>
            <w:tcW w:w="5199" w:type="dxa"/>
            <w:tcBorders>
              <w:top w:val="nil"/>
              <w:left w:val="nil"/>
              <w:bottom w:val="nil"/>
              <w:right w:val="nil"/>
            </w:tcBorders>
          </w:tcPr>
          <w:p w:rsidR="00BD3DBA" w:rsidRPr="00BF0050" w:rsidRDefault="00BD3DBA" w:rsidP="00BC7936">
            <w:pPr>
              <w:spacing w:before="0" w:after="0" w:line="240" w:lineRule="auto"/>
              <w:ind w:firstLine="0"/>
              <w:jc w:val="both"/>
              <w:rPr>
                <w:sz w:val="26"/>
                <w:szCs w:val="26"/>
              </w:rPr>
            </w:pPr>
            <w:r w:rsidRPr="00BF0050">
              <w:rPr>
                <w:noProof/>
                <w:sz w:val="26"/>
                <w:szCs w:val="26"/>
              </w:rPr>
              <w:drawing>
                <wp:anchor distT="0" distB="0" distL="114300" distR="114300" simplePos="0" relativeHeight="251672576" behindDoc="1" locked="0" layoutInCell="1" allowOverlap="1" wp14:anchorId="46F26385" wp14:editId="5BE0C2FA">
                  <wp:simplePos x="0" y="0"/>
                  <wp:positionH relativeFrom="column">
                    <wp:posOffset>38735</wp:posOffset>
                  </wp:positionH>
                  <wp:positionV relativeFrom="paragraph">
                    <wp:posOffset>183515</wp:posOffset>
                  </wp:positionV>
                  <wp:extent cx="3164205" cy="2493645"/>
                  <wp:effectExtent l="0" t="0" r="0" b="1905"/>
                  <wp:wrapTight wrapText="bothSides">
                    <wp:wrapPolygon edited="0">
                      <wp:start x="0" y="0"/>
                      <wp:lineTo x="0" y="21451"/>
                      <wp:lineTo x="21457" y="21451"/>
                      <wp:lineTo x="21457"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4205" cy="2493645"/>
                          </a:xfrm>
                          <a:prstGeom prst="rect">
                            <a:avLst/>
                          </a:prstGeom>
                          <a:noFill/>
                        </pic:spPr>
                      </pic:pic>
                    </a:graphicData>
                  </a:graphic>
                  <wp14:sizeRelH relativeFrom="page">
                    <wp14:pctWidth>0</wp14:pctWidth>
                  </wp14:sizeRelH>
                  <wp14:sizeRelV relativeFrom="page">
                    <wp14:pctHeight>0</wp14:pctHeight>
                  </wp14:sizeRelV>
                </wp:anchor>
              </w:drawing>
            </w:r>
          </w:p>
        </w:tc>
      </w:tr>
      <w:tr w:rsidR="00BD3DBA" w:rsidRPr="00BF0050" w:rsidTr="00BC7936">
        <w:trPr>
          <w:trHeight w:val="432"/>
        </w:trPr>
        <w:tc>
          <w:tcPr>
            <w:tcW w:w="5199" w:type="dxa"/>
            <w:tcBorders>
              <w:top w:val="nil"/>
              <w:left w:val="nil"/>
              <w:bottom w:val="nil"/>
              <w:right w:val="nil"/>
            </w:tcBorders>
          </w:tcPr>
          <w:p w:rsidR="00BD3DBA" w:rsidRPr="00BF0050" w:rsidRDefault="00BD3DBA" w:rsidP="00BC7936">
            <w:pPr>
              <w:spacing w:before="0" w:after="0" w:line="276" w:lineRule="auto"/>
              <w:ind w:firstLine="0"/>
              <w:jc w:val="both"/>
              <w:rPr>
                <w:noProof/>
                <w:sz w:val="26"/>
                <w:szCs w:val="26"/>
              </w:rPr>
            </w:pPr>
            <w:r w:rsidRPr="00BF0050">
              <w:rPr>
                <w:rFonts w:eastAsiaTheme="minorHAnsi"/>
                <w:i/>
                <w:noProof/>
                <w:sz w:val="18"/>
                <w:szCs w:val="18"/>
              </w:rPr>
              <w:t>Источник: даннные Росстата, пронозные оценки Минэкономразвития России</w:t>
            </w:r>
          </w:p>
        </w:tc>
      </w:tr>
    </w:tbl>
    <w:p w:rsidR="002F4260" w:rsidRPr="00BF0050" w:rsidRDefault="002F4260" w:rsidP="00255145">
      <w:pPr>
        <w:spacing w:before="0" w:after="0"/>
        <w:jc w:val="both"/>
        <w:rPr>
          <w:sz w:val="26"/>
          <w:szCs w:val="26"/>
        </w:rPr>
      </w:pPr>
      <w:r w:rsidRPr="00BF0050">
        <w:rPr>
          <w:sz w:val="26"/>
          <w:szCs w:val="26"/>
        </w:rPr>
        <w:t>В условиях демографических ограничений ухудшение экономической ситуации в</w:t>
      </w:r>
      <w:r w:rsidR="00160147" w:rsidRPr="00BF0050">
        <w:rPr>
          <w:sz w:val="26"/>
          <w:szCs w:val="26"/>
        </w:rPr>
        <w:t> </w:t>
      </w:r>
      <w:r w:rsidRPr="00BF0050">
        <w:rPr>
          <w:sz w:val="26"/>
          <w:szCs w:val="26"/>
        </w:rPr>
        <w:t xml:space="preserve">меньшей степени отразится на состоянии рынка труда. В течение 2016 года общая безработица не будет демонстрировать ярко </w:t>
      </w:r>
      <w:r w:rsidR="00EB4976" w:rsidRPr="00BF0050">
        <w:rPr>
          <w:sz w:val="26"/>
          <w:szCs w:val="26"/>
        </w:rPr>
        <w:t xml:space="preserve">выраженную динамику </w:t>
      </w:r>
      <w:r w:rsidRPr="00BF0050">
        <w:rPr>
          <w:sz w:val="26"/>
          <w:szCs w:val="26"/>
        </w:rPr>
        <w:t>и сохранится на уровне 2015 года – 5,8 % рабочей силы (экономически активного населения). Учитывая плавное восстановление экономики и достаточно низкий текущий уровень безработицы, ожидается, что она стабилизируется на этом уровне до 2018 года, а в 2019 году снизится до 5,7 % рабочей силы (экономически активного населения).</w:t>
      </w:r>
    </w:p>
    <w:p w:rsidR="002F4260" w:rsidRPr="00BF0050" w:rsidRDefault="002F4260" w:rsidP="00255145">
      <w:pPr>
        <w:spacing w:before="0" w:after="0"/>
        <w:jc w:val="both"/>
        <w:rPr>
          <w:sz w:val="26"/>
          <w:szCs w:val="26"/>
        </w:rPr>
      </w:pPr>
      <w:r w:rsidRPr="00BF0050">
        <w:rPr>
          <w:sz w:val="26"/>
          <w:szCs w:val="26"/>
        </w:rPr>
        <w:t xml:space="preserve">В условиях демографических ограничений и снижения численности рабочей силы (экономически активного населения) численность занятого населения </w:t>
      </w:r>
      <w:r w:rsidR="00172409" w:rsidRPr="00BF0050">
        <w:rPr>
          <w:sz w:val="26"/>
          <w:szCs w:val="26"/>
        </w:rPr>
        <w:t>сократится с </w:t>
      </w:r>
      <w:r w:rsidRPr="00BF0050">
        <w:rPr>
          <w:sz w:val="26"/>
          <w:szCs w:val="26"/>
        </w:rPr>
        <w:t>68,6 млн. человек в 2015 году до 67,5 млн. человек в 2019 году.</w:t>
      </w:r>
    </w:p>
    <w:p w:rsidR="002F4260" w:rsidRPr="00BF0050" w:rsidRDefault="008A0409" w:rsidP="00255145">
      <w:pPr>
        <w:spacing w:before="0" w:after="0"/>
        <w:jc w:val="both"/>
        <w:rPr>
          <w:sz w:val="26"/>
          <w:szCs w:val="26"/>
        </w:rPr>
      </w:pPr>
      <w:r w:rsidRPr="00BF0050">
        <w:rPr>
          <w:sz w:val="26"/>
          <w:szCs w:val="26"/>
        </w:rPr>
        <w:t xml:space="preserve">В бюджетной сфере до 2018 года будет продолжена реализация мер по повышению оплаты труда отдельных категорий персонала (врачи, средний и младший медицинский персонал, преподаватели вузов, работники науки и культуры) в соответствии с Указом Президента Российской Федерации от 7 мая 2012 г. № 597 «О мероприятиях по реализации государственной социальной политики». В 2019 году заработную плату указанных категорий работников предполагается сохранить на уровне, достигнутом в 2018 году. </w:t>
      </w:r>
      <w:r w:rsidR="002F4260" w:rsidRPr="00BF0050">
        <w:rPr>
          <w:sz w:val="26"/>
          <w:szCs w:val="26"/>
        </w:rPr>
        <w:t xml:space="preserve">Для внебюджетного сектора экономики по-прежнему будет актуальна необходимость сдерживания роста издержек производства, в том числе и за счет оптимизации издержек на оплату труда. Темпы роста реальной заработной платы </w:t>
      </w:r>
      <w:r w:rsidR="000A51CA" w:rsidRPr="00BF0050">
        <w:rPr>
          <w:sz w:val="26"/>
          <w:szCs w:val="26"/>
        </w:rPr>
        <w:t>в </w:t>
      </w:r>
      <w:r w:rsidR="002F4260" w:rsidRPr="00BF0050">
        <w:rPr>
          <w:sz w:val="26"/>
          <w:szCs w:val="26"/>
        </w:rPr>
        <w:t>частном секторе, несмотря на постепенное ускорение в 2017</w:t>
      </w:r>
      <w:r w:rsidR="00172409" w:rsidRPr="00BF0050">
        <w:rPr>
          <w:sz w:val="26"/>
          <w:szCs w:val="26"/>
        </w:rPr>
        <w:t> – </w:t>
      </w:r>
      <w:r w:rsidR="002F4260" w:rsidRPr="00BF0050">
        <w:rPr>
          <w:sz w:val="26"/>
          <w:szCs w:val="26"/>
        </w:rPr>
        <w:t xml:space="preserve">2019 гг., будут ограничены динамикой производительности труда. </w:t>
      </w:r>
    </w:p>
    <w:p w:rsidR="000E6839" w:rsidRPr="00BF0050" w:rsidRDefault="002F4260" w:rsidP="00255145">
      <w:pPr>
        <w:spacing w:before="0" w:after="0"/>
        <w:jc w:val="both"/>
        <w:rPr>
          <w:sz w:val="26"/>
          <w:szCs w:val="26"/>
        </w:rPr>
      </w:pPr>
      <w:r w:rsidRPr="00BF0050">
        <w:rPr>
          <w:sz w:val="26"/>
          <w:szCs w:val="26"/>
        </w:rPr>
        <w:lastRenderedPageBreak/>
        <w:t xml:space="preserve">С учетом позитивных ожиданий </w:t>
      </w:r>
      <w:r w:rsidR="00172565" w:rsidRPr="00BF0050">
        <w:rPr>
          <w:sz w:val="26"/>
          <w:szCs w:val="26"/>
        </w:rPr>
        <w:t>в </w:t>
      </w:r>
      <w:r w:rsidRPr="00BF0050">
        <w:rPr>
          <w:sz w:val="26"/>
          <w:szCs w:val="26"/>
        </w:rPr>
        <w:t xml:space="preserve">отношении уровня инфляции сокращение реальной заработной платы в целом по экономике в 2016 году будет значительно меньше, чем в 2015 году, и оценивается в </w:t>
      </w:r>
      <w:r w:rsidR="00172565" w:rsidRPr="00BF0050">
        <w:rPr>
          <w:sz w:val="26"/>
          <w:szCs w:val="26"/>
        </w:rPr>
        <w:t>1,5 </w:t>
      </w:r>
      <w:r w:rsidRPr="00BF0050">
        <w:rPr>
          <w:sz w:val="26"/>
          <w:szCs w:val="26"/>
        </w:rPr>
        <w:t xml:space="preserve">процента. За </w:t>
      </w:r>
      <w:r w:rsidR="00172409" w:rsidRPr="00BF0050">
        <w:rPr>
          <w:sz w:val="26"/>
          <w:szCs w:val="26"/>
        </w:rPr>
        <w:t xml:space="preserve">период </w:t>
      </w:r>
      <w:r w:rsidRPr="00BF0050">
        <w:rPr>
          <w:sz w:val="26"/>
          <w:szCs w:val="26"/>
        </w:rPr>
        <w:t>2017</w:t>
      </w:r>
      <w:r w:rsidR="00172409" w:rsidRPr="00BF0050">
        <w:rPr>
          <w:sz w:val="26"/>
          <w:szCs w:val="26"/>
        </w:rPr>
        <w:t> </w:t>
      </w:r>
      <w:r w:rsidRPr="00BF0050">
        <w:rPr>
          <w:sz w:val="26"/>
          <w:szCs w:val="26"/>
        </w:rPr>
        <w:t>–</w:t>
      </w:r>
      <w:r w:rsidR="00172409" w:rsidRPr="00BF0050">
        <w:rPr>
          <w:sz w:val="26"/>
          <w:szCs w:val="26"/>
        </w:rPr>
        <w:t> </w:t>
      </w:r>
      <w:r w:rsidRPr="00BF0050">
        <w:rPr>
          <w:sz w:val="26"/>
          <w:szCs w:val="26"/>
        </w:rPr>
        <w:t>2019 гг. в</w:t>
      </w:r>
      <w:r w:rsidR="00160147" w:rsidRPr="00BF0050">
        <w:rPr>
          <w:sz w:val="26"/>
          <w:szCs w:val="26"/>
        </w:rPr>
        <w:t> </w:t>
      </w:r>
      <w:r w:rsidRPr="00BF0050">
        <w:rPr>
          <w:sz w:val="26"/>
          <w:szCs w:val="26"/>
        </w:rPr>
        <w:t xml:space="preserve">условиях базового </w:t>
      </w:r>
      <w:r w:rsidR="00172565" w:rsidRPr="00BF0050">
        <w:rPr>
          <w:sz w:val="26"/>
          <w:szCs w:val="26"/>
        </w:rPr>
        <w:t xml:space="preserve">варианта </w:t>
      </w:r>
      <w:r w:rsidRPr="00BF0050">
        <w:rPr>
          <w:sz w:val="26"/>
          <w:szCs w:val="26"/>
        </w:rPr>
        <w:t xml:space="preserve">реальная заработная плата в целом по экономике увеличится на </w:t>
      </w:r>
      <w:r w:rsidR="00172565" w:rsidRPr="00BF0050">
        <w:rPr>
          <w:sz w:val="26"/>
          <w:szCs w:val="26"/>
        </w:rPr>
        <w:t>3</w:t>
      </w:r>
      <w:r w:rsidRPr="00BF0050">
        <w:rPr>
          <w:sz w:val="26"/>
          <w:szCs w:val="26"/>
        </w:rPr>
        <w:t>,</w:t>
      </w:r>
      <w:r w:rsidR="00172409" w:rsidRPr="00BF0050">
        <w:rPr>
          <w:sz w:val="26"/>
          <w:szCs w:val="26"/>
        </w:rPr>
        <w:t>8 </w:t>
      </w:r>
      <w:r w:rsidRPr="00BF0050">
        <w:rPr>
          <w:sz w:val="26"/>
          <w:szCs w:val="26"/>
        </w:rPr>
        <w:t>процента. При этом в 2018 году реальная заработная плата восстановится до уровня 2015 года</w:t>
      </w:r>
      <w:r w:rsidR="00172409" w:rsidRPr="00BF0050">
        <w:rPr>
          <w:sz w:val="26"/>
          <w:szCs w:val="26"/>
        </w:rPr>
        <w:t>, однако</w:t>
      </w:r>
      <w:r w:rsidRPr="00BF0050">
        <w:rPr>
          <w:sz w:val="26"/>
          <w:szCs w:val="26"/>
        </w:rPr>
        <w:t xml:space="preserve"> до уровня 2014 года в </w:t>
      </w:r>
      <w:r w:rsidR="00172409" w:rsidRPr="00BF0050">
        <w:rPr>
          <w:sz w:val="26"/>
          <w:szCs w:val="26"/>
        </w:rPr>
        <w:t xml:space="preserve">прогнозный </w:t>
      </w:r>
      <w:r w:rsidRPr="00BF0050">
        <w:rPr>
          <w:sz w:val="26"/>
          <w:szCs w:val="26"/>
        </w:rPr>
        <w:t xml:space="preserve">период </w:t>
      </w:r>
      <w:r w:rsidR="00EB4976" w:rsidRPr="00BF0050">
        <w:rPr>
          <w:sz w:val="26"/>
          <w:szCs w:val="26"/>
        </w:rPr>
        <w:t>она</w:t>
      </w:r>
      <w:r w:rsidRPr="00BF0050">
        <w:rPr>
          <w:sz w:val="26"/>
          <w:szCs w:val="26"/>
        </w:rPr>
        <w:t xml:space="preserve"> не восстановится, учитывая масштабы сокращения в 2015 году.</w:t>
      </w:r>
    </w:p>
    <w:tbl>
      <w:tblPr>
        <w:tblpPr w:leftFromText="180" w:rightFromText="180" w:vertAnchor="text" w:horzAnchor="margin" w:tblpXSpec="right" w:tblpY="2788"/>
        <w:tblW w:w="5106" w:type="dxa"/>
        <w:tblLayout w:type="fixed"/>
        <w:tblLook w:val="04A0" w:firstRow="1" w:lastRow="0" w:firstColumn="1" w:lastColumn="0" w:noHBand="0" w:noVBand="1"/>
      </w:tblPr>
      <w:tblGrid>
        <w:gridCol w:w="5106"/>
      </w:tblGrid>
      <w:tr w:rsidR="009827A6" w:rsidRPr="00BF0050" w:rsidTr="0019491B">
        <w:trPr>
          <w:cantSplit/>
          <w:trHeight w:val="93"/>
        </w:trPr>
        <w:tc>
          <w:tcPr>
            <w:tcW w:w="5106" w:type="dxa"/>
            <w:shd w:val="clear" w:color="auto" w:fill="auto"/>
          </w:tcPr>
          <w:p w:rsidR="009827A6" w:rsidRPr="00BF0050" w:rsidRDefault="009827A6" w:rsidP="009827A6">
            <w:pPr>
              <w:spacing w:before="0" w:after="0" w:line="300" w:lineRule="exact"/>
              <w:ind w:firstLine="0"/>
              <w:jc w:val="center"/>
              <w:rPr>
                <w:rFonts w:eastAsia="Calibri"/>
                <w:sz w:val="22"/>
                <w:szCs w:val="22"/>
              </w:rPr>
            </w:pPr>
            <w:r w:rsidRPr="00BF0050">
              <w:rPr>
                <w:b/>
                <w:sz w:val="22"/>
                <w:szCs w:val="22"/>
                <w:lang w:eastAsia="en-US"/>
              </w:rPr>
              <w:t>Страховая пенсия и прожиточный минимум</w:t>
            </w:r>
          </w:p>
        </w:tc>
      </w:tr>
      <w:tr w:rsidR="009827A6" w:rsidRPr="00BF0050" w:rsidTr="0019491B">
        <w:trPr>
          <w:cantSplit/>
          <w:trHeight w:val="3245"/>
        </w:trPr>
        <w:tc>
          <w:tcPr>
            <w:tcW w:w="5106" w:type="dxa"/>
            <w:shd w:val="clear" w:color="auto" w:fill="auto"/>
          </w:tcPr>
          <w:p w:rsidR="009827A6" w:rsidRPr="00BF0050" w:rsidRDefault="00591FFE" w:rsidP="009827A6">
            <w:pPr>
              <w:widowControl w:val="0"/>
              <w:spacing w:before="0" w:after="0" w:line="0" w:lineRule="atLeast"/>
              <w:ind w:firstLine="0"/>
              <w:jc w:val="both"/>
              <w:rPr>
                <w:rFonts w:eastAsia="Calibri"/>
                <w:sz w:val="16"/>
                <w:szCs w:val="16"/>
              </w:rPr>
            </w:pPr>
            <w:r w:rsidRPr="00BF0050">
              <w:rPr>
                <w:rFonts w:eastAsiaTheme="minorHAnsi"/>
                <w:bCs/>
                <w:noProof/>
                <w:sz w:val="26"/>
                <w:szCs w:val="26"/>
              </w:rPr>
              <w:drawing>
                <wp:inline distT="0" distB="0" distL="0" distR="0" wp14:anchorId="58A4CC9B" wp14:editId="454A43B4">
                  <wp:extent cx="3218815" cy="2060575"/>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8815" cy="2060575"/>
                          </a:xfrm>
                          <a:prstGeom prst="rect">
                            <a:avLst/>
                          </a:prstGeom>
                          <a:noFill/>
                        </pic:spPr>
                      </pic:pic>
                    </a:graphicData>
                  </a:graphic>
                </wp:inline>
              </w:drawing>
            </w:r>
          </w:p>
        </w:tc>
      </w:tr>
      <w:tr w:rsidR="009827A6" w:rsidRPr="00BF0050" w:rsidTr="0019491B">
        <w:trPr>
          <w:cantSplit/>
          <w:trHeight w:val="305"/>
        </w:trPr>
        <w:tc>
          <w:tcPr>
            <w:tcW w:w="5106" w:type="dxa"/>
            <w:shd w:val="clear" w:color="auto" w:fill="auto"/>
          </w:tcPr>
          <w:p w:rsidR="009827A6" w:rsidRPr="00BF0050" w:rsidRDefault="009827A6" w:rsidP="009827A6">
            <w:pPr>
              <w:spacing w:before="0" w:after="0" w:line="276" w:lineRule="auto"/>
              <w:ind w:firstLine="0"/>
              <w:jc w:val="both"/>
              <w:rPr>
                <w:rFonts w:asciiTheme="minorHAnsi" w:eastAsiaTheme="minorHAnsi" w:hAnsiTheme="minorHAnsi" w:cstheme="minorBidi"/>
                <w:noProof/>
                <w:sz w:val="22"/>
                <w:szCs w:val="22"/>
              </w:rPr>
            </w:pPr>
            <w:r w:rsidRPr="00BF0050">
              <w:rPr>
                <w:rFonts w:eastAsiaTheme="minorHAnsi"/>
                <w:i/>
                <w:noProof/>
                <w:sz w:val="18"/>
                <w:szCs w:val="18"/>
                <w:lang w:eastAsia="en-US"/>
              </w:rPr>
              <w:t>Источник: даннные Росстата, пронозные оценки Минэкономразвития России</w:t>
            </w:r>
          </w:p>
        </w:tc>
      </w:tr>
    </w:tbl>
    <w:p w:rsidR="00F00EB9" w:rsidRPr="00BF0050" w:rsidRDefault="00F00EB9" w:rsidP="00F00EB9">
      <w:pPr>
        <w:spacing w:before="0" w:after="0"/>
        <w:jc w:val="both"/>
        <w:rPr>
          <w:sz w:val="26"/>
          <w:szCs w:val="26"/>
        </w:rPr>
      </w:pPr>
      <w:r w:rsidRPr="00BF0050">
        <w:rPr>
          <w:sz w:val="26"/>
          <w:szCs w:val="26"/>
        </w:rPr>
        <w:t xml:space="preserve">Прогнозом предусматривается повышение уровня материального обеспечения пенсионеров в течение всего прогнозного периода. В текущем году пенсии были проиндексированы на 4 процента. При этом в соответствии с Федеральным законом от </w:t>
      </w:r>
      <w:r w:rsidR="00535563" w:rsidRPr="00BF0050">
        <w:rPr>
          <w:sz w:val="26"/>
          <w:szCs w:val="26"/>
        </w:rPr>
        <w:t>29 </w:t>
      </w:r>
      <w:r w:rsidRPr="00BF0050">
        <w:rPr>
          <w:sz w:val="26"/>
          <w:szCs w:val="26"/>
        </w:rPr>
        <w:t xml:space="preserve">декабря 2015 </w:t>
      </w:r>
      <w:r w:rsidR="000A51CA" w:rsidRPr="00BF0050">
        <w:rPr>
          <w:sz w:val="26"/>
          <w:szCs w:val="26"/>
        </w:rPr>
        <w:t xml:space="preserve">г. </w:t>
      </w:r>
      <w:r w:rsidRPr="00BF0050">
        <w:rPr>
          <w:sz w:val="26"/>
          <w:szCs w:val="26"/>
        </w:rPr>
        <w:t xml:space="preserve">№ 385-ФЗ пенсионерам, осуществляющим трудовую деятельность, страховая пенсия и фиксированная выплата к ней </w:t>
      </w:r>
      <w:r w:rsidR="00265BE8" w:rsidRPr="00BF0050">
        <w:rPr>
          <w:sz w:val="26"/>
          <w:szCs w:val="26"/>
        </w:rPr>
        <w:t xml:space="preserve">выплачиваются </w:t>
      </w:r>
      <w:r w:rsidRPr="00BF0050">
        <w:rPr>
          <w:sz w:val="26"/>
          <w:szCs w:val="26"/>
        </w:rPr>
        <w:t xml:space="preserve">без учета индексации </w:t>
      </w:r>
      <w:r w:rsidR="00535563" w:rsidRPr="00BF0050">
        <w:rPr>
          <w:sz w:val="26"/>
          <w:szCs w:val="26"/>
        </w:rPr>
        <w:t xml:space="preserve">    </w:t>
      </w:r>
      <w:r w:rsidRPr="00BF0050">
        <w:rPr>
          <w:sz w:val="26"/>
          <w:szCs w:val="26"/>
        </w:rPr>
        <w:t>(в случае ухода с работы выплата пенсии осуществляется с учетом всех произведенных индексаций).</w:t>
      </w:r>
    </w:p>
    <w:p w:rsidR="00F00EB9" w:rsidRPr="00BF0050" w:rsidRDefault="00F00EB9" w:rsidP="00F00EB9">
      <w:pPr>
        <w:spacing w:before="0" w:after="0"/>
        <w:jc w:val="both"/>
        <w:rPr>
          <w:sz w:val="26"/>
          <w:szCs w:val="26"/>
        </w:rPr>
      </w:pPr>
      <w:r w:rsidRPr="00BF0050">
        <w:rPr>
          <w:sz w:val="26"/>
          <w:szCs w:val="26"/>
        </w:rPr>
        <w:t xml:space="preserve">Возможность проведения дополнительной индексации страховых пенсий в текущем году будет определена по итогам первого полугодия 2016 </w:t>
      </w:r>
      <w:r w:rsidR="000A51CA" w:rsidRPr="00BF0050">
        <w:rPr>
          <w:sz w:val="26"/>
          <w:szCs w:val="26"/>
        </w:rPr>
        <w:t xml:space="preserve">г. </w:t>
      </w:r>
      <w:r w:rsidRPr="00BF0050">
        <w:rPr>
          <w:sz w:val="26"/>
          <w:szCs w:val="26"/>
        </w:rPr>
        <w:t>с</w:t>
      </w:r>
      <w:r w:rsidR="000A51CA" w:rsidRPr="00BF0050">
        <w:rPr>
          <w:sz w:val="26"/>
          <w:szCs w:val="26"/>
        </w:rPr>
        <w:t>  </w:t>
      </w:r>
      <w:r w:rsidR="000A51CA" w:rsidRPr="00BF0050">
        <w:t>  </w:t>
      </w:r>
      <w:r w:rsidRPr="00BF0050">
        <w:rPr>
          <w:sz w:val="26"/>
          <w:szCs w:val="26"/>
        </w:rPr>
        <w:t xml:space="preserve">учетом ситуации, складывающейся </w:t>
      </w:r>
      <w:r w:rsidR="00535563" w:rsidRPr="00BF0050">
        <w:rPr>
          <w:sz w:val="26"/>
          <w:szCs w:val="26"/>
        </w:rPr>
        <w:t xml:space="preserve">         </w:t>
      </w:r>
      <w:r w:rsidRPr="00BF0050">
        <w:rPr>
          <w:sz w:val="26"/>
          <w:szCs w:val="26"/>
        </w:rPr>
        <w:t>в экономике и социальной сфере.</w:t>
      </w:r>
    </w:p>
    <w:p w:rsidR="00F00EB9" w:rsidRPr="00BF0050" w:rsidRDefault="00F00EB9" w:rsidP="00F00EB9">
      <w:pPr>
        <w:spacing w:before="0" w:after="0"/>
        <w:jc w:val="both"/>
        <w:rPr>
          <w:sz w:val="26"/>
          <w:szCs w:val="26"/>
        </w:rPr>
      </w:pPr>
      <w:r w:rsidRPr="00BF0050">
        <w:rPr>
          <w:sz w:val="26"/>
          <w:szCs w:val="26"/>
        </w:rPr>
        <w:t>В целом за 2016</w:t>
      </w:r>
      <w:r w:rsidR="000A51CA" w:rsidRPr="00BF0050">
        <w:rPr>
          <w:sz w:val="26"/>
          <w:szCs w:val="26"/>
        </w:rPr>
        <w:t> </w:t>
      </w:r>
      <w:r w:rsidRPr="00BF0050">
        <w:rPr>
          <w:sz w:val="26"/>
          <w:szCs w:val="26"/>
        </w:rPr>
        <w:t>–</w:t>
      </w:r>
      <w:r w:rsidR="000A51CA" w:rsidRPr="00BF0050">
        <w:rPr>
          <w:sz w:val="26"/>
          <w:szCs w:val="26"/>
        </w:rPr>
        <w:t> </w:t>
      </w:r>
      <w:r w:rsidRPr="00BF0050">
        <w:rPr>
          <w:sz w:val="26"/>
          <w:szCs w:val="26"/>
        </w:rPr>
        <w:t>2019 гг. средний размер страховой пенсии вырастет в номинальном выражении на 15 процентов. Соотношение страховой пенсии с  прожиточным минимумом пенсионера составит 135 % в 2019 году.</w:t>
      </w:r>
    </w:p>
    <w:p w:rsidR="00F00EB9" w:rsidRPr="00BF0050" w:rsidRDefault="00F00EB9" w:rsidP="00F00EB9">
      <w:pPr>
        <w:autoSpaceDE w:val="0"/>
        <w:autoSpaceDN w:val="0"/>
        <w:adjustRightInd w:val="0"/>
        <w:spacing w:before="0" w:after="0"/>
        <w:jc w:val="both"/>
        <w:rPr>
          <w:sz w:val="26"/>
          <w:szCs w:val="26"/>
        </w:rPr>
      </w:pPr>
      <w:r w:rsidRPr="00BF0050">
        <w:rPr>
          <w:sz w:val="26"/>
          <w:szCs w:val="26"/>
        </w:rPr>
        <w:t xml:space="preserve">Динамика реальных располагаемых доходов населения, как и реальной заработной платы, в 2016 году останется в области отрицательных значений. </w:t>
      </w:r>
    </w:p>
    <w:p w:rsidR="00F00EB9" w:rsidRPr="00BF0050" w:rsidRDefault="00F00EB9" w:rsidP="00F00EB9">
      <w:pPr>
        <w:widowControl w:val="0"/>
        <w:autoSpaceDE w:val="0"/>
        <w:autoSpaceDN w:val="0"/>
        <w:adjustRightInd w:val="0"/>
        <w:spacing w:before="0" w:after="0"/>
        <w:jc w:val="both"/>
        <w:rPr>
          <w:sz w:val="26"/>
          <w:szCs w:val="26"/>
        </w:rPr>
      </w:pPr>
      <w:r w:rsidRPr="00BF0050">
        <w:rPr>
          <w:sz w:val="26"/>
          <w:szCs w:val="26"/>
        </w:rPr>
        <w:t xml:space="preserve">При этом в 2016 году, в отличие от 2015 года, сокращение реальных располагаемых доходов будет большим, чем реальной заработной платы, и составит 2,8 процента. Ожидается, что в 2016 году динамика отдельных компонентов доходов будет более сдержанной по сравнению с прошлым годом. Во-первых, индексация пенсий на целевую инфляцию не обеспечит существенного роста социальных трансфертов. </w:t>
      </w:r>
      <w:r w:rsidR="00535563" w:rsidRPr="00BF0050">
        <w:rPr>
          <w:sz w:val="26"/>
          <w:szCs w:val="26"/>
        </w:rPr>
        <w:t xml:space="preserve">      </w:t>
      </w:r>
      <w:r w:rsidRPr="00BF0050">
        <w:rPr>
          <w:sz w:val="26"/>
          <w:szCs w:val="26"/>
        </w:rPr>
        <w:t>Во-вторых, ожидается замедление динамики доходов от собственности в результате постепенного снижения банками процентной ставки по депозитам. Кроме того, постепенно будет исчерпан положительный эффект от замедления динамики обязательных платежей.</w:t>
      </w:r>
    </w:p>
    <w:p w:rsidR="00F00EB9" w:rsidRPr="00BF0050" w:rsidRDefault="00F00EB9" w:rsidP="00F00EB9">
      <w:pPr>
        <w:widowControl w:val="0"/>
        <w:autoSpaceDE w:val="0"/>
        <w:autoSpaceDN w:val="0"/>
        <w:adjustRightInd w:val="0"/>
        <w:spacing w:before="0" w:after="0"/>
        <w:jc w:val="both"/>
        <w:rPr>
          <w:rFonts w:ascii="Arial" w:hAnsi="Arial" w:cs="Arial"/>
          <w:noProof/>
        </w:rPr>
      </w:pPr>
      <w:r w:rsidRPr="00BF0050">
        <w:rPr>
          <w:sz w:val="26"/>
          <w:szCs w:val="26"/>
        </w:rPr>
        <w:t xml:space="preserve">В 2017 году рост реальных располагаемых доходов населения  возобновится, этому будет способствовать положительная динамика реальной заработной платы и доходов от предпринимательской деятельности в условиях постепенного восстановления экономики. </w:t>
      </w:r>
      <w:r w:rsidRPr="00BF0050">
        <w:rPr>
          <w:sz w:val="26"/>
          <w:szCs w:val="26"/>
        </w:rPr>
        <w:lastRenderedPageBreak/>
        <w:t xml:space="preserve">В 2017 – 2019 гг. среднегодовые темпы роста </w:t>
      </w:r>
      <w:proofErr w:type="gramStart"/>
      <w:r w:rsidRPr="00BF0050">
        <w:rPr>
          <w:sz w:val="26"/>
          <w:szCs w:val="26"/>
        </w:rPr>
        <w:t>реальных</w:t>
      </w:r>
      <w:proofErr w:type="gramEnd"/>
      <w:r w:rsidRPr="00BF0050">
        <w:rPr>
          <w:sz w:val="26"/>
          <w:szCs w:val="26"/>
        </w:rPr>
        <w:t xml:space="preserve"> располагаемых доходов составят 1 %, в 2019 году практически удастся достигнуть уровень 2015 года.</w:t>
      </w:r>
      <w:r w:rsidRPr="00BF0050">
        <w:rPr>
          <w:rFonts w:ascii="Arial" w:hAnsi="Arial" w:cs="Arial"/>
          <w:noProof/>
        </w:rPr>
        <w:t xml:space="preserve"> </w:t>
      </w:r>
    </w:p>
    <w:tbl>
      <w:tblPr>
        <w:tblpPr w:leftFromText="180" w:rightFromText="180" w:vertAnchor="text" w:horzAnchor="margin" w:tblpXSpec="right" w:tblpY="1496"/>
        <w:tblOverlap w:val="never"/>
        <w:tblW w:w="5295" w:type="dxa"/>
        <w:tblLook w:val="04A0" w:firstRow="1" w:lastRow="0" w:firstColumn="1" w:lastColumn="0" w:noHBand="0" w:noVBand="1"/>
      </w:tblPr>
      <w:tblGrid>
        <w:gridCol w:w="5295"/>
      </w:tblGrid>
      <w:tr w:rsidR="00F00EB9" w:rsidRPr="00BF0050" w:rsidTr="00F00EB9">
        <w:trPr>
          <w:cantSplit/>
          <w:trHeight w:val="132"/>
        </w:trPr>
        <w:tc>
          <w:tcPr>
            <w:tcW w:w="5295" w:type="dxa"/>
          </w:tcPr>
          <w:p w:rsidR="00F00EB9" w:rsidRPr="00BF0050" w:rsidRDefault="00F00EB9" w:rsidP="00F00EB9">
            <w:pPr>
              <w:widowControl w:val="0"/>
              <w:autoSpaceDE w:val="0"/>
              <w:autoSpaceDN w:val="0"/>
              <w:adjustRightInd w:val="0"/>
              <w:spacing w:before="0" w:after="0"/>
              <w:jc w:val="both"/>
              <w:rPr>
                <w:noProof/>
                <w:sz w:val="22"/>
                <w:szCs w:val="22"/>
              </w:rPr>
            </w:pPr>
            <w:r w:rsidRPr="00BF0050">
              <w:rPr>
                <w:b/>
                <w:noProof/>
                <w:sz w:val="22"/>
                <w:szCs w:val="22"/>
              </w:rPr>
              <w:t>Потребление и доходы населения</w:t>
            </w:r>
          </w:p>
        </w:tc>
      </w:tr>
      <w:tr w:rsidR="00F00EB9" w:rsidRPr="00BF0050" w:rsidTr="00F00EB9">
        <w:trPr>
          <w:cantSplit/>
          <w:trHeight w:val="3373"/>
        </w:trPr>
        <w:tc>
          <w:tcPr>
            <w:tcW w:w="5295" w:type="dxa"/>
          </w:tcPr>
          <w:p w:rsidR="00F00EB9" w:rsidRPr="00BF0050" w:rsidRDefault="00F00EB9" w:rsidP="00F00EB9">
            <w:pPr>
              <w:widowControl w:val="0"/>
              <w:autoSpaceDE w:val="0"/>
              <w:autoSpaceDN w:val="0"/>
              <w:adjustRightInd w:val="0"/>
              <w:spacing w:before="0" w:after="0" w:line="240" w:lineRule="atLeast"/>
              <w:ind w:firstLine="0"/>
              <w:jc w:val="both"/>
              <w:rPr>
                <w:rFonts w:ascii="Arial" w:hAnsi="Arial" w:cs="Arial"/>
                <w:noProof/>
              </w:rPr>
            </w:pPr>
            <w:r w:rsidRPr="00BF0050">
              <w:rPr>
                <w:noProof/>
              </w:rPr>
              <w:drawing>
                <wp:anchor distT="0" distB="0" distL="114300" distR="114300" simplePos="0" relativeHeight="251689984" behindDoc="0" locked="0" layoutInCell="1" allowOverlap="1" wp14:anchorId="4D1431B9" wp14:editId="1AC45E2D">
                  <wp:simplePos x="0" y="0"/>
                  <wp:positionH relativeFrom="column">
                    <wp:posOffset>72390</wp:posOffset>
                  </wp:positionH>
                  <wp:positionV relativeFrom="paragraph">
                    <wp:posOffset>1905</wp:posOffset>
                  </wp:positionV>
                  <wp:extent cx="2926080" cy="2066925"/>
                  <wp:effectExtent l="0" t="0" r="7620"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6080" cy="2066925"/>
                          </a:xfrm>
                          <a:prstGeom prst="rect">
                            <a:avLst/>
                          </a:prstGeom>
                          <a:noFill/>
                        </pic:spPr>
                      </pic:pic>
                    </a:graphicData>
                  </a:graphic>
                  <wp14:sizeRelH relativeFrom="page">
                    <wp14:pctWidth>0</wp14:pctWidth>
                  </wp14:sizeRelH>
                  <wp14:sizeRelV relativeFrom="page">
                    <wp14:pctHeight>0</wp14:pctHeight>
                  </wp14:sizeRelV>
                </wp:anchor>
              </w:drawing>
            </w:r>
          </w:p>
        </w:tc>
      </w:tr>
      <w:tr w:rsidR="00F00EB9" w:rsidRPr="00BF0050" w:rsidTr="00F00EB9">
        <w:trPr>
          <w:cantSplit/>
          <w:trHeight w:val="20"/>
        </w:trPr>
        <w:tc>
          <w:tcPr>
            <w:tcW w:w="5295" w:type="dxa"/>
          </w:tcPr>
          <w:p w:rsidR="00F00EB9" w:rsidRPr="00BF0050" w:rsidRDefault="00F00EB9" w:rsidP="00F00EB9">
            <w:pPr>
              <w:spacing w:before="0" w:after="0" w:line="276" w:lineRule="auto"/>
              <w:ind w:firstLine="0"/>
              <w:jc w:val="both"/>
              <w:rPr>
                <w:rFonts w:ascii="Arial" w:hAnsi="Arial" w:cs="Arial"/>
                <w:noProof/>
                <w:sz w:val="18"/>
                <w:szCs w:val="18"/>
              </w:rPr>
            </w:pPr>
            <w:r w:rsidRPr="00BF0050">
              <w:rPr>
                <w:rFonts w:eastAsiaTheme="minorHAnsi"/>
                <w:i/>
                <w:noProof/>
                <w:sz w:val="18"/>
                <w:szCs w:val="18"/>
                <w:lang w:eastAsia="en-US"/>
              </w:rPr>
              <w:t>Источник: даннные Росстата, пронозные оценки Минэкономразвития России</w:t>
            </w:r>
          </w:p>
        </w:tc>
      </w:tr>
    </w:tbl>
    <w:p w:rsidR="00F00EB9" w:rsidRPr="00BF0050" w:rsidRDefault="00F00EB9" w:rsidP="00F00EB9">
      <w:pPr>
        <w:widowControl w:val="0"/>
        <w:autoSpaceDE w:val="0"/>
        <w:autoSpaceDN w:val="0"/>
        <w:adjustRightInd w:val="0"/>
        <w:spacing w:before="0" w:after="0"/>
        <w:jc w:val="both"/>
        <w:rPr>
          <w:sz w:val="26"/>
          <w:szCs w:val="26"/>
        </w:rPr>
      </w:pPr>
      <w:r w:rsidRPr="00BF0050">
        <w:rPr>
          <w:sz w:val="26"/>
          <w:szCs w:val="26"/>
        </w:rPr>
        <w:t>В условиях негативной экономической динамики и сокращения доходов население будет ограничивать текущее потребление. В результате в 2016 году продолжится сокращение оборота розничной торговли (-2,7 %) и платных услуг населению</w:t>
      </w:r>
      <w:r w:rsidRPr="00BF0050">
        <w:rPr>
          <w:sz w:val="26"/>
          <w:szCs w:val="26"/>
        </w:rPr>
        <w:br/>
        <w:t>(-0,7 процента). По мере роста реальных располагаемых доходов и реальной заработной платы ожидается постепенный отход населения от сберегательной модели поведения и</w:t>
      </w:r>
      <w:r w:rsidR="00265BE8" w:rsidRPr="00BF0050">
        <w:rPr>
          <w:sz w:val="26"/>
          <w:szCs w:val="26"/>
        </w:rPr>
        <w:t>            </w:t>
      </w:r>
      <w:r w:rsidRPr="00BF0050">
        <w:rPr>
          <w:sz w:val="26"/>
          <w:szCs w:val="26"/>
        </w:rPr>
        <w:t xml:space="preserve"> восстановление потребительской активности. Склонность населения к сбережению снизится </w:t>
      </w:r>
      <w:r w:rsidR="00265BE8" w:rsidRPr="00BF0050">
        <w:rPr>
          <w:sz w:val="26"/>
          <w:szCs w:val="26"/>
        </w:rPr>
        <w:t>с </w:t>
      </w:r>
      <w:r w:rsidRPr="00BF0050">
        <w:rPr>
          <w:sz w:val="26"/>
          <w:szCs w:val="26"/>
        </w:rPr>
        <w:t xml:space="preserve">15,3 % в 2016 году до 11,9 % </w:t>
      </w:r>
      <w:r w:rsidR="00265BE8" w:rsidRPr="00BF0050">
        <w:rPr>
          <w:sz w:val="26"/>
          <w:szCs w:val="26"/>
        </w:rPr>
        <w:t xml:space="preserve">                  </w:t>
      </w:r>
      <w:r w:rsidRPr="00BF0050">
        <w:rPr>
          <w:sz w:val="26"/>
          <w:szCs w:val="26"/>
        </w:rPr>
        <w:t>в 2019 году. Динамика оборота розничной торговли вслед за доходами вернется в область положительных значений в 2017 году: ожидаемый рост составит 1,1 процента. Восстановление потребительского кредитования, ожидаемое в 2018 – 2019 гг., ускорит динамику оборота розничной торговли до 2,6</w:t>
      </w:r>
      <w:r w:rsidR="00265BE8" w:rsidRPr="00BF0050">
        <w:rPr>
          <w:sz w:val="26"/>
          <w:szCs w:val="26"/>
        </w:rPr>
        <w:t>–</w:t>
      </w:r>
      <w:r w:rsidRPr="00BF0050">
        <w:rPr>
          <w:sz w:val="26"/>
          <w:szCs w:val="26"/>
        </w:rPr>
        <w:t>3,3 процента. Динамика платных услуг населению ускорится с 1,2 % в 2017 году до 3,1 % в 2019 году.</w:t>
      </w:r>
    </w:p>
    <w:p w:rsidR="00F00EB9" w:rsidRPr="00BF0050" w:rsidRDefault="00F00EB9" w:rsidP="000D5110">
      <w:pPr>
        <w:spacing w:before="0" w:after="0"/>
        <w:jc w:val="both"/>
        <w:rPr>
          <w:sz w:val="26"/>
          <w:szCs w:val="26"/>
        </w:rPr>
      </w:pPr>
      <w:r w:rsidRPr="00BF0050">
        <w:rPr>
          <w:sz w:val="26"/>
          <w:szCs w:val="26"/>
        </w:rPr>
        <w:t xml:space="preserve">Прогноз величины прожиточного минимума рассчитан в соответствии с Федеральным законом от 3 декабря 2012 г. № 227-ФЗ «О потребительской корзине в целом по Российской Федерации». </w:t>
      </w:r>
    </w:p>
    <w:p w:rsidR="00F00EB9" w:rsidRPr="00BF0050" w:rsidRDefault="00F00EB9" w:rsidP="00F00EB9">
      <w:pPr>
        <w:widowControl w:val="0"/>
        <w:autoSpaceDE w:val="0"/>
        <w:autoSpaceDN w:val="0"/>
        <w:adjustRightInd w:val="0"/>
        <w:spacing w:before="0" w:after="0"/>
        <w:jc w:val="both"/>
        <w:rPr>
          <w:sz w:val="26"/>
          <w:szCs w:val="26"/>
        </w:rPr>
      </w:pPr>
      <w:r w:rsidRPr="00BF0050">
        <w:rPr>
          <w:sz w:val="26"/>
          <w:szCs w:val="26"/>
        </w:rPr>
        <w:t>В прогнозе дополнительно учтено увеличение величины прожиточного минимума на 5 % в связи с введением в 2018 году новой потребительской корзины, которая в соответствии с частью 1 статьи 3 Федерального закона от 24</w:t>
      </w:r>
      <w:r w:rsidR="00E53F91" w:rsidRPr="00BF0050">
        <w:rPr>
          <w:sz w:val="26"/>
          <w:szCs w:val="26"/>
        </w:rPr>
        <w:t xml:space="preserve"> октября </w:t>
      </w:r>
      <w:r w:rsidRPr="00BF0050">
        <w:rPr>
          <w:sz w:val="26"/>
          <w:szCs w:val="26"/>
        </w:rPr>
        <w:t xml:space="preserve">1997 г. </w:t>
      </w:r>
      <w:r w:rsidR="00E53F91" w:rsidRPr="00BF0050">
        <w:rPr>
          <w:sz w:val="26"/>
          <w:szCs w:val="26"/>
        </w:rPr>
        <w:t xml:space="preserve">           </w:t>
      </w:r>
      <w:r w:rsidRPr="00BF0050">
        <w:rPr>
          <w:sz w:val="26"/>
          <w:szCs w:val="26"/>
        </w:rPr>
        <w:t xml:space="preserve">№ 134-ФЗ «О прожиточном минимуме в Российской Федерации» определяется не реже одного раза в пять лет. </w:t>
      </w:r>
    </w:p>
    <w:p w:rsidR="00F00EB9" w:rsidRPr="00BF0050" w:rsidRDefault="00F00EB9" w:rsidP="00F00EB9">
      <w:pPr>
        <w:widowControl w:val="0"/>
        <w:autoSpaceDE w:val="0"/>
        <w:autoSpaceDN w:val="0"/>
        <w:adjustRightInd w:val="0"/>
        <w:spacing w:before="0" w:after="0"/>
        <w:jc w:val="both"/>
        <w:rPr>
          <w:sz w:val="26"/>
          <w:szCs w:val="26"/>
        </w:rPr>
      </w:pPr>
      <w:r w:rsidRPr="00BF0050">
        <w:rPr>
          <w:sz w:val="26"/>
          <w:szCs w:val="26"/>
        </w:rPr>
        <w:t>В результате в 2019 году величина прожиточного минимума в среднем на душу населения  составит 12603 рубля и относительно 2015 года вырастет на 29,9 процента.</w:t>
      </w:r>
    </w:p>
    <w:p w:rsidR="00F00EB9" w:rsidRPr="00BF0050" w:rsidRDefault="00F00EB9" w:rsidP="00B460B2">
      <w:pPr>
        <w:widowControl w:val="0"/>
        <w:autoSpaceDE w:val="0"/>
        <w:autoSpaceDN w:val="0"/>
        <w:adjustRightInd w:val="0"/>
        <w:spacing w:before="0" w:after="240"/>
        <w:jc w:val="both"/>
        <w:rPr>
          <w:sz w:val="26"/>
          <w:szCs w:val="26"/>
        </w:rPr>
      </w:pPr>
      <w:r w:rsidRPr="00BF0050">
        <w:rPr>
          <w:sz w:val="26"/>
          <w:szCs w:val="26"/>
        </w:rPr>
        <w:t>Сокращение реальных располагаемых доходов населения при одновременном росте прожиточного минимума может привести к увеличению доли населения с доходами ниже прожиточного минимума в 2016 году до 13,7 процента. По мере восстановления роста денежных доходов населения уровень бедности будет постепенно снижаться. Однако с учетом увеличения стоимости потребительской корзины в 2018 году эта тенденция приостановится. В 2019 году доля бедного населения снизится до 13,1 процента.</w:t>
      </w:r>
    </w:p>
    <w:p w:rsidR="008143E7" w:rsidRPr="00BF0050" w:rsidRDefault="008143E7" w:rsidP="00B460B2">
      <w:pPr>
        <w:widowControl w:val="0"/>
        <w:autoSpaceDE w:val="0"/>
        <w:autoSpaceDN w:val="0"/>
        <w:adjustRightInd w:val="0"/>
        <w:spacing w:before="0" w:after="240"/>
        <w:jc w:val="both"/>
        <w:rPr>
          <w:sz w:val="26"/>
          <w:szCs w:val="26"/>
        </w:rPr>
      </w:pPr>
    </w:p>
    <w:p w:rsidR="00594354" w:rsidRPr="00BF0050" w:rsidRDefault="00594354" w:rsidP="00B460B2">
      <w:pPr>
        <w:pStyle w:val="1"/>
        <w:numPr>
          <w:ilvl w:val="0"/>
          <w:numId w:val="3"/>
        </w:numPr>
        <w:spacing w:before="240" w:after="240" w:line="360" w:lineRule="auto"/>
        <w:ind w:left="0" w:firstLine="0"/>
        <w:jc w:val="center"/>
        <w:rPr>
          <w:rFonts w:ascii="Times New Roman" w:hAnsi="Times New Roman"/>
          <w:color w:val="auto"/>
          <w:sz w:val="26"/>
          <w:szCs w:val="26"/>
        </w:rPr>
      </w:pPr>
      <w:bookmarkStart w:id="36" w:name="_Toc447812944"/>
      <w:bookmarkEnd w:id="35"/>
      <w:r w:rsidRPr="00BF0050">
        <w:rPr>
          <w:rFonts w:ascii="Times New Roman" w:hAnsi="Times New Roman"/>
          <w:color w:val="auto"/>
          <w:sz w:val="26"/>
          <w:szCs w:val="26"/>
        </w:rPr>
        <w:lastRenderedPageBreak/>
        <w:t>Структурные  сдвиги в реальном секторе экономики</w:t>
      </w:r>
      <w:bookmarkEnd w:id="36"/>
    </w:p>
    <w:p w:rsidR="00640E62" w:rsidRPr="00BF0050" w:rsidRDefault="00640E62" w:rsidP="00B460B2">
      <w:pPr>
        <w:spacing w:before="240" w:after="240"/>
        <w:contextualSpacing/>
        <w:jc w:val="both"/>
        <w:rPr>
          <w:b/>
          <w:sz w:val="26"/>
          <w:szCs w:val="26"/>
        </w:rPr>
      </w:pPr>
      <w:r w:rsidRPr="00BF0050">
        <w:rPr>
          <w:b/>
          <w:sz w:val="26"/>
          <w:szCs w:val="26"/>
        </w:rPr>
        <w:t>Топливно-энергетический комплекс</w:t>
      </w:r>
    </w:p>
    <w:p w:rsidR="008143E7" w:rsidRPr="00BF0050" w:rsidRDefault="008143E7" w:rsidP="00B460B2">
      <w:pPr>
        <w:spacing w:before="240" w:after="240"/>
        <w:contextualSpacing/>
        <w:jc w:val="both"/>
        <w:rPr>
          <w:b/>
          <w:sz w:val="26"/>
          <w:szCs w:val="26"/>
        </w:rPr>
      </w:pPr>
    </w:p>
    <w:p w:rsidR="00640E62" w:rsidRPr="00BF0050" w:rsidRDefault="00640E62" w:rsidP="00B460B2">
      <w:pPr>
        <w:spacing w:before="240" w:after="0"/>
        <w:contextualSpacing/>
        <w:jc w:val="both"/>
        <w:rPr>
          <w:sz w:val="26"/>
          <w:szCs w:val="26"/>
        </w:rPr>
      </w:pPr>
      <w:r w:rsidRPr="00BF0050">
        <w:rPr>
          <w:sz w:val="26"/>
          <w:szCs w:val="26"/>
        </w:rPr>
        <w:t>В период 2016</w:t>
      </w:r>
      <w:r w:rsidR="00EC6548" w:rsidRPr="00BF0050">
        <w:rPr>
          <w:sz w:val="26"/>
          <w:szCs w:val="26"/>
        </w:rPr>
        <w:t> </w:t>
      </w:r>
      <w:r w:rsidRPr="00BF0050">
        <w:rPr>
          <w:sz w:val="26"/>
          <w:szCs w:val="26"/>
        </w:rPr>
        <w:t>–</w:t>
      </w:r>
      <w:r w:rsidR="00EC6548" w:rsidRPr="00BF0050">
        <w:rPr>
          <w:sz w:val="26"/>
          <w:szCs w:val="26"/>
        </w:rPr>
        <w:t> </w:t>
      </w:r>
      <w:r w:rsidRPr="00BF0050">
        <w:rPr>
          <w:sz w:val="26"/>
          <w:szCs w:val="26"/>
        </w:rPr>
        <w:t>2019 г</w:t>
      </w:r>
      <w:r w:rsidR="001F14D2" w:rsidRPr="00BF0050">
        <w:rPr>
          <w:sz w:val="26"/>
          <w:szCs w:val="26"/>
        </w:rPr>
        <w:t>г.</w:t>
      </w:r>
      <w:r w:rsidRPr="00BF0050">
        <w:rPr>
          <w:sz w:val="26"/>
          <w:szCs w:val="26"/>
        </w:rPr>
        <w:t xml:space="preserve"> прогнозируется умеренный рост добычи </w:t>
      </w:r>
      <w:r w:rsidR="00EC6548" w:rsidRPr="00BF0050">
        <w:rPr>
          <w:sz w:val="26"/>
          <w:szCs w:val="26"/>
        </w:rPr>
        <w:t>и </w:t>
      </w:r>
      <w:r w:rsidRPr="00BF0050">
        <w:rPr>
          <w:sz w:val="26"/>
          <w:szCs w:val="26"/>
        </w:rPr>
        <w:t>производства топливно-энергетических ресурсов (за исключением нефти).</w:t>
      </w:r>
    </w:p>
    <w:p w:rsidR="00640E62" w:rsidRPr="00BF0050" w:rsidRDefault="00640E62" w:rsidP="00640E62">
      <w:pPr>
        <w:spacing w:before="0" w:after="0"/>
        <w:contextualSpacing/>
        <w:jc w:val="both"/>
        <w:rPr>
          <w:sz w:val="26"/>
          <w:szCs w:val="26"/>
        </w:rPr>
      </w:pPr>
      <w:r w:rsidRPr="00BF0050">
        <w:rPr>
          <w:sz w:val="26"/>
          <w:szCs w:val="26"/>
        </w:rPr>
        <w:t>Девальвация рубля будет являться положительным фактором развития экспорт</w:t>
      </w:r>
      <w:r w:rsidR="00586026" w:rsidRPr="00BF0050">
        <w:rPr>
          <w:sz w:val="26"/>
          <w:szCs w:val="26"/>
        </w:rPr>
        <w:t>н</w:t>
      </w:r>
      <w:r w:rsidRPr="00BF0050">
        <w:rPr>
          <w:sz w:val="26"/>
          <w:szCs w:val="26"/>
        </w:rPr>
        <w:t>о</w:t>
      </w:r>
      <w:r w:rsidR="00586026" w:rsidRPr="00BF0050">
        <w:rPr>
          <w:sz w:val="26"/>
          <w:szCs w:val="26"/>
        </w:rPr>
        <w:t xml:space="preserve"> </w:t>
      </w:r>
      <w:r w:rsidRPr="00BF0050">
        <w:rPr>
          <w:sz w:val="26"/>
          <w:szCs w:val="26"/>
        </w:rPr>
        <w:t xml:space="preserve">ориентированных секторов </w:t>
      </w:r>
      <w:r w:rsidR="00E53F91" w:rsidRPr="00BF0050">
        <w:rPr>
          <w:sz w:val="26"/>
          <w:szCs w:val="26"/>
        </w:rPr>
        <w:t>топливно-энергетического комплекса</w:t>
      </w:r>
      <w:r w:rsidRPr="00BF0050">
        <w:rPr>
          <w:sz w:val="26"/>
          <w:szCs w:val="26"/>
        </w:rPr>
        <w:t>, при этом мировая конъюнктура цен и спрос на энергоресурсы,</w:t>
      </w:r>
      <w:r w:rsidR="00EC6548" w:rsidRPr="00BF0050">
        <w:rPr>
          <w:sz w:val="26"/>
          <w:szCs w:val="26"/>
        </w:rPr>
        <w:t xml:space="preserve"> а также</w:t>
      </w:r>
      <w:r w:rsidRPr="00BF0050">
        <w:rPr>
          <w:sz w:val="26"/>
          <w:szCs w:val="26"/>
        </w:rPr>
        <w:t xml:space="preserve"> санкционные ограничения технологий и кредитов негативно отразятся на возможностях развития ТЭК в </w:t>
      </w:r>
      <w:r w:rsidR="00EC6548" w:rsidRPr="00BF0050">
        <w:rPr>
          <w:sz w:val="26"/>
          <w:szCs w:val="26"/>
        </w:rPr>
        <w:t xml:space="preserve">прогнозный </w:t>
      </w:r>
      <w:r w:rsidRPr="00BF0050">
        <w:rPr>
          <w:sz w:val="26"/>
          <w:szCs w:val="26"/>
        </w:rPr>
        <w:t>период.</w:t>
      </w:r>
    </w:p>
    <w:p w:rsidR="00E24AA4" w:rsidRPr="00BF0050" w:rsidRDefault="00E24AA4" w:rsidP="00E24AA4">
      <w:pPr>
        <w:spacing w:before="0" w:after="0"/>
        <w:contextualSpacing/>
        <w:jc w:val="both"/>
        <w:rPr>
          <w:sz w:val="26"/>
          <w:szCs w:val="26"/>
        </w:rPr>
      </w:pPr>
      <w:r w:rsidRPr="00BF0050">
        <w:rPr>
          <w:sz w:val="26"/>
          <w:szCs w:val="26"/>
        </w:rPr>
        <w:t xml:space="preserve">В 2016 году объем </w:t>
      </w:r>
      <w:r w:rsidRPr="00BF0050">
        <w:rPr>
          <w:b/>
          <w:sz w:val="26"/>
          <w:szCs w:val="26"/>
        </w:rPr>
        <w:t>добычи нефти</w:t>
      </w:r>
      <w:r w:rsidRPr="00BF0050">
        <w:rPr>
          <w:sz w:val="26"/>
          <w:szCs w:val="26"/>
        </w:rPr>
        <w:t xml:space="preserve"> оценивается на уровне 538 млн. т, </w:t>
      </w:r>
      <w:r w:rsidRPr="00BF0050">
        <w:rPr>
          <w:sz w:val="26"/>
          <w:szCs w:val="26"/>
        </w:rPr>
        <w:br/>
        <w:t>при этом, несмотря на экономическую привлекательность экспорта нефти по сравнению</w:t>
      </w:r>
      <w:r w:rsidRPr="00BF0050">
        <w:rPr>
          <w:sz w:val="26"/>
          <w:szCs w:val="26"/>
        </w:rPr>
        <w:br/>
        <w:t xml:space="preserve"> с нефтепродукт</w:t>
      </w:r>
      <w:r w:rsidR="00290769" w:rsidRPr="00BF0050">
        <w:rPr>
          <w:sz w:val="26"/>
          <w:szCs w:val="26"/>
        </w:rPr>
        <w:t>ами</w:t>
      </w:r>
      <w:r w:rsidRPr="00BF0050">
        <w:rPr>
          <w:sz w:val="26"/>
          <w:szCs w:val="26"/>
        </w:rPr>
        <w:t xml:space="preserve"> из-за принятого «налогового маневра», ожидается снижение экспорта нефти (99,</w:t>
      </w:r>
      <w:r w:rsidR="00290769" w:rsidRPr="00BF0050">
        <w:rPr>
          <w:sz w:val="26"/>
          <w:szCs w:val="26"/>
        </w:rPr>
        <w:t>4</w:t>
      </w:r>
      <w:r w:rsidRPr="00BF0050">
        <w:rPr>
          <w:sz w:val="26"/>
          <w:szCs w:val="26"/>
        </w:rPr>
        <w:t> % к 2015 году) что обусловлено тенденциями мировой конъюнктуры на рынке нефти.</w:t>
      </w:r>
    </w:p>
    <w:p w:rsidR="00E24AA4" w:rsidRPr="00BF0050" w:rsidRDefault="00E24AA4" w:rsidP="00E24AA4">
      <w:pPr>
        <w:spacing w:before="0" w:after="0"/>
        <w:contextualSpacing/>
        <w:jc w:val="both"/>
        <w:rPr>
          <w:sz w:val="26"/>
          <w:szCs w:val="26"/>
        </w:rPr>
      </w:pPr>
      <w:r w:rsidRPr="00BF0050">
        <w:rPr>
          <w:sz w:val="26"/>
          <w:szCs w:val="26"/>
        </w:rPr>
        <w:t>Объем поставок нефти на российские нефтеперерабатывающие заводы</w:t>
      </w:r>
      <w:r w:rsidRPr="00BF0050">
        <w:rPr>
          <w:sz w:val="26"/>
          <w:szCs w:val="26"/>
        </w:rPr>
        <w:br/>
        <w:t xml:space="preserve"> в 2016 году будет незначительно снижаться (99,6 % к 2015 году) с учетом обеспечения внутреннего рынка и текущих тенденций экспорта нефтепродуктов. </w:t>
      </w:r>
    </w:p>
    <w:p w:rsidR="00E24AA4" w:rsidRPr="00BF0050" w:rsidRDefault="00E24AA4" w:rsidP="00E24AA4">
      <w:pPr>
        <w:spacing w:before="0" w:after="0"/>
        <w:contextualSpacing/>
        <w:jc w:val="both"/>
        <w:rPr>
          <w:sz w:val="26"/>
          <w:szCs w:val="26"/>
        </w:rPr>
      </w:pPr>
      <w:r w:rsidRPr="00BF0050">
        <w:rPr>
          <w:sz w:val="26"/>
          <w:szCs w:val="26"/>
        </w:rPr>
        <w:t>В сложившейся экономической ситуации (мировая конъюнктура цен на нефть, девальвация рубля, налоговый маневр, санкции в отношении отдельных нефтяных компаний) по базовому варианту прогнозируется снижение добычи к 2019 году</w:t>
      </w:r>
      <w:r w:rsidRPr="00BF0050">
        <w:rPr>
          <w:sz w:val="26"/>
          <w:szCs w:val="26"/>
        </w:rPr>
        <w:br/>
        <w:t xml:space="preserve"> до 53</w:t>
      </w:r>
      <w:r w:rsidR="000560A8" w:rsidRPr="00BF0050">
        <w:rPr>
          <w:sz w:val="26"/>
          <w:szCs w:val="26"/>
        </w:rPr>
        <w:t>2</w:t>
      </w:r>
      <w:r w:rsidRPr="00BF0050">
        <w:rPr>
          <w:sz w:val="26"/>
          <w:szCs w:val="26"/>
        </w:rPr>
        <w:t xml:space="preserve"> млн. тонн.</w:t>
      </w:r>
    </w:p>
    <w:p w:rsidR="00E24AA4" w:rsidRPr="00BF0050" w:rsidRDefault="00E24AA4" w:rsidP="00E24AA4">
      <w:pPr>
        <w:spacing w:before="0" w:after="0"/>
        <w:contextualSpacing/>
        <w:jc w:val="both"/>
        <w:rPr>
          <w:sz w:val="26"/>
          <w:szCs w:val="26"/>
        </w:rPr>
      </w:pPr>
      <w:r w:rsidRPr="00BF0050">
        <w:rPr>
          <w:sz w:val="26"/>
          <w:szCs w:val="26"/>
        </w:rPr>
        <w:t>Продолжится снижение добычи нефти в Западной Сибири, компенсировать которое ростом добычи в Восточной Сибири и Тимано-Печорской провинции не удастся.</w:t>
      </w:r>
    </w:p>
    <w:p w:rsidR="00E24AA4" w:rsidRPr="00BF0050" w:rsidRDefault="00E24AA4" w:rsidP="00E24AA4">
      <w:pPr>
        <w:spacing w:before="0" w:after="0"/>
        <w:contextualSpacing/>
        <w:jc w:val="both"/>
        <w:rPr>
          <w:sz w:val="26"/>
          <w:szCs w:val="26"/>
        </w:rPr>
      </w:pPr>
      <w:r w:rsidRPr="00BF0050">
        <w:rPr>
          <w:sz w:val="26"/>
          <w:szCs w:val="26"/>
        </w:rPr>
        <w:t>Нехватка необходимых компетенций для реализации шельфовых и других сложных проектов при ограничениях импорта оборудования и технологий для их реализации негативно повлияет на динамику нефтедобычи. Для повышения конкурентоспособности российской нефтедобычи необходимым условием становится снижение себестоимости добычи и геологоразведки нефти с привлечением новых более экономичных технологий, реализация мероприятий по импортозамещению нефтегазового оборудования, а также создание благоприятных и эффективных налоговых условий.</w:t>
      </w:r>
    </w:p>
    <w:p w:rsidR="00E24AA4" w:rsidRPr="00BF0050" w:rsidRDefault="00E24AA4" w:rsidP="00E24AA4">
      <w:pPr>
        <w:spacing w:before="0" w:after="0"/>
        <w:contextualSpacing/>
        <w:jc w:val="both"/>
        <w:rPr>
          <w:sz w:val="26"/>
          <w:szCs w:val="26"/>
        </w:rPr>
      </w:pPr>
      <w:r w:rsidRPr="00BF0050">
        <w:rPr>
          <w:sz w:val="26"/>
          <w:szCs w:val="26"/>
        </w:rPr>
        <w:t>В базовом варианте прогнозируется менее интенсивное снижение добычи нефти, что связано с увеличением коэффициента извлечения нефти на «зрелых» месторождениях, внедрением новых технологий и вводом новых месторождений, расположенных в удаленных регионах со сложными условиями разработки.</w:t>
      </w:r>
    </w:p>
    <w:p w:rsidR="00E24AA4" w:rsidRPr="00BF0050" w:rsidRDefault="00E24AA4" w:rsidP="00E24AA4">
      <w:pPr>
        <w:spacing w:before="0" w:after="0"/>
        <w:contextualSpacing/>
        <w:jc w:val="both"/>
        <w:rPr>
          <w:sz w:val="26"/>
          <w:szCs w:val="26"/>
        </w:rPr>
      </w:pPr>
      <w:r w:rsidRPr="00BF0050">
        <w:rPr>
          <w:sz w:val="26"/>
          <w:szCs w:val="26"/>
        </w:rPr>
        <w:t>Экспорт нефти с учетом снижения первичной переработки нефти при постепенной модернизации нефтеперерабатывающих заводов и увеличения глубины переработки после снижения в 2016 – 2017 годах вырастет к 2019 году до 24</w:t>
      </w:r>
      <w:r w:rsidR="000560A8" w:rsidRPr="00BF0050">
        <w:rPr>
          <w:sz w:val="26"/>
          <w:szCs w:val="26"/>
        </w:rPr>
        <w:t>7</w:t>
      </w:r>
      <w:r w:rsidRPr="00BF0050">
        <w:rPr>
          <w:sz w:val="26"/>
          <w:szCs w:val="26"/>
        </w:rPr>
        <w:t>,</w:t>
      </w:r>
      <w:r w:rsidR="000560A8" w:rsidRPr="00BF0050">
        <w:rPr>
          <w:sz w:val="26"/>
          <w:szCs w:val="26"/>
        </w:rPr>
        <w:t>2</w:t>
      </w:r>
      <w:r w:rsidRPr="00BF0050">
        <w:rPr>
          <w:sz w:val="26"/>
          <w:szCs w:val="26"/>
        </w:rPr>
        <w:t xml:space="preserve"> млн. т (на </w:t>
      </w:r>
      <w:r w:rsidR="000560A8" w:rsidRPr="00BF0050">
        <w:rPr>
          <w:sz w:val="26"/>
          <w:szCs w:val="26"/>
        </w:rPr>
        <w:t>1,1</w:t>
      </w:r>
      <w:r w:rsidRPr="00BF0050">
        <w:rPr>
          <w:sz w:val="26"/>
          <w:szCs w:val="26"/>
        </w:rPr>
        <w:t xml:space="preserve"> % к уровню 2015 года) за счет роста поставок в страны дальнего зарубежья.  </w:t>
      </w:r>
    </w:p>
    <w:p w:rsidR="00E24AA4" w:rsidRPr="00BF0050" w:rsidRDefault="00E24AA4" w:rsidP="00E24AA4">
      <w:pPr>
        <w:spacing w:before="0" w:after="0"/>
        <w:contextualSpacing/>
        <w:jc w:val="both"/>
        <w:rPr>
          <w:sz w:val="26"/>
          <w:szCs w:val="26"/>
        </w:rPr>
      </w:pPr>
      <w:r w:rsidRPr="00BF0050">
        <w:rPr>
          <w:sz w:val="26"/>
          <w:szCs w:val="26"/>
        </w:rPr>
        <w:lastRenderedPageBreak/>
        <w:t>Прогнозируется оптимизация инвестиций в добычу нефти с учетом негативных тенденций внешнеэкономической конъюнктуры, кредитных рисков и ограничений, возможным переносом реализации проектов по освоению шельфа и трудноизвлекаемых запасов.</w:t>
      </w:r>
    </w:p>
    <w:p w:rsidR="00E24AA4" w:rsidRPr="00BF0050" w:rsidRDefault="00E24AA4" w:rsidP="00E24AA4">
      <w:pPr>
        <w:spacing w:before="0" w:after="0"/>
        <w:contextualSpacing/>
        <w:jc w:val="both"/>
        <w:rPr>
          <w:sz w:val="26"/>
          <w:szCs w:val="26"/>
        </w:rPr>
      </w:pPr>
      <w:r w:rsidRPr="00BF0050">
        <w:rPr>
          <w:sz w:val="26"/>
          <w:szCs w:val="26"/>
        </w:rPr>
        <w:t xml:space="preserve">Объем </w:t>
      </w:r>
      <w:r w:rsidRPr="00BF0050">
        <w:rPr>
          <w:b/>
          <w:sz w:val="26"/>
          <w:szCs w:val="26"/>
        </w:rPr>
        <w:t>добычи газа</w:t>
      </w:r>
      <w:r w:rsidRPr="00BF0050">
        <w:rPr>
          <w:sz w:val="26"/>
          <w:szCs w:val="26"/>
        </w:rPr>
        <w:t xml:space="preserve"> в 2016 году оценивается на уровне 641 млрд. куб. м, с учетом роста внутреннего потребления газа по сравнению с уровнем 2015 года за счет роста потребления газа электростанциями и котельными ЕЭС России. Экспорт сетевого газа</w:t>
      </w:r>
      <w:r w:rsidRPr="00BF0050">
        <w:rPr>
          <w:sz w:val="26"/>
          <w:szCs w:val="26"/>
        </w:rPr>
        <w:br/>
        <w:t xml:space="preserve"> в дальнее зарубежье уменьшится по сравнению с уровнем 2015 года в связи</w:t>
      </w:r>
      <w:r w:rsidRPr="00BF0050">
        <w:rPr>
          <w:sz w:val="26"/>
          <w:szCs w:val="26"/>
        </w:rPr>
        <w:br/>
        <w:t xml:space="preserve"> с намерениями стран Евросоюза снизить зависимость от импорта российского газа, замещением газа другими видами топлива, в том числе углем и возобновляемыми источниками энергии. При этом в условиях сложившихся взаимоотношений с Украиной поставки российского газа в Украину в 2016 году оцениваются не выше 11 млрд. куб. метров. К 2019 году удастся нарастить добычу газа до 676 млрд. куб. метров.</w:t>
      </w:r>
    </w:p>
    <w:p w:rsidR="00640E62" w:rsidRPr="00BF0050" w:rsidRDefault="00640E62" w:rsidP="00640E62">
      <w:pPr>
        <w:spacing w:before="0" w:after="0"/>
        <w:contextualSpacing/>
        <w:jc w:val="both"/>
        <w:rPr>
          <w:sz w:val="26"/>
          <w:szCs w:val="26"/>
        </w:rPr>
      </w:pPr>
      <w:r w:rsidRPr="00BF0050">
        <w:rPr>
          <w:sz w:val="26"/>
          <w:szCs w:val="26"/>
        </w:rPr>
        <w:t>До 2016 года экспорт сжиженного природного газа (далее – СПГ) в страны АТР сохранится на уровне 10 млн. тонн. В 2017 году с учетом запланированного на конец года ввода Южно-</w:t>
      </w:r>
      <w:proofErr w:type="spellStart"/>
      <w:r w:rsidRPr="00BF0050">
        <w:rPr>
          <w:sz w:val="26"/>
          <w:szCs w:val="26"/>
        </w:rPr>
        <w:t>Тамбейского</w:t>
      </w:r>
      <w:proofErr w:type="spellEnd"/>
      <w:r w:rsidRPr="00BF0050">
        <w:rPr>
          <w:sz w:val="26"/>
          <w:szCs w:val="26"/>
        </w:rPr>
        <w:t xml:space="preserve"> месторождения и первой очереди проекта «Ямал-СПГ» мощностью 5,5 млн. т в год, экспорт СПГ увеличится до 11,2 млн. т, а к 2019 году  возрастет до 16,0 млн. тонн.</w:t>
      </w:r>
    </w:p>
    <w:p w:rsidR="00640E62" w:rsidRPr="00BF0050" w:rsidRDefault="00640E62" w:rsidP="00640E62">
      <w:pPr>
        <w:spacing w:before="0" w:after="0"/>
        <w:contextualSpacing/>
        <w:jc w:val="both"/>
        <w:rPr>
          <w:sz w:val="26"/>
          <w:szCs w:val="26"/>
        </w:rPr>
      </w:pPr>
      <w:r w:rsidRPr="00BF0050">
        <w:rPr>
          <w:sz w:val="26"/>
          <w:szCs w:val="26"/>
        </w:rPr>
        <w:t>В условиях прогнозируемого ограничения потребления газа и ввиду неполного использования имеющихся мощностей инвестиции ПАО «Газпром»</w:t>
      </w:r>
      <w:r w:rsidRPr="00BF0050">
        <w:rPr>
          <w:sz w:val="26"/>
          <w:szCs w:val="26"/>
        </w:rPr>
        <w:br/>
        <w:t xml:space="preserve">в обустройство месторождений в 2016 году уменьшатся. В прогнозный период ожидается умеренный рост инвестиций в добычу газа и газового конденсата. Немаловажную роль </w:t>
      </w:r>
      <w:r w:rsidR="00EC6548" w:rsidRPr="00BF0050">
        <w:rPr>
          <w:sz w:val="26"/>
          <w:szCs w:val="26"/>
        </w:rPr>
        <w:t>в </w:t>
      </w:r>
      <w:r w:rsidRPr="00BF0050">
        <w:rPr>
          <w:sz w:val="26"/>
          <w:szCs w:val="26"/>
        </w:rPr>
        <w:t>приросте объемов инвестиций будут играть капитальные вложения</w:t>
      </w:r>
      <w:r w:rsidRPr="00BF0050">
        <w:rPr>
          <w:sz w:val="26"/>
          <w:szCs w:val="26"/>
        </w:rPr>
        <w:br/>
        <w:t>в формирование Якутского центра газодобычи. Вклад в инвестиции в добычу газа</w:t>
      </w:r>
      <w:r w:rsidRPr="00BF0050">
        <w:rPr>
          <w:sz w:val="26"/>
          <w:szCs w:val="26"/>
        </w:rPr>
        <w:br/>
        <w:t>со стороны независимых производителей газа будет обеспечиваться продолжением реализацией проекта «Ямал-СПГ» в части обустройства Южно-</w:t>
      </w:r>
      <w:proofErr w:type="spellStart"/>
      <w:r w:rsidRPr="00BF0050">
        <w:rPr>
          <w:sz w:val="26"/>
          <w:szCs w:val="26"/>
        </w:rPr>
        <w:t>Тамбейского</w:t>
      </w:r>
      <w:proofErr w:type="spellEnd"/>
      <w:r w:rsidRPr="00BF0050">
        <w:rPr>
          <w:sz w:val="26"/>
          <w:szCs w:val="26"/>
        </w:rPr>
        <w:t xml:space="preserve"> месторождения. В транспорте газа основным проектом, обеспечивающим прогнозируемый объем, будет газопровод «Сила Сибири». </w:t>
      </w:r>
    </w:p>
    <w:p w:rsidR="00640E62" w:rsidRPr="00BF0050" w:rsidRDefault="00640E62" w:rsidP="00640E62">
      <w:pPr>
        <w:spacing w:before="0" w:after="0"/>
        <w:jc w:val="both"/>
        <w:rPr>
          <w:sz w:val="26"/>
          <w:szCs w:val="26"/>
        </w:rPr>
      </w:pPr>
      <w:r w:rsidRPr="00BF0050">
        <w:rPr>
          <w:sz w:val="26"/>
          <w:szCs w:val="26"/>
        </w:rPr>
        <w:t xml:space="preserve">В 2016 году </w:t>
      </w:r>
      <w:r w:rsidRPr="00BF0050">
        <w:rPr>
          <w:b/>
          <w:sz w:val="26"/>
          <w:szCs w:val="26"/>
        </w:rPr>
        <w:t>добыча угля</w:t>
      </w:r>
      <w:r w:rsidRPr="00BF0050">
        <w:rPr>
          <w:sz w:val="26"/>
          <w:szCs w:val="26"/>
        </w:rPr>
        <w:t xml:space="preserve"> оценивается на уровне 375 млн. т (100,8 %</w:t>
      </w:r>
      <w:r w:rsidRPr="00BF0050">
        <w:rPr>
          <w:sz w:val="26"/>
          <w:szCs w:val="26"/>
        </w:rPr>
        <w:br/>
        <w:t xml:space="preserve"> к 2015 году), при этом объем угля для коксования составит 83 млн. т (101,0 %</w:t>
      </w:r>
      <w:r w:rsidRPr="00BF0050">
        <w:rPr>
          <w:sz w:val="26"/>
          <w:szCs w:val="26"/>
        </w:rPr>
        <w:br/>
        <w:t xml:space="preserve"> к 2015 году). Внутриреспубликанское потребление ожидается на уровне 200 млн. т                           (100,7 процента). </w:t>
      </w:r>
    </w:p>
    <w:p w:rsidR="00640E62" w:rsidRPr="00BF0050" w:rsidRDefault="00640E62" w:rsidP="00640E62">
      <w:pPr>
        <w:spacing w:before="0" w:after="0"/>
        <w:jc w:val="both"/>
        <w:rPr>
          <w:sz w:val="26"/>
          <w:szCs w:val="26"/>
        </w:rPr>
      </w:pPr>
      <w:r w:rsidRPr="00BF0050">
        <w:rPr>
          <w:sz w:val="26"/>
          <w:szCs w:val="26"/>
        </w:rPr>
        <w:t>С учетом внешнеэкономической конъюнктуры, обеспечения потребностей внутреннего рынка и транспортных возможностей экспорт угля в 2016 году составит 158 млн. т  (101,3 % к уровню 2015 года).</w:t>
      </w:r>
    </w:p>
    <w:p w:rsidR="00640E62" w:rsidRPr="00BF0050" w:rsidRDefault="00640E62" w:rsidP="00640E62">
      <w:pPr>
        <w:spacing w:before="0" w:after="0"/>
        <w:contextualSpacing/>
        <w:jc w:val="both"/>
        <w:rPr>
          <w:sz w:val="26"/>
          <w:szCs w:val="26"/>
        </w:rPr>
      </w:pPr>
      <w:r w:rsidRPr="00BF0050">
        <w:rPr>
          <w:sz w:val="26"/>
          <w:szCs w:val="26"/>
        </w:rPr>
        <w:t>Принимая во внимание финансовое состояние отрасли, кредитные ограничения</w:t>
      </w:r>
      <w:r w:rsidRPr="00BF0050">
        <w:rPr>
          <w:sz w:val="26"/>
          <w:szCs w:val="26"/>
        </w:rPr>
        <w:br/>
        <w:t xml:space="preserve"> в 2016 году</w:t>
      </w:r>
      <w:r w:rsidR="00E53F91" w:rsidRPr="00BF0050">
        <w:rPr>
          <w:sz w:val="26"/>
          <w:szCs w:val="26"/>
        </w:rPr>
        <w:t>,</w:t>
      </w:r>
      <w:r w:rsidRPr="00BF0050">
        <w:rPr>
          <w:sz w:val="26"/>
          <w:szCs w:val="26"/>
        </w:rPr>
        <w:t xml:space="preserve"> инвестиции в добычу угля сократятся.</w:t>
      </w:r>
    </w:p>
    <w:p w:rsidR="00640E62" w:rsidRPr="00BF0050" w:rsidRDefault="00640E62" w:rsidP="00640E62">
      <w:pPr>
        <w:spacing w:before="0" w:after="0"/>
        <w:contextualSpacing/>
        <w:jc w:val="both"/>
        <w:rPr>
          <w:sz w:val="26"/>
          <w:szCs w:val="26"/>
        </w:rPr>
      </w:pPr>
      <w:proofErr w:type="gramStart"/>
      <w:r w:rsidRPr="00BF0050">
        <w:rPr>
          <w:sz w:val="26"/>
          <w:szCs w:val="26"/>
        </w:rPr>
        <w:t xml:space="preserve">Прогноз развития угольной промышленности до 2019 года разрабатывался </w:t>
      </w:r>
      <w:r w:rsidR="00EC6548" w:rsidRPr="00BF0050">
        <w:rPr>
          <w:sz w:val="26"/>
          <w:szCs w:val="26"/>
        </w:rPr>
        <w:t>с </w:t>
      </w:r>
      <w:r w:rsidRPr="00BF0050">
        <w:rPr>
          <w:sz w:val="26"/>
          <w:szCs w:val="26"/>
        </w:rPr>
        <w:t xml:space="preserve">учетом продолжающейся реализации комплекса мер по стабилизации ситуации </w:t>
      </w:r>
      <w:r w:rsidR="00EC6548" w:rsidRPr="00BF0050">
        <w:rPr>
          <w:sz w:val="26"/>
          <w:szCs w:val="26"/>
        </w:rPr>
        <w:t>в </w:t>
      </w:r>
      <w:r w:rsidRPr="00BF0050">
        <w:rPr>
          <w:sz w:val="26"/>
          <w:szCs w:val="26"/>
        </w:rPr>
        <w:t xml:space="preserve">угольной отрасли, предусматривающего модернизацию действующих предприятий на </w:t>
      </w:r>
      <w:r w:rsidRPr="00BF0050">
        <w:rPr>
          <w:sz w:val="26"/>
          <w:szCs w:val="26"/>
        </w:rPr>
        <w:lastRenderedPageBreak/>
        <w:t xml:space="preserve">основе инновационных технологий; создание новых центров угледобычи, а также системы планомерного выбытия неэффективных мощностей; развития внутреннего рынка угольной продукции, в том числе </w:t>
      </w:r>
      <w:proofErr w:type="spellStart"/>
      <w:r w:rsidRPr="00BF0050">
        <w:rPr>
          <w:sz w:val="26"/>
          <w:szCs w:val="26"/>
        </w:rPr>
        <w:t>углехимии</w:t>
      </w:r>
      <w:proofErr w:type="spellEnd"/>
      <w:r w:rsidRPr="00BF0050">
        <w:rPr>
          <w:sz w:val="26"/>
          <w:szCs w:val="26"/>
        </w:rPr>
        <w:t>, и укрепления позиций России на мировом рынке.</w:t>
      </w:r>
      <w:proofErr w:type="gramEnd"/>
    </w:p>
    <w:p w:rsidR="00640E62" w:rsidRPr="00BF0050" w:rsidRDefault="00640E62" w:rsidP="00640E62">
      <w:pPr>
        <w:spacing w:before="0" w:after="0"/>
        <w:contextualSpacing/>
        <w:jc w:val="both"/>
        <w:rPr>
          <w:sz w:val="26"/>
          <w:szCs w:val="26"/>
        </w:rPr>
      </w:pPr>
      <w:r w:rsidRPr="00BF0050">
        <w:rPr>
          <w:sz w:val="26"/>
          <w:szCs w:val="26"/>
        </w:rPr>
        <w:t>Для устранения сложившейся ситуации преобладания импортных технологий</w:t>
      </w:r>
      <w:r w:rsidRPr="00BF0050">
        <w:rPr>
          <w:sz w:val="26"/>
          <w:szCs w:val="26"/>
        </w:rPr>
        <w:br/>
        <w:t xml:space="preserve"> и оборудования необходима разработка и реализация программы импортозамещения оборудования в угольной отрасли. </w:t>
      </w:r>
    </w:p>
    <w:p w:rsidR="00640E62" w:rsidRPr="00BF0050" w:rsidRDefault="00640E62" w:rsidP="00640E62">
      <w:pPr>
        <w:spacing w:before="0" w:after="0"/>
        <w:contextualSpacing/>
        <w:jc w:val="both"/>
        <w:rPr>
          <w:sz w:val="26"/>
          <w:szCs w:val="26"/>
        </w:rPr>
      </w:pPr>
      <w:r w:rsidRPr="00BF0050">
        <w:rPr>
          <w:sz w:val="26"/>
          <w:szCs w:val="26"/>
        </w:rPr>
        <w:t xml:space="preserve">С учетом текущих тенденций спроса на уголь на внешнем рынке по базовому варианту прогнозируется увеличение добычи угля к 2019 году до 385 млн. т, при этом объем экспорта угля увеличится до 165 млн. т </w:t>
      </w:r>
      <w:r w:rsidR="006902E4" w:rsidRPr="00BF0050">
        <w:rPr>
          <w:sz w:val="26"/>
          <w:szCs w:val="26"/>
        </w:rPr>
        <w:t xml:space="preserve"> </w:t>
      </w:r>
      <w:r w:rsidRPr="00BF0050">
        <w:rPr>
          <w:sz w:val="26"/>
          <w:szCs w:val="26"/>
        </w:rPr>
        <w:t xml:space="preserve">благодаря проводимой в стране </w:t>
      </w:r>
      <w:r w:rsidR="006902E4" w:rsidRPr="00BF0050">
        <w:rPr>
          <w:sz w:val="26"/>
          <w:szCs w:val="26"/>
        </w:rPr>
        <w:t xml:space="preserve">политике </w:t>
      </w:r>
      <w:r w:rsidRPr="00BF0050">
        <w:rPr>
          <w:sz w:val="26"/>
          <w:szCs w:val="26"/>
        </w:rPr>
        <w:t>по развитию морской портовой инфраструктуры. Угольные компании вложили значительные средства в создание собственных портовых терминалов по перевалке угля</w:t>
      </w:r>
      <w:r w:rsidRPr="00BF0050">
        <w:rPr>
          <w:sz w:val="26"/>
          <w:szCs w:val="26"/>
        </w:rPr>
        <w:br/>
        <w:t xml:space="preserve"> и оптимизировали логистику экспортных поставок угля. Положительным фактором увеличения экспорта угля является девальвация рубля, что возможно отразится</w:t>
      </w:r>
      <w:r w:rsidRPr="00BF0050">
        <w:rPr>
          <w:sz w:val="26"/>
          <w:szCs w:val="26"/>
        </w:rPr>
        <w:br/>
        <w:t xml:space="preserve">на активизации инвестиционного климата. Среднегодовые темпы роста объемов инвестиций в угольную отрасль в 2017 – 2019 </w:t>
      </w:r>
      <w:r w:rsidR="006902E4" w:rsidRPr="00BF0050">
        <w:rPr>
          <w:sz w:val="26"/>
          <w:szCs w:val="26"/>
        </w:rPr>
        <w:t xml:space="preserve">гг. </w:t>
      </w:r>
      <w:r w:rsidRPr="00BF0050">
        <w:rPr>
          <w:sz w:val="26"/>
          <w:szCs w:val="26"/>
        </w:rPr>
        <w:t>составят 101,9 процента.</w:t>
      </w:r>
    </w:p>
    <w:p w:rsidR="00640E62" w:rsidRPr="00BF0050" w:rsidRDefault="00640E62" w:rsidP="00640E62">
      <w:pPr>
        <w:spacing w:before="0" w:after="0"/>
        <w:contextualSpacing/>
        <w:jc w:val="both"/>
        <w:rPr>
          <w:sz w:val="26"/>
          <w:szCs w:val="26"/>
        </w:rPr>
      </w:pPr>
      <w:proofErr w:type="gramStart"/>
      <w:r w:rsidRPr="00BF0050">
        <w:rPr>
          <w:sz w:val="26"/>
          <w:szCs w:val="26"/>
        </w:rPr>
        <w:t>Решению задач, связанных с разработкой новых технико-технологических решений, интенсифицирующих производственные процессы с обеспечением безаварийной, энергоэффективной и экологически безопасной работы горных предприятий, также будет способствовать продолжение реализации "Технологической платформы твердых полезных ископаемых", в рамках которой намечается осуществление полного инновационного цикла работы с месторождением от поиска и разведки месторождений до получения ряда товарных продуктов глубокой переработки минерального сырья.</w:t>
      </w:r>
      <w:proofErr w:type="gramEnd"/>
    </w:p>
    <w:p w:rsidR="00640E62" w:rsidRPr="00BF0050" w:rsidRDefault="00640E62" w:rsidP="00640E62">
      <w:pPr>
        <w:spacing w:before="0" w:after="0"/>
        <w:contextualSpacing/>
        <w:jc w:val="both"/>
        <w:rPr>
          <w:sz w:val="26"/>
          <w:szCs w:val="26"/>
        </w:rPr>
      </w:pPr>
      <w:r w:rsidRPr="00BF0050">
        <w:rPr>
          <w:sz w:val="26"/>
          <w:szCs w:val="26"/>
        </w:rPr>
        <w:t xml:space="preserve">Прогнозируемое сокращение </w:t>
      </w:r>
      <w:r w:rsidRPr="00BF0050">
        <w:rPr>
          <w:b/>
          <w:sz w:val="26"/>
          <w:szCs w:val="26"/>
        </w:rPr>
        <w:t>производства нефтепродуктов</w:t>
      </w:r>
      <w:r w:rsidRPr="00BF0050">
        <w:rPr>
          <w:sz w:val="26"/>
          <w:szCs w:val="26"/>
        </w:rPr>
        <w:t xml:space="preserve"> обусловлено не только снижением потребления топочного мазута в ЖКХ и переориентацией нефтяных компаний в действующих налоговых условиях с экспорта «темных» нефтепродуктов на более привлекательный экспорт нефти, но и плановой оптимизацией объемов переработки с учетом внутреннего спроса. Объем первичной переработки нефти уменьшится к 2019 году по сравнению с 2015 годом </w:t>
      </w:r>
      <w:r w:rsidR="006902E4" w:rsidRPr="00BF0050">
        <w:rPr>
          <w:sz w:val="26"/>
          <w:szCs w:val="26"/>
        </w:rPr>
        <w:t xml:space="preserve">в </w:t>
      </w:r>
      <w:r w:rsidRPr="00BF0050">
        <w:rPr>
          <w:sz w:val="26"/>
          <w:szCs w:val="26"/>
        </w:rPr>
        <w:t xml:space="preserve">базовом </w:t>
      </w:r>
      <w:r w:rsidR="006902E4" w:rsidRPr="00BF0050">
        <w:rPr>
          <w:sz w:val="26"/>
          <w:szCs w:val="26"/>
        </w:rPr>
        <w:t xml:space="preserve">варианте </w:t>
      </w:r>
      <w:r w:rsidRPr="00BF0050">
        <w:rPr>
          <w:sz w:val="26"/>
          <w:szCs w:val="26"/>
        </w:rPr>
        <w:t>на 11,2 млн. тонн.</w:t>
      </w:r>
    </w:p>
    <w:p w:rsidR="00640E62" w:rsidRPr="00BF0050" w:rsidRDefault="00640E62" w:rsidP="00640E62">
      <w:pPr>
        <w:spacing w:before="0" w:after="0"/>
        <w:contextualSpacing/>
        <w:jc w:val="both"/>
        <w:rPr>
          <w:sz w:val="26"/>
          <w:szCs w:val="26"/>
        </w:rPr>
      </w:pPr>
      <w:proofErr w:type="gramStart"/>
      <w:r w:rsidRPr="00BF0050">
        <w:rPr>
          <w:sz w:val="26"/>
          <w:szCs w:val="26"/>
        </w:rPr>
        <w:t>С учетом обеспечения внутреннего рынка моторными топливами в условиях кризисных явлений в экономике и снижения привлекательности экспорта «темных» нефтепродуктов, при высокой конкуренции на мировых рынках нефтепродуктов</w:t>
      </w:r>
      <w:r w:rsidRPr="00BF0050">
        <w:rPr>
          <w:sz w:val="26"/>
          <w:szCs w:val="26"/>
        </w:rPr>
        <w:br/>
        <w:t xml:space="preserve">и снижении потребления, объем экспорта нефтепродуктов в 2016 году снизится </w:t>
      </w:r>
      <w:r w:rsidRPr="00BF0050">
        <w:rPr>
          <w:sz w:val="26"/>
          <w:szCs w:val="26"/>
        </w:rPr>
        <w:br/>
        <w:t xml:space="preserve">на 1,5 млн. т относительно предыдущего года, а к 2019 году указанная разница составит  17,0 млн. тонн. </w:t>
      </w:r>
      <w:proofErr w:type="gramEnd"/>
    </w:p>
    <w:p w:rsidR="00640E62" w:rsidRPr="00BF0050" w:rsidRDefault="00640E62" w:rsidP="00640E62">
      <w:pPr>
        <w:spacing w:before="0" w:after="0"/>
        <w:contextualSpacing/>
        <w:jc w:val="both"/>
        <w:rPr>
          <w:sz w:val="26"/>
          <w:szCs w:val="26"/>
        </w:rPr>
      </w:pPr>
      <w:r w:rsidRPr="00BF0050">
        <w:rPr>
          <w:sz w:val="26"/>
          <w:szCs w:val="26"/>
        </w:rPr>
        <w:t>После стагнации внутреннего потребления нефтепродуктов в 2016 году, начиная</w:t>
      </w:r>
      <w:r w:rsidRPr="00BF0050">
        <w:rPr>
          <w:sz w:val="26"/>
          <w:szCs w:val="26"/>
        </w:rPr>
        <w:br/>
        <w:t xml:space="preserve"> с 2017 года</w:t>
      </w:r>
      <w:r w:rsidR="00535563" w:rsidRPr="00BF0050">
        <w:rPr>
          <w:sz w:val="26"/>
          <w:szCs w:val="26"/>
        </w:rPr>
        <w:t>,</w:t>
      </w:r>
      <w:r w:rsidRPr="00BF0050">
        <w:rPr>
          <w:sz w:val="26"/>
          <w:szCs w:val="26"/>
        </w:rPr>
        <w:t xml:space="preserve"> прогнозируется его умеренный рост.</w:t>
      </w:r>
    </w:p>
    <w:p w:rsidR="00640E62" w:rsidRPr="00BF0050" w:rsidRDefault="00640E62" w:rsidP="00640E62">
      <w:pPr>
        <w:spacing w:before="0" w:after="0"/>
        <w:contextualSpacing/>
        <w:jc w:val="both"/>
        <w:rPr>
          <w:sz w:val="26"/>
          <w:szCs w:val="26"/>
        </w:rPr>
      </w:pPr>
      <w:r w:rsidRPr="00BF0050">
        <w:rPr>
          <w:sz w:val="26"/>
          <w:szCs w:val="26"/>
        </w:rPr>
        <w:lastRenderedPageBreak/>
        <w:t xml:space="preserve"> В структуре экспорта нефтепродуктов будет происходить замещение «темных» нефтепродуктов «светлыми» нефтепродуктами, при этом прогнозируется рост экспорта дизельного топлива.</w:t>
      </w:r>
    </w:p>
    <w:p w:rsidR="00640E62" w:rsidRPr="00BF0050" w:rsidRDefault="00640E62" w:rsidP="00640E62">
      <w:pPr>
        <w:spacing w:before="0" w:after="0"/>
        <w:contextualSpacing/>
        <w:jc w:val="both"/>
        <w:rPr>
          <w:sz w:val="26"/>
          <w:szCs w:val="26"/>
        </w:rPr>
      </w:pPr>
      <w:r w:rsidRPr="00BF0050">
        <w:rPr>
          <w:sz w:val="26"/>
          <w:szCs w:val="26"/>
        </w:rPr>
        <w:t xml:space="preserve">Снижение </w:t>
      </w:r>
      <w:proofErr w:type="spellStart"/>
      <w:r w:rsidRPr="00BF0050">
        <w:rPr>
          <w:sz w:val="26"/>
          <w:szCs w:val="26"/>
        </w:rPr>
        <w:t>маржинальности</w:t>
      </w:r>
      <w:proofErr w:type="spellEnd"/>
      <w:r w:rsidRPr="00BF0050">
        <w:rPr>
          <w:sz w:val="26"/>
          <w:szCs w:val="26"/>
        </w:rPr>
        <w:t xml:space="preserve"> нефтепереработки в действующих налоговых условиях, последствия ухудшения экономической ситуации в стране, а также обозначенное компаниями изменение сроков и темпов модернизации НПЗ с учетом тенденций внутреннего рынка моторных топлив окажут влияние на инвестиционную активность отрасли и приведут к дальнейшему снижению инвестиций в производство нефтепродуктов в 2016 году. Начиная с 2017 года</w:t>
      </w:r>
      <w:r w:rsidR="00535563" w:rsidRPr="00BF0050">
        <w:rPr>
          <w:sz w:val="26"/>
          <w:szCs w:val="26"/>
        </w:rPr>
        <w:t>,</w:t>
      </w:r>
      <w:r w:rsidRPr="00BF0050">
        <w:rPr>
          <w:sz w:val="26"/>
          <w:szCs w:val="26"/>
        </w:rPr>
        <w:t xml:space="preserve"> ожидается небольшой рост.</w:t>
      </w:r>
    </w:p>
    <w:p w:rsidR="00640E62" w:rsidRPr="00BF0050" w:rsidRDefault="00640E62" w:rsidP="00640E62">
      <w:pPr>
        <w:spacing w:before="0" w:after="0"/>
        <w:contextualSpacing/>
        <w:jc w:val="both"/>
        <w:rPr>
          <w:sz w:val="26"/>
          <w:szCs w:val="26"/>
        </w:rPr>
      </w:pPr>
      <w:r w:rsidRPr="00BF0050">
        <w:rPr>
          <w:sz w:val="26"/>
          <w:szCs w:val="26"/>
        </w:rPr>
        <w:t xml:space="preserve">За 2015 год выработано 1070,1 млрд. киловатт-часов </w:t>
      </w:r>
      <w:r w:rsidRPr="00BF0050">
        <w:rPr>
          <w:b/>
          <w:sz w:val="26"/>
          <w:szCs w:val="26"/>
        </w:rPr>
        <w:t>электроэнергии</w:t>
      </w:r>
      <w:r w:rsidRPr="00BF0050">
        <w:rPr>
          <w:sz w:val="26"/>
          <w:szCs w:val="26"/>
        </w:rPr>
        <w:t xml:space="preserve">, при этом потребление уменьшилось на 0,5 % к уровню 2014 года, а сальдо </w:t>
      </w:r>
      <w:proofErr w:type="spellStart"/>
      <w:r w:rsidRPr="00BF0050">
        <w:rPr>
          <w:sz w:val="26"/>
          <w:szCs w:val="26"/>
        </w:rPr>
        <w:t>переток</w:t>
      </w:r>
      <w:proofErr w:type="spellEnd"/>
      <w:r w:rsidRPr="00BF0050">
        <w:rPr>
          <w:sz w:val="26"/>
          <w:szCs w:val="26"/>
        </w:rPr>
        <w:t xml:space="preserve"> экспорта</w:t>
      </w:r>
      <w:r w:rsidRPr="00BF0050">
        <w:rPr>
          <w:sz w:val="26"/>
          <w:szCs w:val="26"/>
        </w:rPr>
        <w:br/>
        <w:t xml:space="preserve"> и импорта составил 11,6 млрд. киловатт-часов. В 2015 году ввод мощности составил около 4,9 </w:t>
      </w:r>
      <w:proofErr w:type="spellStart"/>
      <w:r w:rsidRPr="00BF0050">
        <w:rPr>
          <w:sz w:val="26"/>
          <w:szCs w:val="26"/>
        </w:rPr>
        <w:t>ГВатт</w:t>
      </w:r>
      <w:proofErr w:type="spellEnd"/>
      <w:r w:rsidRPr="00BF0050">
        <w:rPr>
          <w:sz w:val="26"/>
          <w:szCs w:val="26"/>
        </w:rPr>
        <w:t>.</w:t>
      </w:r>
    </w:p>
    <w:p w:rsidR="00640E62" w:rsidRPr="00BF0050" w:rsidRDefault="00640E62" w:rsidP="00640E62">
      <w:pPr>
        <w:spacing w:before="0" w:after="0"/>
        <w:contextualSpacing/>
        <w:jc w:val="both"/>
        <w:rPr>
          <w:sz w:val="26"/>
          <w:szCs w:val="26"/>
        </w:rPr>
      </w:pPr>
      <w:r w:rsidRPr="00BF0050">
        <w:rPr>
          <w:sz w:val="26"/>
          <w:szCs w:val="26"/>
        </w:rPr>
        <w:t xml:space="preserve">С учетом прогнозируемого развития экономики страны производство электроэнергии и электропотребление внутреннего рынка увеличится. В условиях высокой зависимости потребления электроэнергии на внутреннем рынке от температурного фактора, возможно колебание темпов производства и потребления </w:t>
      </w:r>
      <w:r w:rsidR="00EC6548" w:rsidRPr="00BF0050">
        <w:rPr>
          <w:sz w:val="26"/>
          <w:szCs w:val="26"/>
        </w:rPr>
        <w:t>в </w:t>
      </w:r>
      <w:r w:rsidRPr="00BF0050">
        <w:rPr>
          <w:sz w:val="26"/>
          <w:szCs w:val="26"/>
        </w:rPr>
        <w:t>пределах 0,3–0,6 % в год в зависимости от температурных отклонений от среднемноголетних</w:t>
      </w:r>
      <w:r w:rsidRPr="00BF0050" w:rsidDel="0081428D">
        <w:rPr>
          <w:sz w:val="26"/>
          <w:szCs w:val="26"/>
        </w:rPr>
        <w:t xml:space="preserve"> </w:t>
      </w:r>
      <w:r w:rsidRPr="00BF0050">
        <w:rPr>
          <w:sz w:val="26"/>
          <w:szCs w:val="26"/>
        </w:rPr>
        <w:t>значений.</w:t>
      </w:r>
    </w:p>
    <w:p w:rsidR="00640E62" w:rsidRPr="00BF0050" w:rsidRDefault="00640E62" w:rsidP="00640E62">
      <w:pPr>
        <w:spacing w:before="0" w:after="0"/>
        <w:contextualSpacing/>
        <w:jc w:val="both"/>
        <w:rPr>
          <w:sz w:val="26"/>
          <w:szCs w:val="26"/>
        </w:rPr>
      </w:pPr>
      <w:r w:rsidRPr="00BF0050">
        <w:rPr>
          <w:sz w:val="26"/>
          <w:szCs w:val="26"/>
        </w:rPr>
        <w:t>Экспорт электроэнергии к 2019 году снизится до 10,9 млрд. киловатт-часов (59,9 %</w:t>
      </w:r>
      <w:r w:rsidRPr="00BF0050">
        <w:rPr>
          <w:sz w:val="26"/>
          <w:szCs w:val="26"/>
        </w:rPr>
        <w:br/>
        <w:t>к 2015 году) с учетом прогнозируемых макроэкономических условий и тарифных решений по темпам роста цен на электроэнергию на внутреннем рынке по сравнению</w:t>
      </w:r>
      <w:r w:rsidRPr="00BF0050">
        <w:rPr>
          <w:sz w:val="26"/>
          <w:szCs w:val="26"/>
        </w:rPr>
        <w:br/>
        <w:t>с прогнозным темпом роста на рынках стран – торговых партнеров. При этом в условиях девальвации рубля возможен рост экспорта в Финляндию и Китай. В Республику Беларусь с 2016 года ежегодно заложены поставки в рамках параллельной работы энергосистем, это обусловлено вводом в эксплуатацию в Республике Беларусь эффективной генерирующей мощности, позволяющей покрывать собственное энергопотребление.</w:t>
      </w:r>
    </w:p>
    <w:p w:rsidR="00640E62" w:rsidRPr="00BF0050" w:rsidRDefault="00640E62" w:rsidP="00640E62">
      <w:pPr>
        <w:spacing w:before="0" w:after="0"/>
        <w:contextualSpacing/>
        <w:jc w:val="both"/>
        <w:rPr>
          <w:sz w:val="26"/>
          <w:szCs w:val="26"/>
        </w:rPr>
      </w:pPr>
      <w:r w:rsidRPr="00BF0050">
        <w:rPr>
          <w:sz w:val="26"/>
          <w:szCs w:val="26"/>
        </w:rPr>
        <w:t>Основную нагрузку по производству электроэнергии в 2019 году будут нести тепловые электростанции, при этом на ТЭС ожидается снижение производства электроэнергии на 5,0 % к 2015 году. В структуре производства электроэнергии доля ТЭС увеличится с 53,0 % в 2015 году до 63,1 % в 2019 году. Производство на АЭС увеличится</w:t>
      </w:r>
      <w:r w:rsidRPr="00BF0050">
        <w:rPr>
          <w:sz w:val="26"/>
          <w:szCs w:val="26"/>
        </w:rPr>
        <w:br/>
        <w:t xml:space="preserve">на 8,0 % к 2015 году при увеличении доли с 18,4  до 20,0 %, а на ГЭС – на 16,0 % </w:t>
      </w:r>
      <w:r w:rsidR="006902E4" w:rsidRPr="00BF0050">
        <w:rPr>
          <w:sz w:val="26"/>
          <w:szCs w:val="26"/>
        </w:rPr>
        <w:t xml:space="preserve">                   </w:t>
      </w:r>
      <w:r w:rsidR="00EC6548" w:rsidRPr="00BF0050">
        <w:rPr>
          <w:sz w:val="26"/>
          <w:szCs w:val="26"/>
        </w:rPr>
        <w:t xml:space="preserve"> </w:t>
      </w:r>
      <w:r w:rsidRPr="00BF0050">
        <w:rPr>
          <w:sz w:val="26"/>
          <w:szCs w:val="26"/>
        </w:rPr>
        <w:t xml:space="preserve">и </w:t>
      </w:r>
      <w:proofErr w:type="gramStart"/>
      <w:r w:rsidRPr="00BF0050">
        <w:rPr>
          <w:sz w:val="26"/>
          <w:szCs w:val="26"/>
        </w:rPr>
        <w:t>с</w:t>
      </w:r>
      <w:proofErr w:type="gramEnd"/>
      <w:r w:rsidRPr="00BF0050">
        <w:rPr>
          <w:sz w:val="26"/>
          <w:szCs w:val="26"/>
        </w:rPr>
        <w:t xml:space="preserve"> 16,0  до 18,2 % соответственно. </w:t>
      </w:r>
    </w:p>
    <w:p w:rsidR="00640E62" w:rsidRPr="00BF0050" w:rsidRDefault="00640E62" w:rsidP="00640E62">
      <w:pPr>
        <w:spacing w:before="0" w:after="0"/>
        <w:contextualSpacing/>
        <w:jc w:val="both"/>
        <w:rPr>
          <w:sz w:val="26"/>
          <w:szCs w:val="26"/>
        </w:rPr>
      </w:pPr>
      <w:r w:rsidRPr="00BF0050">
        <w:rPr>
          <w:sz w:val="26"/>
          <w:szCs w:val="26"/>
        </w:rPr>
        <w:t xml:space="preserve">В 2016 – 2019 гг. планируется ввод мощностей в объеме более 18,77 </w:t>
      </w:r>
      <w:proofErr w:type="spellStart"/>
      <w:r w:rsidRPr="00BF0050">
        <w:rPr>
          <w:sz w:val="26"/>
          <w:szCs w:val="26"/>
        </w:rPr>
        <w:t>ГВатт</w:t>
      </w:r>
      <w:proofErr w:type="spellEnd"/>
      <w:r w:rsidRPr="00BF0050">
        <w:rPr>
          <w:sz w:val="26"/>
          <w:szCs w:val="26"/>
        </w:rPr>
        <w:t xml:space="preserve">, что потребует суммарных </w:t>
      </w:r>
      <w:r w:rsidR="006902E4" w:rsidRPr="00BF0050">
        <w:rPr>
          <w:sz w:val="26"/>
          <w:szCs w:val="26"/>
        </w:rPr>
        <w:t xml:space="preserve">инвестиций </w:t>
      </w:r>
      <w:r w:rsidRPr="00BF0050">
        <w:rPr>
          <w:sz w:val="26"/>
          <w:szCs w:val="26"/>
        </w:rPr>
        <w:t>в размере более 4 трлн. рублей, из них на генерацию</w:t>
      </w:r>
      <w:r w:rsidRPr="00BF0050">
        <w:rPr>
          <w:sz w:val="26"/>
          <w:szCs w:val="26"/>
        </w:rPr>
        <w:br/>
        <w:t xml:space="preserve"> и сетевое хозяйство будет приходиться порядка 69 % и 31 % соответственно.</w:t>
      </w:r>
    </w:p>
    <w:p w:rsidR="00640E62" w:rsidRPr="00BF0050" w:rsidRDefault="00640E62" w:rsidP="00255145">
      <w:pPr>
        <w:spacing w:before="0"/>
        <w:contextualSpacing/>
        <w:jc w:val="both"/>
        <w:rPr>
          <w:sz w:val="26"/>
          <w:szCs w:val="26"/>
        </w:rPr>
      </w:pPr>
      <w:r w:rsidRPr="00BF0050">
        <w:rPr>
          <w:sz w:val="26"/>
          <w:szCs w:val="26"/>
        </w:rPr>
        <w:t xml:space="preserve">При этом снижение суммарных инвестиций в электроэнергетике в 2016 году возможно до 20 % по отношению к 2015 году. На снижение инвестиций будет оказывать влияние секвестр бюджетного финансирования в атомной энергетике; отказ от отдельных </w:t>
      </w:r>
      <w:r w:rsidRPr="00BF0050">
        <w:rPr>
          <w:sz w:val="26"/>
          <w:szCs w:val="26"/>
        </w:rPr>
        <w:lastRenderedPageBreak/>
        <w:t>проектов в условиях увеличения стоимости закупаемого зарубежного оборудования</w:t>
      </w:r>
      <w:r w:rsidRPr="00BF0050">
        <w:rPr>
          <w:sz w:val="26"/>
          <w:szCs w:val="26"/>
        </w:rPr>
        <w:br/>
        <w:t>и комплектующих при увеличенной ставке кредитования; возможно принятие решения компаниями о переносе ввода строящихся и начала строительства новых объектов при падении спроса на электроэнергию; возникновение выпадающих доходов сетевых организаций при снижении объема услуг по передаче электрической энергии. Данные условия будут оказывать влияние на инвестиционную активность</w:t>
      </w:r>
      <w:r w:rsidRPr="00BF0050">
        <w:rPr>
          <w:sz w:val="26"/>
          <w:szCs w:val="26"/>
        </w:rPr>
        <w:br/>
        <w:t xml:space="preserve"> в электроэнергетике на протяжении всего прогнозного периода.</w:t>
      </w:r>
    </w:p>
    <w:p w:rsidR="002B23BA" w:rsidRPr="00BF0050" w:rsidRDefault="002B23BA" w:rsidP="00CC0A8C">
      <w:pPr>
        <w:pStyle w:val="23"/>
        <w:tabs>
          <w:tab w:val="left" w:pos="4644"/>
        </w:tabs>
        <w:spacing w:before="240" w:after="240" w:line="360" w:lineRule="exact"/>
        <w:jc w:val="both"/>
        <w:rPr>
          <w:sz w:val="26"/>
          <w:szCs w:val="26"/>
        </w:rPr>
      </w:pPr>
      <w:r w:rsidRPr="00BF0050">
        <w:rPr>
          <w:rStyle w:val="aff5"/>
          <w:sz w:val="26"/>
          <w:szCs w:val="26"/>
        </w:rPr>
        <w:t>Металлургический комплекс</w:t>
      </w:r>
      <w:r w:rsidR="008143E7" w:rsidRPr="00BF0050">
        <w:rPr>
          <w:rStyle w:val="aff5"/>
          <w:sz w:val="26"/>
          <w:szCs w:val="26"/>
        </w:rPr>
        <w:tab/>
      </w:r>
    </w:p>
    <w:p w:rsidR="00640E62" w:rsidRPr="00BF0050" w:rsidRDefault="00640E62" w:rsidP="00640E62">
      <w:pPr>
        <w:pStyle w:val="23"/>
        <w:spacing w:before="0" w:after="0" w:line="360" w:lineRule="exact"/>
        <w:jc w:val="both"/>
        <w:rPr>
          <w:bCs/>
          <w:iCs/>
          <w:sz w:val="26"/>
          <w:szCs w:val="26"/>
        </w:rPr>
      </w:pPr>
      <w:r w:rsidRPr="00BF0050">
        <w:rPr>
          <w:sz w:val="26"/>
          <w:szCs w:val="26"/>
        </w:rPr>
        <w:t>Индекс</w:t>
      </w:r>
      <w:r w:rsidRPr="00BF0050">
        <w:rPr>
          <w:i/>
          <w:sz w:val="26"/>
          <w:szCs w:val="26"/>
        </w:rPr>
        <w:t xml:space="preserve"> </w:t>
      </w:r>
      <w:r w:rsidRPr="00BF0050">
        <w:rPr>
          <w:sz w:val="26"/>
          <w:szCs w:val="26"/>
        </w:rPr>
        <w:t>металлургического производства и производства готовых металлических изделий</w:t>
      </w:r>
      <w:r w:rsidRPr="00BF0050">
        <w:rPr>
          <w:i/>
          <w:sz w:val="26"/>
          <w:szCs w:val="26"/>
        </w:rPr>
        <w:t xml:space="preserve"> </w:t>
      </w:r>
      <w:r w:rsidRPr="00BF0050">
        <w:rPr>
          <w:sz w:val="26"/>
          <w:szCs w:val="26"/>
        </w:rPr>
        <w:t>в 2015 году составил 93,5 % к соответствующему периоду 2014 года, в том числе металлургического производства − 95,3 %, производства готовых металлических изделий – 87,0 процента.</w:t>
      </w:r>
      <w:r w:rsidRPr="00BF0050">
        <w:rPr>
          <w:bCs/>
          <w:iCs/>
          <w:sz w:val="26"/>
          <w:szCs w:val="26"/>
        </w:rPr>
        <w:t xml:space="preserve"> </w:t>
      </w:r>
    </w:p>
    <w:p w:rsidR="00640E62" w:rsidRPr="00BF0050" w:rsidRDefault="00640E62" w:rsidP="00640E62">
      <w:pPr>
        <w:spacing w:before="0" w:after="0"/>
        <w:ind w:firstLine="720"/>
        <w:jc w:val="both"/>
        <w:rPr>
          <w:sz w:val="26"/>
          <w:szCs w:val="26"/>
        </w:rPr>
      </w:pPr>
      <w:r w:rsidRPr="00BF0050">
        <w:rPr>
          <w:bCs/>
          <w:iCs/>
          <w:sz w:val="26"/>
          <w:szCs w:val="26"/>
        </w:rPr>
        <w:t xml:space="preserve">Экспорт проката черных металлов в 2015 году составил 27,5 млн. т или 108,3 % </w:t>
      </w:r>
      <w:r w:rsidRPr="00BF0050">
        <w:rPr>
          <w:bCs/>
          <w:iCs/>
          <w:sz w:val="26"/>
          <w:szCs w:val="26"/>
        </w:rPr>
        <w:br/>
        <w:t xml:space="preserve">к 2014 году. Рост экспорта черных металлов в 2015 году в значительной мере обусловлен ростом экспорта полуфабрикатов. </w:t>
      </w:r>
      <w:r w:rsidRPr="00BF0050">
        <w:rPr>
          <w:sz w:val="26"/>
          <w:szCs w:val="26"/>
        </w:rPr>
        <w:t xml:space="preserve">Из основных цветных металлов (алюминий, медь </w:t>
      </w:r>
      <w:r w:rsidR="002B23BA" w:rsidRPr="00BF0050">
        <w:rPr>
          <w:sz w:val="26"/>
          <w:szCs w:val="26"/>
        </w:rPr>
        <w:t>и </w:t>
      </w:r>
      <w:r w:rsidRPr="00BF0050">
        <w:rPr>
          <w:sz w:val="26"/>
          <w:szCs w:val="26"/>
        </w:rPr>
        <w:t xml:space="preserve">никель) экспортные поставки по итогам 2015 года выросли по алюминию и меди. Экспорт никеля и изделий из него в натуральном тоннаже снизился из-за неблагоприятной мировой конъюнктуры и сокращения объемов </w:t>
      </w:r>
      <w:proofErr w:type="spellStart"/>
      <w:r w:rsidRPr="00BF0050">
        <w:rPr>
          <w:sz w:val="26"/>
          <w:szCs w:val="26"/>
        </w:rPr>
        <w:t>толлинговых</w:t>
      </w:r>
      <w:proofErr w:type="spellEnd"/>
      <w:r w:rsidRPr="00BF0050">
        <w:rPr>
          <w:sz w:val="26"/>
          <w:szCs w:val="26"/>
        </w:rPr>
        <w:t xml:space="preserve"> поставок. Экспорт никеля в </w:t>
      </w:r>
      <w:smartTag w:uri="urn:schemas-microsoft-com:office:smarttags" w:element="metricconverter">
        <w:smartTagPr>
          <w:attr w:name="ProductID" w:val="2015 г"/>
        </w:smartTagPr>
        <w:r w:rsidRPr="00BF0050">
          <w:rPr>
            <w:sz w:val="26"/>
            <w:szCs w:val="26"/>
          </w:rPr>
          <w:t>2015 г</w:t>
        </w:r>
      </w:smartTag>
      <w:r w:rsidRPr="00BF0050">
        <w:rPr>
          <w:sz w:val="26"/>
          <w:szCs w:val="26"/>
        </w:rPr>
        <w:t xml:space="preserve">оду составил 96,4 % против </w:t>
      </w:r>
      <w:smartTag w:uri="urn:schemas-microsoft-com:office:smarttags" w:element="metricconverter">
        <w:smartTagPr>
          <w:attr w:name="ProductID" w:val="2014 г"/>
        </w:smartTagPr>
        <w:r w:rsidRPr="00BF0050">
          <w:rPr>
            <w:sz w:val="26"/>
            <w:szCs w:val="26"/>
          </w:rPr>
          <w:t>2014 г</w:t>
        </w:r>
      </w:smartTag>
      <w:r w:rsidRPr="00BF0050">
        <w:rPr>
          <w:sz w:val="26"/>
          <w:szCs w:val="26"/>
        </w:rPr>
        <w:t>ода (232,4 тыс. т за январ</w:t>
      </w:r>
      <w:proofErr w:type="gramStart"/>
      <w:r w:rsidRPr="00BF0050">
        <w:rPr>
          <w:sz w:val="26"/>
          <w:szCs w:val="26"/>
        </w:rPr>
        <w:t>ь-</w:t>
      </w:r>
      <w:proofErr w:type="gramEnd"/>
      <w:r w:rsidRPr="00BF0050">
        <w:rPr>
          <w:sz w:val="26"/>
          <w:szCs w:val="26"/>
        </w:rPr>
        <w:t xml:space="preserve"> декабрь </w:t>
      </w:r>
      <w:smartTag w:uri="urn:schemas-microsoft-com:office:smarttags" w:element="metricconverter">
        <w:smartTagPr>
          <w:attr w:name="ProductID" w:val="2015 г"/>
        </w:smartTagPr>
        <w:r w:rsidRPr="00BF0050">
          <w:rPr>
            <w:sz w:val="26"/>
            <w:szCs w:val="26"/>
          </w:rPr>
          <w:t>2015 г.</w:t>
        </w:r>
      </w:smartTag>
      <w:r w:rsidRPr="00BF0050">
        <w:rPr>
          <w:sz w:val="26"/>
          <w:szCs w:val="26"/>
        </w:rPr>
        <w:t xml:space="preserve"> и 241,1 тыс. т – за аналогичный период 2014 года); поставки меди </w:t>
      </w:r>
      <w:r w:rsidR="00647745" w:rsidRPr="00BF0050">
        <w:rPr>
          <w:sz w:val="26"/>
          <w:szCs w:val="26"/>
        </w:rPr>
        <w:t>и </w:t>
      </w:r>
      <w:r w:rsidRPr="00BF0050">
        <w:rPr>
          <w:sz w:val="26"/>
          <w:szCs w:val="26"/>
        </w:rPr>
        <w:t xml:space="preserve">изделий из </w:t>
      </w:r>
      <w:r w:rsidR="00647745" w:rsidRPr="00BF0050">
        <w:rPr>
          <w:sz w:val="26"/>
          <w:szCs w:val="26"/>
        </w:rPr>
        <w:t xml:space="preserve">нее </w:t>
      </w:r>
      <w:r w:rsidRPr="00BF0050">
        <w:rPr>
          <w:sz w:val="26"/>
          <w:szCs w:val="26"/>
        </w:rPr>
        <w:t xml:space="preserve">выросли на 12,0 %, с 732,6 тыс. т в </w:t>
      </w:r>
      <w:smartTag w:uri="urn:schemas-microsoft-com:office:smarttags" w:element="metricconverter">
        <w:smartTagPr>
          <w:attr w:name="ProductID" w:val="2014 г"/>
        </w:smartTagPr>
        <w:r w:rsidRPr="00BF0050">
          <w:rPr>
            <w:sz w:val="26"/>
            <w:szCs w:val="26"/>
          </w:rPr>
          <w:t>2014 г</w:t>
        </w:r>
      </w:smartTag>
      <w:r w:rsidRPr="00BF0050">
        <w:rPr>
          <w:sz w:val="26"/>
          <w:szCs w:val="26"/>
        </w:rPr>
        <w:t xml:space="preserve">оду до 820,5 тыс. т в январе-декабре </w:t>
      </w:r>
      <w:smartTag w:uri="urn:schemas-microsoft-com:office:smarttags" w:element="metricconverter">
        <w:smartTagPr>
          <w:attr w:name="ProductID" w:val="2015 г"/>
        </w:smartTagPr>
        <w:r w:rsidRPr="00BF0050">
          <w:rPr>
            <w:sz w:val="26"/>
            <w:szCs w:val="26"/>
          </w:rPr>
          <w:t>2015 года</w:t>
        </w:r>
      </w:smartTag>
      <w:r w:rsidRPr="00BF0050">
        <w:rPr>
          <w:sz w:val="26"/>
          <w:szCs w:val="26"/>
        </w:rPr>
        <w:t xml:space="preserve">. Существенно вырос объем экспортных поставок алюминия и изделий из него </w:t>
      </w:r>
      <w:r w:rsidR="002B23BA" w:rsidRPr="00BF0050">
        <w:rPr>
          <w:sz w:val="26"/>
          <w:szCs w:val="26"/>
        </w:rPr>
        <w:t>в </w:t>
      </w:r>
      <w:r w:rsidRPr="00BF0050">
        <w:rPr>
          <w:sz w:val="26"/>
          <w:szCs w:val="26"/>
        </w:rPr>
        <w:t xml:space="preserve">январе-декабре </w:t>
      </w:r>
      <w:smartTag w:uri="urn:schemas-microsoft-com:office:smarttags" w:element="metricconverter">
        <w:smartTagPr>
          <w:attr w:name="ProductID" w:val="2015 г"/>
        </w:smartTagPr>
        <w:r w:rsidRPr="00BF0050">
          <w:rPr>
            <w:sz w:val="26"/>
            <w:szCs w:val="26"/>
          </w:rPr>
          <w:t>2015 г</w:t>
        </w:r>
      </w:smartTag>
      <w:r w:rsidRPr="00BF0050">
        <w:rPr>
          <w:sz w:val="26"/>
          <w:szCs w:val="26"/>
        </w:rPr>
        <w:t>. по отношению к аналогичному периоду 2014 г</w:t>
      </w:r>
      <w:r w:rsidR="00647745" w:rsidRPr="00BF0050">
        <w:rPr>
          <w:sz w:val="26"/>
          <w:szCs w:val="26"/>
        </w:rPr>
        <w:t xml:space="preserve">ода – </w:t>
      </w:r>
      <w:r w:rsidRPr="00BF0050">
        <w:rPr>
          <w:sz w:val="26"/>
          <w:szCs w:val="26"/>
        </w:rPr>
        <w:t xml:space="preserve">до 119,1 % (с 3188,6 тыс. т в </w:t>
      </w:r>
      <w:smartTag w:uri="urn:schemas-microsoft-com:office:smarttags" w:element="metricconverter">
        <w:smartTagPr>
          <w:attr w:name="ProductID" w:val="2014 г"/>
        </w:smartTagPr>
        <w:r w:rsidRPr="00BF0050">
          <w:rPr>
            <w:sz w:val="26"/>
            <w:szCs w:val="26"/>
          </w:rPr>
          <w:t>2014 г</w:t>
        </w:r>
      </w:smartTag>
      <w:r w:rsidRPr="00BF0050">
        <w:rPr>
          <w:sz w:val="26"/>
          <w:szCs w:val="26"/>
        </w:rPr>
        <w:t xml:space="preserve">оду до 3799,1 тыс. т в 2015 году). </w:t>
      </w:r>
    </w:p>
    <w:p w:rsidR="00640E62" w:rsidRPr="00BF0050" w:rsidRDefault="00640E62" w:rsidP="00640E62">
      <w:pPr>
        <w:spacing w:before="0" w:after="0"/>
        <w:ind w:firstLine="720"/>
        <w:jc w:val="both"/>
        <w:rPr>
          <w:sz w:val="26"/>
          <w:szCs w:val="26"/>
        </w:rPr>
      </w:pPr>
      <w:r w:rsidRPr="00BF0050">
        <w:rPr>
          <w:sz w:val="26"/>
          <w:szCs w:val="26"/>
        </w:rPr>
        <w:t>Прогноз развития металлургического комплекса России, прежде всего в части цветных металлов, разработан исходя из следующих основных гипотез и положений.</w:t>
      </w:r>
    </w:p>
    <w:p w:rsidR="00640E62" w:rsidRPr="00BF0050" w:rsidRDefault="00640E62" w:rsidP="00640E62">
      <w:pPr>
        <w:pStyle w:val="20"/>
        <w:spacing w:before="0" w:after="0" w:line="360" w:lineRule="exact"/>
        <w:ind w:left="0" w:firstLine="720"/>
        <w:jc w:val="both"/>
        <w:rPr>
          <w:rFonts w:ascii="Times New Roman" w:hAnsi="Times New Roman"/>
          <w:sz w:val="26"/>
          <w:szCs w:val="26"/>
        </w:rPr>
      </w:pPr>
      <w:r w:rsidRPr="00BF0050">
        <w:rPr>
          <w:rFonts w:ascii="Times New Roman" w:hAnsi="Times New Roman"/>
          <w:sz w:val="26"/>
          <w:szCs w:val="26"/>
        </w:rPr>
        <w:t>В  прогнозный период предполагается рост инвестиций в основной капитал</w:t>
      </w:r>
      <w:r w:rsidR="00487C47" w:rsidRPr="00BF0050">
        <w:rPr>
          <w:rFonts w:ascii="Times New Roman" w:hAnsi="Times New Roman"/>
          <w:sz w:val="26"/>
          <w:szCs w:val="26"/>
        </w:rPr>
        <w:t>,</w:t>
      </w:r>
      <w:r w:rsidRPr="00BF0050">
        <w:rPr>
          <w:rFonts w:ascii="Times New Roman" w:hAnsi="Times New Roman"/>
          <w:sz w:val="26"/>
          <w:szCs w:val="26"/>
        </w:rPr>
        <w:t xml:space="preserve"> начиная с 2017 года. При этом уровень инвестиций в 2019 году по отношению к 2015 году составит 105,3 процента. Такая динамика предполагает соответствующий рост внутреннего потребления  цветных металлов и изделий из них.</w:t>
      </w:r>
    </w:p>
    <w:p w:rsidR="00640E62" w:rsidRPr="00BF0050" w:rsidRDefault="00640E62" w:rsidP="00640E62">
      <w:pPr>
        <w:pStyle w:val="20"/>
        <w:spacing w:before="0" w:after="0" w:line="360" w:lineRule="exact"/>
        <w:ind w:left="0" w:firstLine="720"/>
        <w:jc w:val="both"/>
        <w:rPr>
          <w:rFonts w:ascii="Times New Roman" w:hAnsi="Times New Roman"/>
          <w:sz w:val="26"/>
          <w:szCs w:val="26"/>
        </w:rPr>
      </w:pPr>
      <w:r w:rsidRPr="00BF0050">
        <w:rPr>
          <w:rFonts w:ascii="Times New Roman" w:hAnsi="Times New Roman"/>
          <w:sz w:val="26"/>
          <w:szCs w:val="26"/>
        </w:rPr>
        <w:t xml:space="preserve">Изменение курса </w:t>
      </w:r>
      <w:r w:rsidR="00815487" w:rsidRPr="00BF0050">
        <w:rPr>
          <w:rFonts w:ascii="Times New Roman" w:hAnsi="Times New Roman"/>
          <w:sz w:val="26"/>
          <w:szCs w:val="26"/>
        </w:rPr>
        <w:t>долла</w:t>
      </w:r>
      <w:r w:rsidR="00406BC5" w:rsidRPr="00BF0050">
        <w:rPr>
          <w:rFonts w:ascii="Times New Roman" w:hAnsi="Times New Roman"/>
          <w:sz w:val="26"/>
          <w:szCs w:val="26"/>
        </w:rPr>
        <w:t>р</w:t>
      </w:r>
      <w:r w:rsidR="00815487" w:rsidRPr="00BF0050">
        <w:rPr>
          <w:rFonts w:ascii="Times New Roman" w:hAnsi="Times New Roman"/>
          <w:sz w:val="26"/>
          <w:szCs w:val="26"/>
        </w:rPr>
        <w:t>а</w:t>
      </w:r>
      <w:r w:rsidRPr="00BF0050">
        <w:rPr>
          <w:rFonts w:ascii="Times New Roman" w:hAnsi="Times New Roman"/>
          <w:sz w:val="26"/>
          <w:szCs w:val="26"/>
        </w:rPr>
        <w:t xml:space="preserve"> с 61,0 руб./долл. США в 2015 году до </w:t>
      </w:r>
      <w:r w:rsidR="00406BC5" w:rsidRPr="00BF0050">
        <w:rPr>
          <w:rFonts w:ascii="Times New Roman" w:hAnsi="Times New Roman"/>
          <w:sz w:val="26"/>
          <w:szCs w:val="26"/>
        </w:rPr>
        <w:t>67</w:t>
      </w:r>
      <w:r w:rsidR="00BE3085" w:rsidRPr="00BF0050">
        <w:rPr>
          <w:rFonts w:ascii="Times New Roman" w:hAnsi="Times New Roman"/>
          <w:sz w:val="26"/>
          <w:szCs w:val="26"/>
        </w:rPr>
        <w:t>,2</w:t>
      </w:r>
      <w:r w:rsidRPr="00BF0050">
        <w:rPr>
          <w:rFonts w:ascii="Times New Roman" w:hAnsi="Times New Roman"/>
          <w:sz w:val="26"/>
          <w:szCs w:val="26"/>
        </w:rPr>
        <w:t xml:space="preserve"> руб./долл. США</w:t>
      </w:r>
      <w:r w:rsidRPr="00BF0050" w:rsidDel="00EF3E54">
        <w:rPr>
          <w:rFonts w:ascii="Times New Roman" w:hAnsi="Times New Roman"/>
          <w:sz w:val="26"/>
          <w:szCs w:val="26"/>
        </w:rPr>
        <w:t xml:space="preserve"> </w:t>
      </w:r>
      <w:r w:rsidRPr="00BF0050">
        <w:rPr>
          <w:rFonts w:ascii="Times New Roman" w:hAnsi="Times New Roman"/>
          <w:sz w:val="26"/>
          <w:szCs w:val="26"/>
        </w:rPr>
        <w:t xml:space="preserve">в 2016 году увеличивает рублевую выручку экспортно ориентированных металлургических компаний </w:t>
      </w:r>
      <w:r w:rsidR="00406BC5" w:rsidRPr="00BF0050">
        <w:rPr>
          <w:rFonts w:ascii="Times New Roman" w:hAnsi="Times New Roman"/>
          <w:sz w:val="26"/>
          <w:szCs w:val="26"/>
        </w:rPr>
        <w:t>примерно</w:t>
      </w:r>
      <w:r w:rsidRPr="00BF0050">
        <w:rPr>
          <w:rFonts w:ascii="Times New Roman" w:hAnsi="Times New Roman"/>
          <w:sz w:val="26"/>
          <w:szCs w:val="26"/>
        </w:rPr>
        <w:t xml:space="preserve"> на 1</w:t>
      </w:r>
      <w:r w:rsidR="00406BC5" w:rsidRPr="00BF0050">
        <w:rPr>
          <w:rFonts w:ascii="Times New Roman" w:hAnsi="Times New Roman"/>
          <w:sz w:val="26"/>
          <w:szCs w:val="26"/>
        </w:rPr>
        <w:t>0 </w:t>
      </w:r>
      <w:r w:rsidR="001453E3" w:rsidRPr="00BF0050">
        <w:rPr>
          <w:rFonts w:ascii="Times New Roman" w:hAnsi="Times New Roman"/>
          <w:sz w:val="26"/>
          <w:szCs w:val="26"/>
        </w:rPr>
        <w:t>%</w:t>
      </w:r>
      <w:r w:rsidRPr="00BF0050">
        <w:rPr>
          <w:rFonts w:ascii="Times New Roman" w:hAnsi="Times New Roman"/>
          <w:sz w:val="26"/>
          <w:szCs w:val="26"/>
        </w:rPr>
        <w:t xml:space="preserve"> по итогам 2016 года, что существенно улучшит финансово-экономические показатели компаний </w:t>
      </w:r>
      <w:r w:rsidR="00406BC5" w:rsidRPr="00BF0050">
        <w:rPr>
          <w:rFonts w:ascii="Times New Roman" w:hAnsi="Times New Roman"/>
          <w:sz w:val="26"/>
          <w:szCs w:val="26"/>
        </w:rPr>
        <w:t xml:space="preserve"> </w:t>
      </w:r>
      <w:r w:rsidRPr="00BF0050">
        <w:rPr>
          <w:rFonts w:ascii="Times New Roman" w:hAnsi="Times New Roman"/>
          <w:sz w:val="26"/>
          <w:szCs w:val="26"/>
        </w:rPr>
        <w:t>в 2016 – 2017 годах.</w:t>
      </w:r>
    </w:p>
    <w:p w:rsidR="00640E62" w:rsidRPr="00BF0050" w:rsidRDefault="00640E62" w:rsidP="00640E62">
      <w:pPr>
        <w:pStyle w:val="20"/>
        <w:spacing w:before="0" w:after="0" w:line="360" w:lineRule="exact"/>
        <w:ind w:left="0" w:firstLine="720"/>
        <w:jc w:val="both"/>
        <w:rPr>
          <w:rFonts w:ascii="Times New Roman" w:hAnsi="Times New Roman"/>
          <w:sz w:val="26"/>
          <w:szCs w:val="26"/>
        </w:rPr>
      </w:pPr>
      <w:r w:rsidRPr="00BF0050">
        <w:rPr>
          <w:rFonts w:ascii="Times New Roman" w:hAnsi="Times New Roman"/>
          <w:sz w:val="26"/>
          <w:szCs w:val="26"/>
        </w:rPr>
        <w:t xml:space="preserve">При этом экспертами Мирового банка и Международного валютного фонда на 2016 – 2020 </w:t>
      </w:r>
      <w:r w:rsidR="00647745" w:rsidRPr="00BF0050">
        <w:rPr>
          <w:rFonts w:ascii="Times New Roman" w:hAnsi="Times New Roman"/>
          <w:sz w:val="26"/>
          <w:szCs w:val="26"/>
        </w:rPr>
        <w:t xml:space="preserve">гг. </w:t>
      </w:r>
      <w:r w:rsidRPr="00BF0050">
        <w:rPr>
          <w:rFonts w:ascii="Times New Roman" w:hAnsi="Times New Roman"/>
          <w:sz w:val="26"/>
          <w:szCs w:val="26"/>
        </w:rPr>
        <w:t>прогнозируется незначительный рост цен на основные цветные металлы: по меди – с 4676,9 долл./т в 2016 году до 4701,5</w:t>
      </w:r>
      <w:r w:rsidR="00C54C8C" w:rsidRPr="00BF0050">
        <w:rPr>
          <w:rFonts w:ascii="Times New Roman" w:hAnsi="Times New Roman"/>
          <w:sz w:val="26"/>
          <w:szCs w:val="26"/>
        </w:rPr>
        <w:t xml:space="preserve"> </w:t>
      </w:r>
      <w:r w:rsidRPr="00BF0050">
        <w:rPr>
          <w:rFonts w:ascii="Times New Roman" w:hAnsi="Times New Roman"/>
          <w:sz w:val="26"/>
          <w:szCs w:val="26"/>
        </w:rPr>
        <w:t xml:space="preserve">долл./т в 2019 году; </w:t>
      </w:r>
      <w:r w:rsidRPr="00BF0050">
        <w:rPr>
          <w:rFonts w:ascii="Times New Roman" w:hAnsi="Times New Roman"/>
          <w:sz w:val="26"/>
          <w:szCs w:val="26"/>
        </w:rPr>
        <w:br/>
        <w:t xml:space="preserve">по алюминию – с 1557,9 долл./т до 1700,2 долл./т; по никелю – с 8495,2 долл./т </w:t>
      </w:r>
      <w:r w:rsidRPr="00BF0050">
        <w:rPr>
          <w:rFonts w:ascii="Times New Roman" w:hAnsi="Times New Roman"/>
          <w:sz w:val="26"/>
          <w:szCs w:val="26"/>
        </w:rPr>
        <w:br/>
      </w:r>
      <w:r w:rsidRPr="00BF0050">
        <w:rPr>
          <w:rFonts w:ascii="Times New Roman" w:hAnsi="Times New Roman"/>
          <w:sz w:val="26"/>
          <w:szCs w:val="26"/>
        </w:rPr>
        <w:lastRenderedPageBreak/>
        <w:t xml:space="preserve">до 8807,5 долл./т, соответственно. Следует отметить, что по многим металлам уровень цен 2019 года оказывается ниже уровня 2015 года.  </w:t>
      </w:r>
    </w:p>
    <w:p w:rsidR="00640E62" w:rsidRPr="00BF0050" w:rsidRDefault="00640E62" w:rsidP="00640E62">
      <w:pPr>
        <w:pStyle w:val="20"/>
        <w:spacing w:before="0" w:after="0" w:line="360" w:lineRule="exact"/>
        <w:ind w:left="0" w:firstLine="720"/>
        <w:jc w:val="both"/>
        <w:rPr>
          <w:rFonts w:ascii="Times New Roman" w:hAnsi="Times New Roman"/>
          <w:sz w:val="26"/>
          <w:szCs w:val="26"/>
        </w:rPr>
      </w:pPr>
      <w:r w:rsidRPr="00BF0050">
        <w:rPr>
          <w:rFonts w:ascii="Times New Roman" w:hAnsi="Times New Roman"/>
          <w:sz w:val="26"/>
          <w:szCs w:val="26"/>
        </w:rPr>
        <w:t xml:space="preserve">Все это предполагает существенное повышение эффективности экспортных операций, что отмечалось на протяжении 2015 года. </w:t>
      </w:r>
    </w:p>
    <w:p w:rsidR="00640E62" w:rsidRPr="00BF0050" w:rsidRDefault="00640E62" w:rsidP="00640E62">
      <w:pPr>
        <w:pStyle w:val="20"/>
        <w:spacing w:before="0" w:after="0" w:line="360" w:lineRule="exact"/>
        <w:ind w:left="0" w:firstLine="720"/>
        <w:jc w:val="both"/>
        <w:rPr>
          <w:rFonts w:ascii="Times New Roman" w:hAnsi="Times New Roman"/>
          <w:sz w:val="26"/>
          <w:szCs w:val="26"/>
        </w:rPr>
      </w:pPr>
      <w:r w:rsidRPr="00BF0050">
        <w:rPr>
          <w:rFonts w:ascii="Times New Roman" w:hAnsi="Times New Roman"/>
          <w:sz w:val="26"/>
          <w:szCs w:val="26"/>
        </w:rPr>
        <w:t xml:space="preserve">Экспортные поставки цветных металлов в 2016 – 2019 гг. в базовом варианте будут увеличиваться  на 1–3 </w:t>
      </w:r>
      <w:r w:rsidR="00647745" w:rsidRPr="00BF0050">
        <w:rPr>
          <w:rFonts w:ascii="Times New Roman" w:hAnsi="Times New Roman"/>
          <w:sz w:val="26"/>
          <w:szCs w:val="26"/>
        </w:rPr>
        <w:t xml:space="preserve">% </w:t>
      </w:r>
      <w:r w:rsidRPr="00BF0050">
        <w:rPr>
          <w:rFonts w:ascii="Times New Roman" w:hAnsi="Times New Roman"/>
          <w:sz w:val="26"/>
          <w:szCs w:val="26"/>
        </w:rPr>
        <w:t xml:space="preserve">в меру роста мировой экономики и эластичности показателя </w:t>
      </w:r>
      <w:proofErr w:type="spellStart"/>
      <w:r w:rsidRPr="00BF0050">
        <w:rPr>
          <w:rFonts w:ascii="Times New Roman" w:hAnsi="Times New Roman"/>
          <w:sz w:val="26"/>
          <w:szCs w:val="26"/>
        </w:rPr>
        <w:t>металлопотребления</w:t>
      </w:r>
      <w:proofErr w:type="spellEnd"/>
      <w:r w:rsidRPr="00BF0050">
        <w:rPr>
          <w:rFonts w:ascii="Times New Roman" w:hAnsi="Times New Roman"/>
          <w:sz w:val="26"/>
          <w:szCs w:val="26"/>
        </w:rPr>
        <w:t xml:space="preserve"> к ВВП с последующим исчерпанием роста к концу прогнозного периода. </w:t>
      </w:r>
    </w:p>
    <w:p w:rsidR="00640E62" w:rsidRPr="00BF0050" w:rsidRDefault="00640E62" w:rsidP="00640E62">
      <w:pPr>
        <w:pStyle w:val="20"/>
        <w:spacing w:before="0" w:after="0" w:line="360" w:lineRule="exact"/>
        <w:ind w:left="0" w:firstLine="720"/>
        <w:jc w:val="both"/>
        <w:rPr>
          <w:rFonts w:ascii="Times New Roman" w:hAnsi="Times New Roman"/>
          <w:sz w:val="26"/>
          <w:szCs w:val="26"/>
        </w:rPr>
      </w:pPr>
      <w:r w:rsidRPr="00BF0050">
        <w:rPr>
          <w:rFonts w:ascii="Times New Roman" w:hAnsi="Times New Roman"/>
          <w:sz w:val="26"/>
          <w:szCs w:val="26"/>
        </w:rPr>
        <w:t>Предполагается в 2016 – 2017 гг. снижение объемов импортных поставок цветных металлов и изделий из них в зависимости от курса национальной валюты и снижения инвестиций в экономику Российской Федерации. По мере оживления инвестиционных процессов с 2017 года и укрепления рубля импортные поставки металлов и изделий из них будут расти умеренными темпами.</w:t>
      </w:r>
    </w:p>
    <w:p w:rsidR="00640E62" w:rsidRPr="00BF0050" w:rsidRDefault="00640E62" w:rsidP="00640E62">
      <w:pPr>
        <w:pStyle w:val="20"/>
        <w:spacing w:before="0" w:after="0" w:line="360" w:lineRule="exact"/>
        <w:ind w:left="0" w:firstLine="720"/>
        <w:jc w:val="both"/>
        <w:rPr>
          <w:rFonts w:ascii="Times New Roman" w:hAnsi="Times New Roman"/>
          <w:sz w:val="26"/>
          <w:szCs w:val="26"/>
        </w:rPr>
      </w:pPr>
      <w:r w:rsidRPr="00BF0050">
        <w:rPr>
          <w:rFonts w:ascii="Times New Roman" w:hAnsi="Times New Roman"/>
          <w:sz w:val="26"/>
          <w:szCs w:val="26"/>
        </w:rPr>
        <w:t>Учитывая то обстоятельство, что реального ухудшения финансового состояния компаний черной и цветной металлургии не прогнозируется, инвестиционная политика компаний будет восстанавливаться после инвестиционной паузы в металлургическом комплексе.</w:t>
      </w:r>
    </w:p>
    <w:p w:rsidR="00640E62" w:rsidRPr="00BF0050" w:rsidRDefault="00640E62" w:rsidP="00640E62">
      <w:pPr>
        <w:spacing w:before="0" w:after="0"/>
        <w:jc w:val="both"/>
        <w:rPr>
          <w:sz w:val="26"/>
          <w:szCs w:val="26"/>
        </w:rPr>
      </w:pPr>
      <w:r w:rsidRPr="00BF0050">
        <w:rPr>
          <w:sz w:val="26"/>
          <w:szCs w:val="26"/>
        </w:rPr>
        <w:t>В настоящее время осуществляется крупная программа по модернизации алюминиевой промышленности Российской Федерации, в результате которой уже были закрыты и выведены из эксплуатации устаревшие мощности на Богословском, Волгоградском, Волховском, Надвоицком, Новокузнецком и Уральском алюминиевых заводах. Ведется работа по их перепрофилированию.</w:t>
      </w:r>
    </w:p>
    <w:p w:rsidR="00640E62" w:rsidRPr="00BF0050" w:rsidRDefault="00640E62" w:rsidP="00640E62">
      <w:pPr>
        <w:pStyle w:val="a6"/>
        <w:spacing w:before="0" w:after="0"/>
        <w:jc w:val="both"/>
        <w:rPr>
          <w:sz w:val="26"/>
          <w:szCs w:val="26"/>
        </w:rPr>
      </w:pPr>
      <w:r w:rsidRPr="00BF0050">
        <w:rPr>
          <w:sz w:val="26"/>
          <w:szCs w:val="26"/>
        </w:rPr>
        <w:t>В среднесрочной перспективе намечается завершение модернизации мощностей ОАО</w:t>
      </w:r>
      <w:r w:rsidRPr="00BF0050">
        <w:rPr>
          <w:sz w:val="26"/>
          <w:szCs w:val="26"/>
          <w:lang w:val="en-US"/>
        </w:rPr>
        <w:t> </w:t>
      </w:r>
      <w:r w:rsidRPr="00BF0050">
        <w:rPr>
          <w:sz w:val="26"/>
          <w:szCs w:val="26"/>
        </w:rPr>
        <w:t>«ГМК</w:t>
      </w:r>
      <w:r w:rsidRPr="00BF0050">
        <w:rPr>
          <w:sz w:val="26"/>
          <w:szCs w:val="26"/>
          <w:lang w:val="en-US"/>
        </w:rPr>
        <w:t> </w:t>
      </w:r>
      <w:r w:rsidRPr="00BF0050">
        <w:rPr>
          <w:sz w:val="26"/>
          <w:szCs w:val="26"/>
        </w:rPr>
        <w:t>«Норильский никель», в частности Надеждинского завода. В 2012 году начато строительство крупного прокатного комплекса по производству широкоформатного листа на ОАО «Каменск-Уральский металлургический завод», объем инвестиций оценивается в 30 млрд. руб</w:t>
      </w:r>
      <w:r w:rsidR="00647745" w:rsidRPr="00BF0050">
        <w:rPr>
          <w:sz w:val="26"/>
          <w:szCs w:val="26"/>
        </w:rPr>
        <w:t xml:space="preserve">лей, </w:t>
      </w:r>
      <w:r w:rsidRPr="00BF0050">
        <w:rPr>
          <w:sz w:val="26"/>
          <w:szCs w:val="26"/>
        </w:rPr>
        <w:t>первая очередь была введена в 2015 году, вторая намечена к вводу в 2016 году.</w:t>
      </w:r>
    </w:p>
    <w:p w:rsidR="00640E62" w:rsidRPr="00BF0050" w:rsidRDefault="00640E62" w:rsidP="00640E62">
      <w:pPr>
        <w:widowControl w:val="0"/>
        <w:spacing w:before="0" w:after="0"/>
        <w:ind w:firstLine="720"/>
        <w:jc w:val="both"/>
        <w:rPr>
          <w:sz w:val="26"/>
          <w:szCs w:val="26"/>
        </w:rPr>
      </w:pPr>
      <w:r w:rsidRPr="00BF0050">
        <w:rPr>
          <w:sz w:val="26"/>
          <w:szCs w:val="26"/>
        </w:rPr>
        <w:t xml:space="preserve">На 2016 год намечен официальный пуск первой очереди Богучанского алюминиевого завода (в тестовом режиме мощности работают с сентября 2015 г.), строительство </w:t>
      </w:r>
      <w:proofErr w:type="spellStart"/>
      <w:r w:rsidRPr="00BF0050">
        <w:rPr>
          <w:sz w:val="26"/>
          <w:szCs w:val="26"/>
        </w:rPr>
        <w:t>Тайшетского</w:t>
      </w:r>
      <w:proofErr w:type="spellEnd"/>
      <w:r w:rsidRPr="00BF0050">
        <w:rPr>
          <w:sz w:val="26"/>
          <w:szCs w:val="26"/>
        </w:rPr>
        <w:t xml:space="preserve"> завода, приостановленное из-за проблем </w:t>
      </w:r>
      <w:r w:rsidRPr="00BF0050">
        <w:rPr>
          <w:sz w:val="26"/>
          <w:szCs w:val="26"/>
        </w:rPr>
        <w:br/>
        <w:t>с кредитованием, продолжается, однако сроки ввода перенесены.</w:t>
      </w:r>
    </w:p>
    <w:p w:rsidR="00640E62" w:rsidRPr="00BF0050" w:rsidRDefault="00640E62" w:rsidP="00640E62">
      <w:pPr>
        <w:pStyle w:val="a6"/>
        <w:spacing w:before="0" w:after="0"/>
        <w:jc w:val="both"/>
        <w:rPr>
          <w:sz w:val="26"/>
          <w:szCs w:val="26"/>
        </w:rPr>
      </w:pPr>
      <w:r w:rsidRPr="00BF0050">
        <w:rPr>
          <w:sz w:val="26"/>
          <w:szCs w:val="26"/>
        </w:rPr>
        <w:t xml:space="preserve">Ведется создание новых обрабатывающих центров в особой экономической зоне «Титановая долина», техническое перевооружение заводов по обработке цветных металлов и дальнейшее развитие сырьевой базы. </w:t>
      </w:r>
    </w:p>
    <w:p w:rsidR="00640E62" w:rsidRPr="00BF0050" w:rsidRDefault="00640E62" w:rsidP="00640E62">
      <w:pPr>
        <w:pStyle w:val="afd"/>
        <w:spacing w:before="0" w:after="0"/>
        <w:ind w:left="0" w:firstLine="720"/>
        <w:jc w:val="both"/>
        <w:rPr>
          <w:sz w:val="26"/>
          <w:szCs w:val="26"/>
        </w:rPr>
      </w:pPr>
      <w:r w:rsidRPr="00BF0050">
        <w:rPr>
          <w:sz w:val="26"/>
          <w:szCs w:val="26"/>
        </w:rPr>
        <w:t>По оценкам мировых экспертов, завершен цикл роста в черной металлургии, который основывался на быстром развитии экономики Китая – основного потребителя стали (около 50 процентов).</w:t>
      </w:r>
    </w:p>
    <w:p w:rsidR="00640E62" w:rsidRPr="00BF0050" w:rsidRDefault="00640E62" w:rsidP="00640E62">
      <w:pPr>
        <w:widowControl w:val="0"/>
        <w:spacing w:before="0" w:after="0"/>
        <w:ind w:firstLine="720"/>
        <w:jc w:val="both"/>
        <w:rPr>
          <w:sz w:val="26"/>
          <w:szCs w:val="26"/>
        </w:rPr>
      </w:pPr>
      <w:r w:rsidRPr="00BF0050">
        <w:rPr>
          <w:sz w:val="26"/>
          <w:szCs w:val="26"/>
        </w:rPr>
        <w:t>В настоящее время на развитие отрасли неблагоприятное влияние оказывают следующие  факторы:</w:t>
      </w:r>
    </w:p>
    <w:p w:rsidR="00640E62" w:rsidRPr="00BF0050" w:rsidRDefault="00640E62" w:rsidP="00640E62">
      <w:pPr>
        <w:widowControl w:val="0"/>
        <w:spacing w:before="0" w:after="0"/>
        <w:ind w:firstLine="720"/>
        <w:jc w:val="both"/>
        <w:rPr>
          <w:sz w:val="26"/>
          <w:szCs w:val="26"/>
        </w:rPr>
      </w:pPr>
      <w:r w:rsidRPr="00BF0050">
        <w:rPr>
          <w:sz w:val="26"/>
          <w:szCs w:val="26"/>
        </w:rPr>
        <w:lastRenderedPageBreak/>
        <w:t xml:space="preserve">драйвер мирового роста – Китай – существенно затормозил темпы роста экономики (по прогнозу World Steel, спрос на сталь в Китае по итогам 2015 года может уменьшиться на 3,5 %, в 2016 году – еще на 2 процента); </w:t>
      </w:r>
    </w:p>
    <w:p w:rsidR="00640E62" w:rsidRPr="00BF0050" w:rsidRDefault="00640E62" w:rsidP="00640E62">
      <w:pPr>
        <w:widowControl w:val="0"/>
        <w:spacing w:before="0" w:after="0"/>
        <w:ind w:firstLine="720"/>
        <w:jc w:val="both"/>
        <w:rPr>
          <w:sz w:val="26"/>
          <w:szCs w:val="26"/>
        </w:rPr>
      </w:pPr>
      <w:r w:rsidRPr="00BF0050">
        <w:rPr>
          <w:sz w:val="26"/>
          <w:szCs w:val="26"/>
        </w:rPr>
        <w:t>низкий уровень инвестиций в отрасль;</w:t>
      </w:r>
    </w:p>
    <w:p w:rsidR="00640E62" w:rsidRPr="00BF0050" w:rsidRDefault="00640E62" w:rsidP="00640E62">
      <w:pPr>
        <w:widowControl w:val="0"/>
        <w:spacing w:before="0" w:after="0"/>
        <w:ind w:firstLine="720"/>
        <w:jc w:val="both"/>
        <w:rPr>
          <w:sz w:val="26"/>
          <w:szCs w:val="26"/>
        </w:rPr>
      </w:pPr>
      <w:r w:rsidRPr="00BF0050">
        <w:rPr>
          <w:sz w:val="26"/>
          <w:szCs w:val="26"/>
        </w:rPr>
        <w:t>геополитические конфликты.</w:t>
      </w:r>
    </w:p>
    <w:p w:rsidR="00640E62" w:rsidRPr="00BF0050" w:rsidRDefault="00640E62" w:rsidP="00640E62">
      <w:pPr>
        <w:widowControl w:val="0"/>
        <w:spacing w:before="0" w:after="0"/>
        <w:ind w:firstLine="720"/>
        <w:jc w:val="both"/>
        <w:rPr>
          <w:sz w:val="26"/>
          <w:szCs w:val="26"/>
        </w:rPr>
      </w:pPr>
      <w:r w:rsidRPr="00BF0050">
        <w:rPr>
          <w:sz w:val="26"/>
          <w:szCs w:val="26"/>
        </w:rPr>
        <w:t>Кроме того, совокупный избыток мировых мощностей превышает, по разным оценкам, 500–600 млн. тонн.</w:t>
      </w:r>
    </w:p>
    <w:p w:rsidR="00640E62" w:rsidRPr="00BF0050" w:rsidRDefault="00640E62" w:rsidP="00640E62">
      <w:pPr>
        <w:widowControl w:val="0"/>
        <w:spacing w:before="0" w:after="0"/>
        <w:ind w:firstLine="720"/>
        <w:jc w:val="both"/>
        <w:rPr>
          <w:sz w:val="26"/>
          <w:szCs w:val="26"/>
        </w:rPr>
      </w:pPr>
      <w:r w:rsidRPr="00BF0050">
        <w:rPr>
          <w:sz w:val="26"/>
          <w:szCs w:val="26"/>
        </w:rPr>
        <w:t>Экспорт стальной продукции в 2016 году будет иметь незначительный рост до 2019 года. С учетом значительного избытка мощностей в сегменте стальных труб экспорт данного вида продукции может  расти со среднегодовыми темпами  3–4 процента.</w:t>
      </w:r>
    </w:p>
    <w:p w:rsidR="00640E62" w:rsidRPr="00BF0050" w:rsidRDefault="00640E62" w:rsidP="00640E62">
      <w:pPr>
        <w:widowControl w:val="0"/>
        <w:spacing w:before="0" w:after="0"/>
        <w:ind w:firstLine="720"/>
        <w:jc w:val="both"/>
        <w:rPr>
          <w:sz w:val="26"/>
          <w:szCs w:val="26"/>
        </w:rPr>
      </w:pPr>
      <w:r w:rsidRPr="00BF0050">
        <w:rPr>
          <w:sz w:val="26"/>
          <w:szCs w:val="26"/>
        </w:rPr>
        <w:t xml:space="preserve">Черная металлургия, как важнейшая отрасль промежуточного потребления, обеспечивает конструкционными материалами как машиностроительный комплекс, </w:t>
      </w:r>
      <w:r w:rsidRPr="00BF0050">
        <w:rPr>
          <w:sz w:val="26"/>
          <w:szCs w:val="26"/>
        </w:rPr>
        <w:br/>
        <w:t>так и строительство.</w:t>
      </w:r>
    </w:p>
    <w:p w:rsidR="00640E62" w:rsidRPr="00BF0050" w:rsidRDefault="00640E62" w:rsidP="00640E62">
      <w:pPr>
        <w:widowControl w:val="0"/>
        <w:spacing w:before="0" w:after="0"/>
        <w:ind w:firstLine="720"/>
        <w:jc w:val="both"/>
        <w:rPr>
          <w:sz w:val="26"/>
          <w:szCs w:val="26"/>
        </w:rPr>
      </w:pPr>
      <w:r w:rsidRPr="00BF0050">
        <w:rPr>
          <w:sz w:val="26"/>
          <w:szCs w:val="26"/>
        </w:rPr>
        <w:t xml:space="preserve">На внутреннем рынке отмечается снижение потребности в продукции черной металлургии. В 2016 году возможно снижение внутреннего потребления </w:t>
      </w:r>
      <w:r w:rsidRPr="00BF0050">
        <w:rPr>
          <w:sz w:val="26"/>
          <w:szCs w:val="26"/>
        </w:rPr>
        <w:br/>
        <w:t>на 10 % относительно уровня 2015 года готового проката, и стальных труб.</w:t>
      </w:r>
    </w:p>
    <w:p w:rsidR="00640E62" w:rsidRPr="00BF0050" w:rsidRDefault="00640E62" w:rsidP="00640E62">
      <w:pPr>
        <w:widowControl w:val="0"/>
        <w:spacing w:before="0" w:after="0"/>
        <w:ind w:firstLine="720"/>
        <w:jc w:val="both"/>
        <w:rPr>
          <w:sz w:val="26"/>
          <w:szCs w:val="26"/>
        </w:rPr>
      </w:pPr>
      <w:r w:rsidRPr="00BF0050">
        <w:rPr>
          <w:sz w:val="26"/>
          <w:szCs w:val="26"/>
        </w:rPr>
        <w:t>В 2017 году ожидается постепенное восстановление производства с темпом роста   1–3 процента.</w:t>
      </w:r>
    </w:p>
    <w:p w:rsidR="00640E62" w:rsidRPr="00BF0050" w:rsidRDefault="00640E62" w:rsidP="00640E62">
      <w:pPr>
        <w:widowControl w:val="0"/>
        <w:spacing w:before="0" w:after="0"/>
        <w:ind w:firstLine="720"/>
        <w:jc w:val="both"/>
        <w:rPr>
          <w:sz w:val="26"/>
          <w:szCs w:val="26"/>
        </w:rPr>
      </w:pPr>
      <w:r w:rsidRPr="00BF0050">
        <w:rPr>
          <w:sz w:val="26"/>
          <w:szCs w:val="26"/>
        </w:rPr>
        <w:t xml:space="preserve">Крупные инвестиционные проекты в черной металлургии в основном завершены, </w:t>
      </w:r>
      <w:r w:rsidRPr="00BF0050">
        <w:rPr>
          <w:sz w:val="26"/>
          <w:szCs w:val="26"/>
        </w:rPr>
        <w:br/>
        <w:t>и в настоящее время наблюдается снижение инвестиционной активности.</w:t>
      </w:r>
    </w:p>
    <w:p w:rsidR="00640E62" w:rsidRPr="00BF0050" w:rsidRDefault="00640E62" w:rsidP="000D5110">
      <w:pPr>
        <w:widowControl w:val="0"/>
        <w:spacing w:before="0"/>
        <w:ind w:firstLine="720"/>
        <w:jc w:val="both"/>
        <w:rPr>
          <w:sz w:val="26"/>
          <w:szCs w:val="26"/>
        </w:rPr>
      </w:pPr>
      <w:r w:rsidRPr="00BF0050">
        <w:rPr>
          <w:sz w:val="26"/>
          <w:szCs w:val="26"/>
        </w:rPr>
        <w:t>Развитие металлургического комплекса, включая производство готовых металлических изделий</w:t>
      </w:r>
      <w:r w:rsidR="00DD7F3E" w:rsidRPr="00BF0050">
        <w:rPr>
          <w:sz w:val="26"/>
          <w:szCs w:val="26"/>
        </w:rPr>
        <w:t>,</w:t>
      </w:r>
      <w:r w:rsidRPr="00BF0050">
        <w:rPr>
          <w:sz w:val="26"/>
          <w:szCs w:val="26"/>
        </w:rPr>
        <w:t xml:space="preserve"> по базовому варианту предполагает рост индекса промышленного производства в 2019 году по отношению к 2015 году </w:t>
      </w:r>
      <w:r w:rsidR="00DD7F3E" w:rsidRPr="00BF0050">
        <w:rPr>
          <w:sz w:val="26"/>
          <w:szCs w:val="26"/>
        </w:rPr>
        <w:t xml:space="preserve">до </w:t>
      </w:r>
      <w:r w:rsidRPr="00BF0050">
        <w:rPr>
          <w:sz w:val="26"/>
          <w:szCs w:val="26"/>
        </w:rPr>
        <w:t>10</w:t>
      </w:r>
      <w:r w:rsidR="0062249B" w:rsidRPr="00BF0050">
        <w:rPr>
          <w:sz w:val="26"/>
          <w:szCs w:val="26"/>
        </w:rPr>
        <w:t>3</w:t>
      </w:r>
      <w:r w:rsidRPr="00BF0050">
        <w:rPr>
          <w:sz w:val="26"/>
          <w:szCs w:val="26"/>
        </w:rPr>
        <w:t>,</w:t>
      </w:r>
      <w:r w:rsidR="0062249B" w:rsidRPr="00BF0050">
        <w:rPr>
          <w:sz w:val="26"/>
          <w:szCs w:val="26"/>
        </w:rPr>
        <w:t xml:space="preserve">7 </w:t>
      </w:r>
      <w:r w:rsidRPr="00BF0050">
        <w:rPr>
          <w:sz w:val="26"/>
          <w:szCs w:val="26"/>
        </w:rPr>
        <w:t>процента. Инвестиции в целом по группе в 2019 году по отношению к 2015 году составят 115,6 процента.</w:t>
      </w:r>
    </w:p>
    <w:p w:rsidR="00640E62" w:rsidRPr="00BF0050" w:rsidRDefault="00640E62" w:rsidP="000D5110">
      <w:pPr>
        <w:spacing w:before="240" w:after="240" w:line="240" w:lineRule="auto"/>
        <w:rPr>
          <w:b/>
          <w:sz w:val="26"/>
          <w:szCs w:val="26"/>
        </w:rPr>
      </w:pPr>
      <w:r w:rsidRPr="00BF0050">
        <w:rPr>
          <w:b/>
          <w:sz w:val="26"/>
          <w:szCs w:val="26"/>
        </w:rPr>
        <w:t>Производство прочих неметаллических минеральных продуктов</w:t>
      </w:r>
    </w:p>
    <w:p w:rsidR="00640E62" w:rsidRPr="00BF0050" w:rsidRDefault="00640E62" w:rsidP="0019491B">
      <w:pPr>
        <w:spacing w:before="240" w:after="0"/>
        <w:contextualSpacing/>
        <w:jc w:val="both"/>
        <w:rPr>
          <w:sz w:val="26"/>
          <w:szCs w:val="26"/>
        </w:rPr>
      </w:pPr>
      <w:r w:rsidRPr="00BF0050">
        <w:rPr>
          <w:sz w:val="26"/>
          <w:szCs w:val="26"/>
        </w:rPr>
        <w:t xml:space="preserve">Индекс производства прочих неметаллических минеральных продуктов в 2015 году по сравнению с 2014 годом составил 92,2 процента. Динамика развития отрасли определялась сокращением спроса на строительные материалы со стороны строительного сектора (индекс по виду деятельности «Строительство» в 2015 году составил 93 % по сравнению с 2014 годом). В настоящее время загрузка мощностей по производству строительных материалов не превышает 70 %, что свидетельствует об имеющемся потенциале отрасли для увеличения объемов производства. </w:t>
      </w:r>
    </w:p>
    <w:p w:rsidR="00640E62" w:rsidRPr="00BF0050" w:rsidRDefault="00640E62" w:rsidP="00640E62">
      <w:pPr>
        <w:spacing w:before="0" w:after="0"/>
        <w:contextualSpacing/>
        <w:jc w:val="both"/>
        <w:rPr>
          <w:sz w:val="26"/>
          <w:szCs w:val="26"/>
        </w:rPr>
      </w:pPr>
      <w:r w:rsidRPr="00BF0050">
        <w:rPr>
          <w:sz w:val="26"/>
          <w:szCs w:val="26"/>
        </w:rPr>
        <w:t>В 2016</w:t>
      </w:r>
      <w:r w:rsidR="00063014" w:rsidRPr="00BF0050">
        <w:rPr>
          <w:sz w:val="26"/>
          <w:szCs w:val="26"/>
        </w:rPr>
        <w:t> </w:t>
      </w:r>
      <w:r w:rsidRPr="00BF0050">
        <w:rPr>
          <w:sz w:val="26"/>
          <w:szCs w:val="26"/>
        </w:rPr>
        <w:t>–</w:t>
      </w:r>
      <w:r w:rsidR="00063014" w:rsidRPr="00BF0050">
        <w:rPr>
          <w:sz w:val="26"/>
          <w:szCs w:val="26"/>
        </w:rPr>
        <w:t> </w:t>
      </w:r>
      <w:r w:rsidRPr="00BF0050">
        <w:rPr>
          <w:sz w:val="26"/>
          <w:szCs w:val="26"/>
        </w:rPr>
        <w:t>2019 гг. развитие отрасли прочих неметаллических минеральных продуктов будет определяться, в первую очередь, спросом со стороны строительного комплекса, который обусловлен темпами роста доходов населения и инвестиционной активности. В соответствии с данными Минстроя России, в 2016 – 2019 гг. предполагается сокращение жилищного строительства на 10–25 % в год.</w:t>
      </w:r>
    </w:p>
    <w:p w:rsidR="00640E62" w:rsidRPr="00BF0050" w:rsidRDefault="00640E62" w:rsidP="00640E62">
      <w:pPr>
        <w:widowControl w:val="0"/>
        <w:spacing w:before="0" w:after="0"/>
        <w:jc w:val="both"/>
        <w:rPr>
          <w:sz w:val="26"/>
          <w:szCs w:val="26"/>
        </w:rPr>
      </w:pPr>
      <w:r w:rsidRPr="00BF0050">
        <w:rPr>
          <w:sz w:val="26"/>
          <w:szCs w:val="26"/>
        </w:rPr>
        <w:t xml:space="preserve">Экспортные поставки строительных материалов ориентированы преимущественно </w:t>
      </w:r>
      <w:r w:rsidRPr="00BF0050">
        <w:rPr>
          <w:sz w:val="26"/>
          <w:szCs w:val="26"/>
        </w:rPr>
        <w:br/>
      </w:r>
      <w:r w:rsidRPr="00BF0050">
        <w:rPr>
          <w:sz w:val="26"/>
          <w:szCs w:val="26"/>
        </w:rPr>
        <w:lastRenderedPageBreak/>
        <w:t xml:space="preserve">на страны СНГ (прежде всего на Украину и в Казахстан). Однако, принимая во внимание динамику развития мировой экономики, следует констатировать отсутствие предпосылок, обусловливающих существенное увеличение экспортных поставок строительных материалов. </w:t>
      </w:r>
    </w:p>
    <w:p w:rsidR="00640E62" w:rsidRPr="00BF0050" w:rsidRDefault="00640E62" w:rsidP="00640E62">
      <w:pPr>
        <w:widowControl w:val="0"/>
        <w:spacing w:before="0" w:after="0"/>
        <w:jc w:val="both"/>
        <w:rPr>
          <w:sz w:val="26"/>
          <w:szCs w:val="26"/>
        </w:rPr>
      </w:pPr>
      <w:r w:rsidRPr="00BF0050">
        <w:rPr>
          <w:sz w:val="26"/>
          <w:szCs w:val="26"/>
        </w:rPr>
        <w:t>Импортные поставки большинства видов строительных материалов, как правило, носят приграничный характер, что обусловлено существенной долей транспортных расходов в стоимости строительных материалов, а также обеспеченностью продукцией российской производства по основным видам продукции.</w:t>
      </w:r>
    </w:p>
    <w:p w:rsidR="00640E62" w:rsidRPr="00BF0050" w:rsidRDefault="00640E62" w:rsidP="00B460B2">
      <w:pPr>
        <w:spacing w:before="0" w:after="240"/>
        <w:jc w:val="both"/>
        <w:rPr>
          <w:color w:val="000000"/>
          <w:sz w:val="26"/>
          <w:szCs w:val="26"/>
        </w:rPr>
      </w:pPr>
      <w:r w:rsidRPr="00BF0050">
        <w:rPr>
          <w:sz w:val="26"/>
          <w:szCs w:val="26"/>
        </w:rPr>
        <w:t xml:space="preserve">Таким образом, развитие производства прочих неметаллических минеральных продуктов в 2016 – 2019 гг. будет характеризоваться замедляющейся динамикой. </w:t>
      </w:r>
      <w:r w:rsidRPr="00BF0050">
        <w:rPr>
          <w:color w:val="000000"/>
          <w:sz w:val="26"/>
          <w:szCs w:val="26"/>
        </w:rPr>
        <w:t xml:space="preserve">Темп роста производства прочих неметаллических минеральных продуктов </w:t>
      </w:r>
      <w:r w:rsidRPr="00BF0050">
        <w:rPr>
          <w:color w:val="000000"/>
          <w:sz w:val="26"/>
          <w:szCs w:val="26"/>
        </w:rPr>
        <w:br/>
        <w:t xml:space="preserve">в </w:t>
      </w:r>
      <w:r w:rsidR="00DD7F3E" w:rsidRPr="00BF0050">
        <w:rPr>
          <w:color w:val="000000"/>
          <w:sz w:val="26"/>
          <w:szCs w:val="26"/>
        </w:rPr>
        <w:t> </w:t>
      </w:r>
      <w:r w:rsidRPr="00BF0050">
        <w:rPr>
          <w:color w:val="000000"/>
          <w:sz w:val="26"/>
          <w:szCs w:val="26"/>
        </w:rPr>
        <w:t xml:space="preserve">2019 году  по отношению к 2015 году составит </w:t>
      </w:r>
      <w:r w:rsidR="0053649C" w:rsidRPr="00BF0050">
        <w:rPr>
          <w:color w:val="000000"/>
          <w:sz w:val="26"/>
          <w:szCs w:val="26"/>
        </w:rPr>
        <w:t>96</w:t>
      </w:r>
      <w:r w:rsidR="00586026" w:rsidRPr="00BF0050">
        <w:rPr>
          <w:color w:val="000000"/>
          <w:sz w:val="26"/>
          <w:szCs w:val="26"/>
        </w:rPr>
        <w:t>,</w:t>
      </w:r>
      <w:r w:rsidR="0053649C" w:rsidRPr="00BF0050">
        <w:rPr>
          <w:color w:val="000000"/>
          <w:sz w:val="26"/>
          <w:szCs w:val="26"/>
        </w:rPr>
        <w:t xml:space="preserve">0 </w:t>
      </w:r>
      <w:r w:rsidRPr="00BF0050">
        <w:rPr>
          <w:color w:val="000000"/>
          <w:sz w:val="26"/>
          <w:szCs w:val="26"/>
        </w:rPr>
        <w:t>процент</w:t>
      </w:r>
      <w:r w:rsidR="00586026" w:rsidRPr="00BF0050">
        <w:rPr>
          <w:color w:val="000000"/>
          <w:sz w:val="26"/>
          <w:szCs w:val="26"/>
        </w:rPr>
        <w:t>а</w:t>
      </w:r>
      <w:r w:rsidRPr="00BF0050">
        <w:rPr>
          <w:color w:val="000000"/>
          <w:sz w:val="26"/>
          <w:szCs w:val="26"/>
        </w:rPr>
        <w:t>.</w:t>
      </w:r>
    </w:p>
    <w:p w:rsidR="002B23BA" w:rsidRPr="00BF0050" w:rsidRDefault="002B23BA" w:rsidP="000D5110">
      <w:pPr>
        <w:widowControl w:val="0"/>
        <w:spacing w:before="240" w:after="240"/>
        <w:jc w:val="both"/>
        <w:rPr>
          <w:b/>
          <w:color w:val="000000"/>
          <w:sz w:val="26"/>
          <w:szCs w:val="26"/>
        </w:rPr>
      </w:pPr>
      <w:r w:rsidRPr="00BF0050">
        <w:rPr>
          <w:b/>
          <w:color w:val="000000"/>
          <w:sz w:val="26"/>
          <w:szCs w:val="26"/>
        </w:rPr>
        <w:t>Химический комплекс</w:t>
      </w:r>
    </w:p>
    <w:p w:rsidR="00640E62" w:rsidRPr="00BF0050" w:rsidRDefault="00640E62" w:rsidP="00CC0A8C">
      <w:pPr>
        <w:spacing w:before="0" w:after="0"/>
        <w:contextualSpacing/>
        <w:jc w:val="both"/>
        <w:rPr>
          <w:sz w:val="26"/>
          <w:szCs w:val="26"/>
        </w:rPr>
      </w:pPr>
      <w:r w:rsidRPr="00BF0050">
        <w:rPr>
          <w:sz w:val="26"/>
          <w:szCs w:val="26"/>
        </w:rPr>
        <w:t>Снижение мировых цен на нефть и произошедшие изменения макроэкономических условий повлияли на инвестиционную активность предприятий отрасли и финансово-экономическое состояние предприятий химического комплекса</w:t>
      </w:r>
      <w:bookmarkStart w:id="37" w:name="_MON_1454330375"/>
      <w:bookmarkStart w:id="38" w:name="_MON_1454394675"/>
      <w:bookmarkStart w:id="39" w:name="_MON_1454396140"/>
      <w:bookmarkStart w:id="40" w:name="_MON_1454396924"/>
      <w:bookmarkStart w:id="41" w:name="_MON_1454398941"/>
      <w:bookmarkStart w:id="42" w:name="_MON_1454400728"/>
      <w:bookmarkStart w:id="43" w:name="_MON_1454401249"/>
      <w:bookmarkStart w:id="44" w:name="_MON_1454401452"/>
      <w:bookmarkStart w:id="45" w:name="_MON_1454401534"/>
      <w:bookmarkStart w:id="46" w:name="_MON_1454401566"/>
      <w:bookmarkStart w:id="47" w:name="_MON_1454401636"/>
      <w:bookmarkStart w:id="48" w:name="_MON_1454401890"/>
      <w:bookmarkStart w:id="49" w:name="_MON_1454401929"/>
      <w:bookmarkStart w:id="50" w:name="_MON_1454401965"/>
      <w:bookmarkStart w:id="51" w:name="_MON_1454402165"/>
      <w:bookmarkStart w:id="52" w:name="_MON_1454329778"/>
      <w:bookmarkStart w:id="53" w:name="_MON_145432994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BF0050">
        <w:rPr>
          <w:sz w:val="26"/>
          <w:szCs w:val="26"/>
        </w:rPr>
        <w:t xml:space="preserve"> в 2015 году. Однако, несмотря на высокие инвестиционные риски по реализации ранее намеченных проектов</w:t>
      </w:r>
      <w:r w:rsidRPr="00BF0050">
        <w:rPr>
          <w:sz w:val="26"/>
          <w:szCs w:val="26"/>
        </w:rPr>
        <w:br/>
        <w:t xml:space="preserve">и пересмотр компаниями химической отрасли своих инвестиционных программ </w:t>
      </w:r>
      <w:r w:rsidRPr="00BF0050">
        <w:rPr>
          <w:sz w:val="26"/>
          <w:szCs w:val="26"/>
        </w:rPr>
        <w:br/>
        <w:t xml:space="preserve">в 2015 году, крупные компании химического комплекса (ОАО «ФосАгро», </w:t>
      </w:r>
      <w:r w:rsidRPr="00BF0050">
        <w:rPr>
          <w:sz w:val="26"/>
          <w:szCs w:val="26"/>
        </w:rPr>
        <w:br/>
        <w:t>ЗАО «</w:t>
      </w:r>
      <w:proofErr w:type="spellStart"/>
      <w:r w:rsidRPr="00BF0050">
        <w:rPr>
          <w:sz w:val="26"/>
          <w:szCs w:val="26"/>
        </w:rPr>
        <w:t>Метахим</w:t>
      </w:r>
      <w:proofErr w:type="spellEnd"/>
      <w:r w:rsidRPr="00BF0050">
        <w:rPr>
          <w:sz w:val="26"/>
          <w:szCs w:val="26"/>
        </w:rPr>
        <w:t>», ОАО «МХК «</w:t>
      </w:r>
      <w:proofErr w:type="spellStart"/>
      <w:r w:rsidRPr="00BF0050">
        <w:rPr>
          <w:sz w:val="26"/>
          <w:szCs w:val="26"/>
        </w:rPr>
        <w:t>ЕвроХим</w:t>
      </w:r>
      <w:proofErr w:type="spellEnd"/>
      <w:r w:rsidRPr="00BF0050">
        <w:rPr>
          <w:sz w:val="26"/>
          <w:szCs w:val="26"/>
        </w:rPr>
        <w:t xml:space="preserve">», ЗАО «Газпром химволокно», </w:t>
      </w:r>
      <w:r w:rsidRPr="00BF0050">
        <w:rPr>
          <w:sz w:val="26"/>
          <w:szCs w:val="26"/>
        </w:rPr>
        <w:br/>
        <w:t>ОАО «Щекиноазот», ПАО «Казаньоргсинтез», ОАО «</w:t>
      </w:r>
      <w:proofErr w:type="spellStart"/>
      <w:r w:rsidRPr="00BF0050">
        <w:rPr>
          <w:sz w:val="26"/>
          <w:szCs w:val="26"/>
        </w:rPr>
        <w:t>Тольяттиазот</w:t>
      </w:r>
      <w:proofErr w:type="spellEnd"/>
      <w:r w:rsidRPr="00BF0050">
        <w:rPr>
          <w:sz w:val="26"/>
          <w:szCs w:val="26"/>
        </w:rPr>
        <w:t>») продолжили свою инвестиционную деятельность.</w:t>
      </w:r>
    </w:p>
    <w:p w:rsidR="00640E62" w:rsidRPr="00BF0050" w:rsidRDefault="00640E62" w:rsidP="00640E62">
      <w:pPr>
        <w:spacing w:before="0" w:after="0"/>
        <w:ind w:firstLine="720"/>
        <w:jc w:val="both"/>
        <w:rPr>
          <w:sz w:val="26"/>
          <w:szCs w:val="26"/>
        </w:rPr>
      </w:pPr>
      <w:r w:rsidRPr="00BF0050">
        <w:rPr>
          <w:sz w:val="26"/>
          <w:szCs w:val="26"/>
        </w:rPr>
        <w:t>Существенный рост отрасли обеспечен рядом факторов, в том числе девальвацией рубля, позволившей предприятиям увеличить экспортные поставки</w:t>
      </w:r>
      <w:r w:rsidRPr="00BF0050">
        <w:rPr>
          <w:sz w:val="26"/>
          <w:szCs w:val="26"/>
        </w:rPr>
        <w:br/>
        <w:t>и сократить импортные закупки отдельных видов продукции на фоне уменьшения внутреннего спроса. Реализация за последние годы крупных проектов в области производства полимеров, минеральных удобрений, аммиака и метанола также являлась одним из факторов роста.</w:t>
      </w:r>
    </w:p>
    <w:p w:rsidR="00640E62" w:rsidRPr="00BF0050" w:rsidRDefault="00640E62" w:rsidP="00640E62">
      <w:pPr>
        <w:spacing w:before="0" w:after="0"/>
        <w:contextualSpacing/>
        <w:jc w:val="both"/>
        <w:rPr>
          <w:sz w:val="26"/>
          <w:szCs w:val="26"/>
        </w:rPr>
      </w:pPr>
      <w:r w:rsidRPr="00BF0050">
        <w:rPr>
          <w:sz w:val="26"/>
          <w:szCs w:val="26"/>
        </w:rPr>
        <w:t>Девальвация рубля и конъюнктура цен на газ стимулировали рост объемов экспортно ориентированных минеральных удобрений. Так, рост экспорта минеральных удобрений в физических единицах в 2015 году по отношению к 2014 году составил 102,4 процента. В период до 2019 года предполагается дальнейший рост производства и экспорта минеральных удобрений.</w:t>
      </w:r>
    </w:p>
    <w:p w:rsidR="00640E62" w:rsidRPr="00BF0050" w:rsidRDefault="00640E62" w:rsidP="00640E62">
      <w:pPr>
        <w:spacing w:before="0" w:after="0"/>
        <w:contextualSpacing/>
        <w:jc w:val="both"/>
        <w:rPr>
          <w:sz w:val="26"/>
          <w:szCs w:val="26"/>
        </w:rPr>
      </w:pPr>
      <w:r w:rsidRPr="00BF0050">
        <w:rPr>
          <w:sz w:val="26"/>
          <w:szCs w:val="26"/>
        </w:rPr>
        <w:t>Девальвация рубля в дальнейшем будет выступать стимулом замещения выпадающего импорта химической продукции, одновременно существенно увеличивая стоимость закупаемого импортного оборудования, особенно для производства химической продукции с высокой добавленной стоимостью.</w:t>
      </w:r>
    </w:p>
    <w:p w:rsidR="00640E62" w:rsidRPr="00BF0050" w:rsidRDefault="00640E62" w:rsidP="00640E62">
      <w:pPr>
        <w:spacing w:before="0" w:after="0"/>
        <w:contextualSpacing/>
        <w:jc w:val="both"/>
        <w:rPr>
          <w:sz w:val="26"/>
          <w:szCs w:val="26"/>
        </w:rPr>
      </w:pPr>
      <w:r w:rsidRPr="00BF0050">
        <w:rPr>
          <w:sz w:val="26"/>
          <w:szCs w:val="26"/>
        </w:rPr>
        <w:lastRenderedPageBreak/>
        <w:t>Кроме того, на реализацию проектов в химическом комплексе негативное влияние окажут ограничения по доступу к заемному капиталу, а также возможное сокращение прибыльности с учетом реализации налогового маневра в нефтехимии.</w:t>
      </w:r>
    </w:p>
    <w:p w:rsidR="00640E62" w:rsidRPr="00BF0050" w:rsidRDefault="00640E62" w:rsidP="00640E62">
      <w:pPr>
        <w:spacing w:before="0" w:after="0"/>
        <w:contextualSpacing/>
        <w:jc w:val="both"/>
        <w:rPr>
          <w:sz w:val="26"/>
          <w:szCs w:val="26"/>
        </w:rPr>
      </w:pPr>
      <w:r w:rsidRPr="00BF0050">
        <w:rPr>
          <w:sz w:val="26"/>
          <w:szCs w:val="26"/>
        </w:rPr>
        <w:t xml:space="preserve">В среднесрочной перспективе реализация инвестиционных проектов в нефтехимии, в том числе по выпуску импортозамещающей продукции, продолжится с возможной корректировкой рядом компаний (ПАО «Нижнекамскнефтехим», ОАО «Газпром </w:t>
      </w:r>
      <w:proofErr w:type="spellStart"/>
      <w:r w:rsidRPr="00BF0050">
        <w:rPr>
          <w:sz w:val="26"/>
          <w:szCs w:val="26"/>
        </w:rPr>
        <w:t>нефтехим</w:t>
      </w:r>
      <w:proofErr w:type="spellEnd"/>
      <w:r w:rsidRPr="00BF0050">
        <w:rPr>
          <w:sz w:val="26"/>
          <w:szCs w:val="26"/>
        </w:rPr>
        <w:t xml:space="preserve"> Салават», ПАО «</w:t>
      </w:r>
      <w:proofErr w:type="spellStart"/>
      <w:r w:rsidRPr="00BF0050">
        <w:rPr>
          <w:sz w:val="26"/>
          <w:szCs w:val="26"/>
        </w:rPr>
        <w:t>Сибур</w:t>
      </w:r>
      <w:proofErr w:type="spellEnd"/>
      <w:r w:rsidRPr="00BF0050">
        <w:rPr>
          <w:sz w:val="26"/>
          <w:szCs w:val="26"/>
        </w:rPr>
        <w:t xml:space="preserve"> Холдинг», ОАО «БСК», ПАО АНК «</w:t>
      </w:r>
      <w:proofErr w:type="spellStart"/>
      <w:r w:rsidRPr="00BF0050">
        <w:rPr>
          <w:sz w:val="26"/>
          <w:szCs w:val="26"/>
        </w:rPr>
        <w:t>Башнефть</w:t>
      </w:r>
      <w:proofErr w:type="spellEnd"/>
      <w:r w:rsidRPr="00BF0050">
        <w:rPr>
          <w:sz w:val="26"/>
          <w:szCs w:val="26"/>
        </w:rPr>
        <w:t xml:space="preserve">», </w:t>
      </w:r>
      <w:r w:rsidRPr="00BF0050">
        <w:rPr>
          <w:sz w:val="26"/>
          <w:szCs w:val="26"/>
        </w:rPr>
        <w:br/>
        <w:t>ПАО «НК «ЛУКОЙЛ», ПАО «ГАЗПРОМ», ООО «УК «Татнефть-</w:t>
      </w:r>
      <w:proofErr w:type="spellStart"/>
      <w:r w:rsidRPr="00BF0050">
        <w:rPr>
          <w:sz w:val="26"/>
          <w:szCs w:val="26"/>
        </w:rPr>
        <w:t>Нефтехим</w:t>
      </w:r>
      <w:proofErr w:type="spellEnd"/>
      <w:r w:rsidRPr="00BF0050">
        <w:rPr>
          <w:sz w:val="26"/>
          <w:szCs w:val="26"/>
        </w:rPr>
        <w:t>»). Успешная реализация указанных проектов также будет способствовать развитию экспортного потенциала конкурентоспособной полимерной продукции, которая может стать локомотивом химического производства.</w:t>
      </w:r>
    </w:p>
    <w:p w:rsidR="00640E62" w:rsidRPr="00BF0050" w:rsidRDefault="00640E62" w:rsidP="00640E62">
      <w:pPr>
        <w:spacing w:before="0" w:after="0"/>
        <w:contextualSpacing/>
        <w:jc w:val="both"/>
        <w:rPr>
          <w:sz w:val="26"/>
          <w:szCs w:val="26"/>
        </w:rPr>
      </w:pPr>
      <w:r w:rsidRPr="00BF0050">
        <w:rPr>
          <w:sz w:val="26"/>
          <w:szCs w:val="26"/>
        </w:rPr>
        <w:t>Развитие химического производства и производства резиновых и пластмассовых изделий в период до 2019 года ожидается темпами, опережающими промышленное производство в целом. При этом более динамичное развитие предполагается</w:t>
      </w:r>
      <w:r w:rsidRPr="00BF0050">
        <w:rPr>
          <w:sz w:val="26"/>
          <w:szCs w:val="26"/>
        </w:rPr>
        <w:br/>
        <w:t>в производстве отдельных базовых полимеров (полимеры этилена, пропилена, винилхлорида), минеральных удобрений, а также шин, покрышек пневматических для легковых и грузовых автомобилей.</w:t>
      </w:r>
    </w:p>
    <w:p w:rsidR="00640E62" w:rsidRPr="00BF0050" w:rsidRDefault="00640E62" w:rsidP="00CC0A8C">
      <w:pPr>
        <w:spacing w:before="240" w:after="240"/>
        <w:jc w:val="both"/>
        <w:rPr>
          <w:b/>
          <w:color w:val="000000"/>
          <w:sz w:val="26"/>
          <w:szCs w:val="26"/>
        </w:rPr>
      </w:pPr>
      <w:r w:rsidRPr="00BF0050">
        <w:rPr>
          <w:b/>
          <w:color w:val="000000"/>
          <w:sz w:val="26"/>
          <w:szCs w:val="26"/>
        </w:rPr>
        <w:t xml:space="preserve">Лесопромышленный комплекс </w:t>
      </w:r>
    </w:p>
    <w:p w:rsidR="00640E62" w:rsidRPr="00BF0050" w:rsidRDefault="00640E62" w:rsidP="00640E62">
      <w:pPr>
        <w:spacing w:before="0" w:after="0"/>
        <w:jc w:val="both"/>
        <w:rPr>
          <w:sz w:val="26"/>
          <w:szCs w:val="26"/>
        </w:rPr>
      </w:pPr>
      <w:r w:rsidRPr="00BF0050">
        <w:rPr>
          <w:color w:val="000000"/>
          <w:sz w:val="26"/>
          <w:szCs w:val="26"/>
        </w:rPr>
        <w:t>В 2015 году по сравнению с 2014 годом индекс производства по обработке древесины и производству изделий из дерева составил 96,6 %; по целлюлозно-бумажному производству, издательской и полиграфической деятельности – 93,7</w:t>
      </w:r>
      <w:r w:rsidR="00DD7F3E" w:rsidRPr="00BF0050">
        <w:rPr>
          <w:color w:val="000000"/>
          <w:sz w:val="26"/>
          <w:szCs w:val="26"/>
        </w:rPr>
        <w:t> </w:t>
      </w:r>
      <w:r w:rsidRPr="00BF0050">
        <w:rPr>
          <w:color w:val="000000"/>
          <w:sz w:val="26"/>
          <w:szCs w:val="26"/>
        </w:rPr>
        <w:t xml:space="preserve">% (в том числе </w:t>
      </w:r>
      <w:r w:rsidRPr="00BF0050">
        <w:rPr>
          <w:color w:val="000000"/>
          <w:sz w:val="26"/>
          <w:szCs w:val="26"/>
        </w:rPr>
        <w:br/>
        <w:t xml:space="preserve">по производству целлюлозы, древесной массы, бумаги, картона и изделий из них – 100,1 %, издательской и полиграфической деятельности, тиражированию записанных носителей информации – 89,2 процента). </w:t>
      </w:r>
      <w:r w:rsidRPr="00BF0050">
        <w:rPr>
          <w:noProof/>
          <w:sz w:val="26"/>
          <w:szCs w:val="26"/>
        </w:rPr>
        <w:t>Сокращение производства по</w:t>
      </w:r>
      <w:r w:rsidRPr="00BF0050">
        <w:rPr>
          <w:b/>
          <w:noProof/>
          <w:sz w:val="26"/>
          <w:szCs w:val="26"/>
        </w:rPr>
        <w:t xml:space="preserve"> </w:t>
      </w:r>
      <w:r w:rsidRPr="00BF0050">
        <w:rPr>
          <w:noProof/>
          <w:sz w:val="26"/>
          <w:szCs w:val="26"/>
        </w:rPr>
        <w:t xml:space="preserve">обработке древесины и производству изделий из дерева в 2015 году обусловлено сокращением объемов производства конструкционных материалов (86,1 % по сравнению </w:t>
      </w:r>
      <w:r w:rsidR="002B23BA" w:rsidRPr="00BF0050">
        <w:rPr>
          <w:noProof/>
          <w:sz w:val="26"/>
          <w:szCs w:val="26"/>
        </w:rPr>
        <w:t>с </w:t>
      </w:r>
      <w:r w:rsidRPr="00BF0050">
        <w:rPr>
          <w:noProof/>
          <w:sz w:val="26"/>
          <w:szCs w:val="26"/>
        </w:rPr>
        <w:t>аналогичным показателем 2014 года); сокращение производства по</w:t>
      </w:r>
      <w:r w:rsidRPr="00BF0050">
        <w:rPr>
          <w:b/>
          <w:noProof/>
          <w:sz w:val="26"/>
          <w:szCs w:val="26"/>
        </w:rPr>
        <w:t xml:space="preserve"> </w:t>
      </w:r>
      <w:r w:rsidRPr="00BF0050">
        <w:rPr>
          <w:noProof/>
          <w:sz w:val="26"/>
          <w:szCs w:val="26"/>
        </w:rPr>
        <w:t xml:space="preserve">целлюлозно-бумажной продукции; издательской и полиграфической деятельности в 2015 году связано в первую очередь с уменьшением объема </w:t>
      </w:r>
      <w:r w:rsidRPr="00BF0050">
        <w:rPr>
          <w:bCs/>
          <w:sz w:val="26"/>
          <w:szCs w:val="26"/>
        </w:rPr>
        <w:t xml:space="preserve">производства по виду деятельности «Издательская и полиграфическая деятельность, тиражирование записанных носителей информации» </w:t>
      </w:r>
      <w:r w:rsidRPr="00BF0050">
        <w:rPr>
          <w:noProof/>
          <w:sz w:val="26"/>
          <w:szCs w:val="26"/>
        </w:rPr>
        <w:t>(89,2 % по сравнению с аналогичным показателем 2014 года)</w:t>
      </w:r>
      <w:r w:rsidRPr="00BF0050">
        <w:rPr>
          <w:bCs/>
          <w:sz w:val="26"/>
          <w:szCs w:val="26"/>
        </w:rPr>
        <w:t>.</w:t>
      </w:r>
    </w:p>
    <w:p w:rsidR="00640E62" w:rsidRPr="00BF0050" w:rsidRDefault="00640E62" w:rsidP="00640E62">
      <w:pPr>
        <w:spacing w:before="0" w:after="0"/>
        <w:ind w:firstLine="708"/>
        <w:jc w:val="both"/>
        <w:rPr>
          <w:sz w:val="26"/>
          <w:szCs w:val="26"/>
        </w:rPr>
      </w:pPr>
      <w:r w:rsidRPr="00BF0050">
        <w:rPr>
          <w:sz w:val="26"/>
          <w:szCs w:val="26"/>
        </w:rPr>
        <w:t xml:space="preserve">В настоящее время отрасль характеризуется нехваткой мощностей </w:t>
      </w:r>
      <w:r w:rsidRPr="00BF0050">
        <w:rPr>
          <w:sz w:val="26"/>
          <w:szCs w:val="26"/>
        </w:rPr>
        <w:br/>
        <w:t xml:space="preserve">по производству продукции глубокой переработки, так как на действующих предприятиях резервы этих мощностей практически исчерпаны (в 2014 году </w:t>
      </w:r>
      <w:r w:rsidRPr="00BF0050">
        <w:rPr>
          <w:sz w:val="26"/>
          <w:szCs w:val="26"/>
        </w:rPr>
        <w:br/>
        <w:t xml:space="preserve">в Российской Федерации использование среднегодовых мощностей составляло </w:t>
      </w:r>
      <w:r w:rsidRPr="00BF0050">
        <w:rPr>
          <w:sz w:val="26"/>
          <w:szCs w:val="26"/>
        </w:rPr>
        <w:br/>
        <w:t xml:space="preserve">по производству лесоматериалов, продольно распиленных или расколотых 47,9 %; пиломатериалов – 49,1 %; фанеры клееной – 82,3 %; плит древесностружечных – 84,5 %; плит древесноволокнистых – 77,15 %; целлюлозы древесной и целлюлозы из прочих </w:t>
      </w:r>
      <w:r w:rsidRPr="00BF0050">
        <w:rPr>
          <w:sz w:val="26"/>
          <w:szCs w:val="26"/>
        </w:rPr>
        <w:lastRenderedPageBreak/>
        <w:t xml:space="preserve">волокнистых материалов – 77,9 %; бумаги – 82,8 %; картона – 79,4 %), а также </w:t>
      </w:r>
      <w:r w:rsidRPr="00BF0050">
        <w:rPr>
          <w:sz w:val="26"/>
          <w:szCs w:val="26"/>
        </w:rPr>
        <w:br/>
        <w:t>их неравномерным размещением на территории Российской Федерации.</w:t>
      </w:r>
    </w:p>
    <w:p w:rsidR="00640E62" w:rsidRPr="00BF0050" w:rsidRDefault="00640E62" w:rsidP="00640E62">
      <w:pPr>
        <w:spacing w:before="0" w:after="0"/>
        <w:jc w:val="both"/>
        <w:rPr>
          <w:b/>
          <w:i/>
          <w:sz w:val="26"/>
          <w:szCs w:val="26"/>
        </w:rPr>
      </w:pPr>
      <w:proofErr w:type="gramStart"/>
      <w:r w:rsidRPr="00BF0050">
        <w:rPr>
          <w:sz w:val="26"/>
          <w:szCs w:val="26"/>
        </w:rPr>
        <w:t xml:space="preserve">В 2016 – 2019 гг. ожидается умеренная динамика развития лесопромышленного комплекса, </w:t>
      </w:r>
      <w:r w:rsidR="000E1EA1" w:rsidRPr="00BF0050">
        <w:rPr>
          <w:sz w:val="26"/>
          <w:szCs w:val="26"/>
        </w:rPr>
        <w:t xml:space="preserve">поддерживаемая </w:t>
      </w:r>
      <w:r w:rsidRPr="00BF0050">
        <w:rPr>
          <w:sz w:val="26"/>
          <w:szCs w:val="26"/>
        </w:rPr>
        <w:t>сохранением тенденций умеренного роста внутреннего потребления продукции лесопромышленного комплекса (обусловленного темпами роста доходов населения и торговли, ситуацией в жилищном строительстве, объемами строительных работ) и внешнего спроса на некоторые виды продукции, традиционно экспортируемой из Российской Федерации (обусловленного ростом развития мировой экономики), а также некоторым ростом объемов производства полиграфической отрасли (обусловленного</w:t>
      </w:r>
      <w:proofErr w:type="gramEnd"/>
      <w:r w:rsidRPr="00BF0050">
        <w:rPr>
          <w:sz w:val="26"/>
          <w:szCs w:val="26"/>
        </w:rPr>
        <w:t xml:space="preserve"> принятием мер по снижению ввозной таможенной пошлины </w:t>
      </w:r>
      <w:r w:rsidRPr="00BF0050">
        <w:rPr>
          <w:sz w:val="26"/>
          <w:szCs w:val="26"/>
        </w:rPr>
        <w:br/>
        <w:t>на мелованную бумагу).</w:t>
      </w:r>
    </w:p>
    <w:p w:rsidR="00640E62" w:rsidRPr="00BF0050" w:rsidRDefault="00640E62" w:rsidP="00640E62">
      <w:pPr>
        <w:spacing w:before="0" w:after="0"/>
        <w:ind w:firstLine="720"/>
        <w:jc w:val="both"/>
        <w:rPr>
          <w:sz w:val="26"/>
          <w:szCs w:val="26"/>
        </w:rPr>
      </w:pPr>
      <w:r w:rsidRPr="00BF0050">
        <w:rPr>
          <w:sz w:val="26"/>
          <w:szCs w:val="26"/>
        </w:rPr>
        <w:t>Основными рисками, способными оказать влияние на торможение развития лесопромышленного комплекса Российской Федерации</w:t>
      </w:r>
      <w:r w:rsidR="000E1EA1" w:rsidRPr="00BF0050">
        <w:rPr>
          <w:sz w:val="26"/>
          <w:szCs w:val="26"/>
        </w:rPr>
        <w:t>,</w:t>
      </w:r>
      <w:r w:rsidRPr="00BF0050">
        <w:rPr>
          <w:sz w:val="26"/>
          <w:szCs w:val="26"/>
        </w:rPr>
        <w:t xml:space="preserve"> будут являться:</w:t>
      </w:r>
    </w:p>
    <w:p w:rsidR="00640E62" w:rsidRPr="00BF0050" w:rsidRDefault="003F7B1A" w:rsidP="007E1A35">
      <w:pPr>
        <w:pStyle w:val="aff4"/>
        <w:tabs>
          <w:tab w:val="left" w:pos="1134"/>
          <w:tab w:val="left" w:pos="9360"/>
        </w:tabs>
        <w:spacing w:before="0" w:after="0"/>
        <w:ind w:firstLine="709"/>
        <w:rPr>
          <w:sz w:val="26"/>
          <w:szCs w:val="26"/>
        </w:rPr>
      </w:pPr>
      <w:r w:rsidRPr="00BF0050">
        <w:rPr>
          <w:sz w:val="26"/>
          <w:szCs w:val="26"/>
        </w:rPr>
        <w:t>- </w:t>
      </w:r>
      <w:r w:rsidR="00640E62" w:rsidRPr="00BF0050">
        <w:rPr>
          <w:sz w:val="26"/>
          <w:szCs w:val="26"/>
        </w:rPr>
        <w:t xml:space="preserve">изменение факторов, влияющих на спрос на продукцию ЛПК: ухудшение динамики доходов населения, инвестиций в основной капитал в секторах-потребителях </w:t>
      </w:r>
      <w:r w:rsidR="00640E62" w:rsidRPr="00BF0050">
        <w:rPr>
          <w:sz w:val="26"/>
          <w:szCs w:val="26"/>
        </w:rPr>
        <w:br/>
        <w:t>(в первую очередь, строительная отрасль);</w:t>
      </w:r>
    </w:p>
    <w:p w:rsidR="00640E62" w:rsidRPr="00BF0050" w:rsidRDefault="003F7B1A" w:rsidP="00640E62">
      <w:pPr>
        <w:pStyle w:val="aff4"/>
        <w:widowControl w:val="0"/>
        <w:tabs>
          <w:tab w:val="left" w:pos="1134"/>
          <w:tab w:val="left" w:pos="9360"/>
        </w:tabs>
        <w:spacing w:before="0" w:after="0"/>
        <w:ind w:firstLine="709"/>
        <w:rPr>
          <w:color w:val="000000"/>
          <w:spacing w:val="-1"/>
          <w:sz w:val="26"/>
          <w:szCs w:val="26"/>
        </w:rPr>
      </w:pPr>
      <w:r w:rsidRPr="00BF0050">
        <w:rPr>
          <w:sz w:val="26"/>
          <w:szCs w:val="26"/>
        </w:rPr>
        <w:t>- </w:t>
      </w:r>
      <w:r w:rsidR="00640E62" w:rsidRPr="00BF0050">
        <w:rPr>
          <w:sz w:val="26"/>
          <w:szCs w:val="26"/>
        </w:rPr>
        <w:t xml:space="preserve">изменение факторов, влияющих на экспортный спрос на древесину и изделия </w:t>
      </w:r>
      <w:r w:rsidR="00640E62" w:rsidRPr="00BF0050">
        <w:rPr>
          <w:sz w:val="26"/>
          <w:szCs w:val="26"/>
        </w:rPr>
        <w:br/>
        <w:t>из нее: ограниченность номенклатуры поставляемой на экспорт продукции, качество которой не соответствует запрашиваемым стандартам; проводимая политика странами-экспортерами (в частности, Китаем), направленная на расширение собственного производства; переориентация основных зарубежных потребителей на использование продукции, поставляемой из других стран, а также вторичного сырья;</w:t>
      </w:r>
    </w:p>
    <w:p w:rsidR="00640E62" w:rsidRPr="00BF0050" w:rsidRDefault="003F7B1A" w:rsidP="00640E62">
      <w:pPr>
        <w:pStyle w:val="aff4"/>
        <w:widowControl w:val="0"/>
        <w:tabs>
          <w:tab w:val="left" w:pos="1134"/>
          <w:tab w:val="left" w:pos="9360"/>
        </w:tabs>
        <w:spacing w:before="0" w:after="0"/>
        <w:ind w:firstLine="709"/>
        <w:rPr>
          <w:sz w:val="26"/>
          <w:szCs w:val="26"/>
        </w:rPr>
      </w:pPr>
      <w:r w:rsidRPr="00BF0050">
        <w:rPr>
          <w:sz w:val="26"/>
          <w:szCs w:val="26"/>
        </w:rPr>
        <w:t>- </w:t>
      </w:r>
      <w:r w:rsidR="00640E62" w:rsidRPr="00BF0050">
        <w:rPr>
          <w:sz w:val="26"/>
          <w:szCs w:val="26"/>
        </w:rPr>
        <w:t xml:space="preserve">значительное отставание реализации инвестиционных проектов </w:t>
      </w:r>
      <w:r w:rsidR="00640E62" w:rsidRPr="00BF0050">
        <w:rPr>
          <w:sz w:val="26"/>
          <w:szCs w:val="26"/>
        </w:rPr>
        <w:br/>
        <w:t xml:space="preserve">в лесопромышленном комплексе, связанное с внешнеполитической и экономической </w:t>
      </w:r>
      <w:r w:rsidRPr="00BF0050">
        <w:rPr>
          <w:sz w:val="26"/>
          <w:szCs w:val="26"/>
        </w:rPr>
        <w:t>ситуацией</w:t>
      </w:r>
      <w:r w:rsidR="00640E62" w:rsidRPr="00BF0050">
        <w:rPr>
          <w:sz w:val="26"/>
          <w:szCs w:val="26"/>
        </w:rPr>
        <w:t>, девальвацией рубля, нестабильностью на рынках лесобумажной продукции, недостатком собственных средств, сложност</w:t>
      </w:r>
      <w:r w:rsidRPr="00BF0050">
        <w:rPr>
          <w:sz w:val="26"/>
          <w:szCs w:val="26"/>
        </w:rPr>
        <w:t>ью</w:t>
      </w:r>
      <w:r w:rsidR="00640E62" w:rsidRPr="00BF0050">
        <w:rPr>
          <w:sz w:val="26"/>
          <w:szCs w:val="26"/>
        </w:rPr>
        <w:t xml:space="preserve"> получени</w:t>
      </w:r>
      <w:r w:rsidRPr="00BF0050">
        <w:rPr>
          <w:sz w:val="26"/>
          <w:szCs w:val="26"/>
        </w:rPr>
        <w:t>я</w:t>
      </w:r>
      <w:r w:rsidR="00640E62" w:rsidRPr="00BF0050">
        <w:rPr>
          <w:sz w:val="26"/>
          <w:szCs w:val="26"/>
        </w:rPr>
        <w:t xml:space="preserve"> инвестиционных кредитов </w:t>
      </w:r>
      <w:r w:rsidRPr="00BF0050">
        <w:rPr>
          <w:sz w:val="26"/>
          <w:szCs w:val="26"/>
        </w:rPr>
        <w:t>в </w:t>
      </w:r>
      <w:r w:rsidR="00640E62" w:rsidRPr="00BF0050">
        <w:rPr>
          <w:sz w:val="26"/>
          <w:szCs w:val="26"/>
        </w:rPr>
        <w:t>банках.</w:t>
      </w:r>
    </w:p>
    <w:p w:rsidR="00640E62" w:rsidRPr="00BF0050" w:rsidRDefault="003F7B1A" w:rsidP="00640E62">
      <w:pPr>
        <w:spacing w:before="0" w:after="0"/>
        <w:ind w:firstLine="708"/>
        <w:jc w:val="both"/>
        <w:rPr>
          <w:sz w:val="26"/>
          <w:szCs w:val="26"/>
        </w:rPr>
      </w:pPr>
      <w:proofErr w:type="gramStart"/>
      <w:r w:rsidRPr="00BF0050">
        <w:rPr>
          <w:sz w:val="26"/>
          <w:szCs w:val="26"/>
        </w:rPr>
        <w:t>К</w:t>
      </w:r>
      <w:r w:rsidR="00640E62" w:rsidRPr="00BF0050">
        <w:rPr>
          <w:sz w:val="26"/>
          <w:szCs w:val="26"/>
        </w:rPr>
        <w:t xml:space="preserve"> числу основных рисков развития отечественного лесопромышленного комплекса в среднесрочной перспективе также могут быть отнесены дефицит доступного древесного сырья, что связано с имеющимися инфраструктурными ограничениями, </w:t>
      </w:r>
      <w:r w:rsidRPr="00BF0050">
        <w:rPr>
          <w:sz w:val="26"/>
          <w:szCs w:val="26"/>
        </w:rPr>
        <w:t>и </w:t>
      </w:r>
      <w:r w:rsidR="00640E62" w:rsidRPr="00BF0050">
        <w:rPr>
          <w:sz w:val="26"/>
          <w:szCs w:val="26"/>
        </w:rPr>
        <w:t xml:space="preserve">снижение ставок вывозных таможенных пошлин на необработанную древесину </w:t>
      </w:r>
      <w:r w:rsidRPr="00BF0050">
        <w:rPr>
          <w:sz w:val="26"/>
          <w:szCs w:val="26"/>
        </w:rPr>
        <w:t>в </w:t>
      </w:r>
      <w:r w:rsidR="00640E62" w:rsidRPr="00BF0050">
        <w:rPr>
          <w:sz w:val="26"/>
          <w:szCs w:val="26"/>
        </w:rPr>
        <w:t xml:space="preserve">соответствии с обязательствами Российской Федерации, принятыми при вступлении </w:t>
      </w:r>
      <w:r w:rsidRPr="00BF0050">
        <w:rPr>
          <w:sz w:val="26"/>
          <w:szCs w:val="26"/>
        </w:rPr>
        <w:t>в </w:t>
      </w:r>
      <w:r w:rsidR="00640E62" w:rsidRPr="00BF0050">
        <w:rPr>
          <w:sz w:val="26"/>
          <w:szCs w:val="26"/>
        </w:rPr>
        <w:t xml:space="preserve">ВТО. </w:t>
      </w:r>
      <w:proofErr w:type="gramEnd"/>
    </w:p>
    <w:p w:rsidR="00640E62" w:rsidRPr="00BF0050" w:rsidRDefault="003F7B1A" w:rsidP="00640E62">
      <w:pPr>
        <w:widowControl w:val="0"/>
        <w:spacing w:before="0" w:after="0"/>
        <w:jc w:val="both"/>
        <w:rPr>
          <w:sz w:val="26"/>
          <w:szCs w:val="26"/>
        </w:rPr>
      </w:pPr>
      <w:r w:rsidRPr="00BF0050">
        <w:rPr>
          <w:sz w:val="26"/>
          <w:szCs w:val="26"/>
        </w:rPr>
        <w:t>С учетом</w:t>
      </w:r>
      <w:r w:rsidR="00640E62" w:rsidRPr="00BF0050">
        <w:rPr>
          <w:sz w:val="26"/>
          <w:szCs w:val="26"/>
        </w:rPr>
        <w:t xml:space="preserve"> вышеприведенных предпосылок развития лесопромышленного комплекса, в 2016 – 2019 гг. </w:t>
      </w:r>
      <w:r w:rsidRPr="00BF0050">
        <w:rPr>
          <w:sz w:val="26"/>
          <w:szCs w:val="26"/>
        </w:rPr>
        <w:t xml:space="preserve">в целом </w:t>
      </w:r>
      <w:r w:rsidR="00640E62" w:rsidRPr="00BF0050">
        <w:rPr>
          <w:sz w:val="26"/>
          <w:szCs w:val="26"/>
        </w:rPr>
        <w:t>ожидается умеренная динамика развития лесопромышленного комплекса (102,</w:t>
      </w:r>
      <w:r w:rsidR="00003A68" w:rsidRPr="00BF0050">
        <w:rPr>
          <w:sz w:val="26"/>
          <w:szCs w:val="26"/>
        </w:rPr>
        <w:t>9</w:t>
      </w:r>
      <w:r w:rsidR="00640E62" w:rsidRPr="00BF0050">
        <w:rPr>
          <w:sz w:val="26"/>
          <w:szCs w:val="26"/>
        </w:rPr>
        <w:t xml:space="preserve"> % </w:t>
      </w:r>
      <w:r w:rsidRPr="00BF0050">
        <w:rPr>
          <w:sz w:val="26"/>
          <w:szCs w:val="26"/>
        </w:rPr>
        <w:t xml:space="preserve">в 2019 г. </w:t>
      </w:r>
      <w:r w:rsidR="00640E62" w:rsidRPr="00BF0050">
        <w:rPr>
          <w:sz w:val="26"/>
          <w:szCs w:val="26"/>
        </w:rPr>
        <w:t>по сравнению с 2015 г.), обусловленная сохранением тенденций умеренного роста внутреннего потребления продукции. При этом</w:t>
      </w:r>
      <w:r w:rsidR="007A5C86" w:rsidRPr="00BF0050">
        <w:rPr>
          <w:sz w:val="26"/>
          <w:szCs w:val="26"/>
        </w:rPr>
        <w:t xml:space="preserve"> в развитии производства отдельных видов </w:t>
      </w:r>
      <w:proofErr w:type="spellStart"/>
      <w:proofErr w:type="gramStart"/>
      <w:r w:rsidR="007A5C86" w:rsidRPr="00BF0050">
        <w:rPr>
          <w:sz w:val="26"/>
          <w:szCs w:val="26"/>
        </w:rPr>
        <w:t>лесо</w:t>
      </w:r>
      <w:proofErr w:type="spellEnd"/>
      <w:r w:rsidR="007A5C86" w:rsidRPr="00BF0050">
        <w:rPr>
          <w:sz w:val="26"/>
          <w:szCs w:val="26"/>
        </w:rPr>
        <w:t>-бумажной</w:t>
      </w:r>
      <w:proofErr w:type="gramEnd"/>
      <w:r w:rsidR="007A5C86" w:rsidRPr="00BF0050">
        <w:rPr>
          <w:sz w:val="26"/>
          <w:szCs w:val="26"/>
        </w:rPr>
        <w:t xml:space="preserve"> продукции</w:t>
      </w:r>
      <w:r w:rsidR="00640E62" w:rsidRPr="00BF0050">
        <w:rPr>
          <w:sz w:val="26"/>
          <w:szCs w:val="26"/>
        </w:rPr>
        <w:t xml:space="preserve"> будут наблюдаться разнонаправленные тенденции.</w:t>
      </w:r>
    </w:p>
    <w:p w:rsidR="00640E62" w:rsidRPr="00BF0050" w:rsidRDefault="00640E62" w:rsidP="00CC0A8C">
      <w:pPr>
        <w:spacing w:before="240" w:after="240"/>
        <w:jc w:val="both"/>
        <w:rPr>
          <w:b/>
          <w:sz w:val="26"/>
          <w:szCs w:val="26"/>
        </w:rPr>
      </w:pPr>
      <w:r w:rsidRPr="00BF0050">
        <w:rPr>
          <w:b/>
          <w:sz w:val="26"/>
          <w:szCs w:val="26"/>
        </w:rPr>
        <w:lastRenderedPageBreak/>
        <w:t>Легкая промышленность</w:t>
      </w:r>
    </w:p>
    <w:p w:rsidR="00640E62" w:rsidRPr="00BF0050" w:rsidRDefault="00640E62" w:rsidP="00640E62">
      <w:pPr>
        <w:spacing w:before="0" w:after="0"/>
        <w:jc w:val="both"/>
        <w:rPr>
          <w:sz w:val="26"/>
          <w:szCs w:val="26"/>
        </w:rPr>
      </w:pPr>
      <w:r w:rsidRPr="00BF0050">
        <w:rPr>
          <w:sz w:val="26"/>
          <w:szCs w:val="26"/>
        </w:rPr>
        <w:t>Резкий рост курса доллара США в 2014</w:t>
      </w:r>
      <w:r w:rsidR="00063014" w:rsidRPr="00BF0050">
        <w:rPr>
          <w:sz w:val="26"/>
          <w:szCs w:val="26"/>
        </w:rPr>
        <w:t> </w:t>
      </w:r>
      <w:r w:rsidRPr="00BF0050">
        <w:rPr>
          <w:sz w:val="26"/>
          <w:szCs w:val="26"/>
        </w:rPr>
        <w:t>–</w:t>
      </w:r>
      <w:r w:rsidR="00063014" w:rsidRPr="00BF0050">
        <w:rPr>
          <w:sz w:val="26"/>
          <w:szCs w:val="26"/>
        </w:rPr>
        <w:t> </w:t>
      </w:r>
      <w:r w:rsidRPr="00BF0050">
        <w:rPr>
          <w:sz w:val="26"/>
          <w:szCs w:val="26"/>
        </w:rPr>
        <w:t xml:space="preserve">2015 гг. отрицательно сказался </w:t>
      </w:r>
      <w:r w:rsidRPr="00BF0050">
        <w:rPr>
          <w:sz w:val="26"/>
          <w:szCs w:val="26"/>
        </w:rPr>
        <w:br/>
        <w:t>на темпах роста легкой промышленности, так как необходимое сырье для легкой промышленности закупается в основном по импорту (хлопок, шерсть, синтетически ткани). В 2015 году индекс текстильного и швейного производства составил 88,3 %, производства кожи, изделий из кожи и производства обуви – 88,6 процента.</w:t>
      </w:r>
    </w:p>
    <w:p w:rsidR="00640E62" w:rsidRPr="00BF0050" w:rsidRDefault="00640E62" w:rsidP="00640E62">
      <w:pPr>
        <w:spacing w:before="0" w:after="0"/>
        <w:jc w:val="both"/>
        <w:rPr>
          <w:sz w:val="26"/>
          <w:szCs w:val="26"/>
        </w:rPr>
      </w:pPr>
      <w:r w:rsidRPr="00BF0050">
        <w:rPr>
          <w:sz w:val="26"/>
          <w:szCs w:val="26"/>
        </w:rPr>
        <w:t>Тем не менее при 100-процентном росте текстильного производства темп роста производства тканей в 2015 году в целом составил 114,7 % благодаря высоким темпам роста производства тканей, широко используемых в производстве смежных отраслей: материалы нетканые (кроме ватинов) (125,1 %), ткани пропитанные поливинилхлоридной композицией (114,6 %), ткани из синтетических волокон и нитей (114,2 процента).</w:t>
      </w:r>
    </w:p>
    <w:p w:rsidR="00640E62" w:rsidRPr="00BF0050" w:rsidRDefault="00640E62" w:rsidP="00640E62">
      <w:pPr>
        <w:spacing w:before="0" w:after="0"/>
        <w:jc w:val="both"/>
        <w:rPr>
          <w:sz w:val="26"/>
          <w:szCs w:val="26"/>
        </w:rPr>
      </w:pPr>
      <w:r w:rsidRPr="00BF0050">
        <w:rPr>
          <w:sz w:val="26"/>
          <w:szCs w:val="26"/>
        </w:rPr>
        <w:t>Данное направление – производство технических тканей – будет являться «локомотивом» текстильного производства как в 2016 году, так и на период до 2019 года.</w:t>
      </w:r>
    </w:p>
    <w:p w:rsidR="00640E62" w:rsidRPr="00BF0050" w:rsidRDefault="00640E62" w:rsidP="00640E62">
      <w:pPr>
        <w:spacing w:before="0" w:after="0"/>
        <w:jc w:val="both"/>
        <w:rPr>
          <w:sz w:val="26"/>
          <w:szCs w:val="26"/>
        </w:rPr>
      </w:pPr>
      <w:r w:rsidRPr="00BF0050">
        <w:rPr>
          <w:sz w:val="26"/>
          <w:szCs w:val="26"/>
        </w:rPr>
        <w:t xml:space="preserve">Производство традиционных тканей (хлопчатобумажных, льняных, шерстяных) </w:t>
      </w:r>
      <w:r w:rsidRPr="00BF0050">
        <w:rPr>
          <w:sz w:val="26"/>
          <w:szCs w:val="26"/>
        </w:rPr>
        <w:br/>
        <w:t xml:space="preserve">без адресной поддержки будет находиться в состоянии стагнации. </w:t>
      </w:r>
    </w:p>
    <w:p w:rsidR="00640E62" w:rsidRPr="00BF0050" w:rsidRDefault="00640E62" w:rsidP="00640E62">
      <w:pPr>
        <w:spacing w:before="0" w:after="0"/>
        <w:jc w:val="both"/>
        <w:rPr>
          <w:sz w:val="26"/>
          <w:szCs w:val="26"/>
        </w:rPr>
      </w:pPr>
      <w:r w:rsidRPr="00BF0050">
        <w:rPr>
          <w:sz w:val="26"/>
          <w:szCs w:val="26"/>
        </w:rPr>
        <w:t xml:space="preserve">Развитие текстильной промышленности является основополагающим фактором </w:t>
      </w:r>
      <w:r w:rsidRPr="00BF0050">
        <w:rPr>
          <w:sz w:val="26"/>
          <w:szCs w:val="26"/>
        </w:rPr>
        <w:br/>
        <w:t>для развития легкой промышленности, являясь сырьевой базой для швейного производства.</w:t>
      </w:r>
    </w:p>
    <w:p w:rsidR="00640E62" w:rsidRPr="00BF0050" w:rsidRDefault="00640E62" w:rsidP="00640E62">
      <w:pPr>
        <w:spacing w:before="0" w:after="0"/>
        <w:jc w:val="both"/>
        <w:rPr>
          <w:sz w:val="26"/>
          <w:szCs w:val="26"/>
        </w:rPr>
      </w:pPr>
      <w:r w:rsidRPr="00BF0050">
        <w:rPr>
          <w:sz w:val="26"/>
          <w:szCs w:val="26"/>
        </w:rPr>
        <w:t>В 2015 году катализатором импортозамещения в легкой промышленности  фактически являлось снижение темпов реальных располагаемых доходов (9</w:t>
      </w:r>
      <w:r w:rsidR="0059419C" w:rsidRPr="00BF0050">
        <w:rPr>
          <w:sz w:val="26"/>
          <w:szCs w:val="26"/>
        </w:rPr>
        <w:t>5,7</w:t>
      </w:r>
      <w:r w:rsidRPr="00BF0050">
        <w:rPr>
          <w:sz w:val="26"/>
          <w:szCs w:val="26"/>
        </w:rPr>
        <w:t xml:space="preserve"> процент</w:t>
      </w:r>
      <w:r w:rsidR="0059419C" w:rsidRPr="00BF0050">
        <w:rPr>
          <w:sz w:val="26"/>
          <w:szCs w:val="26"/>
        </w:rPr>
        <w:t>а</w:t>
      </w:r>
      <w:r w:rsidRPr="00BF0050">
        <w:rPr>
          <w:sz w:val="26"/>
          <w:szCs w:val="26"/>
        </w:rPr>
        <w:t xml:space="preserve">). Данная ситуация сохранится в 2016 году: объемы импорта в стоимостном выражении сохранятся на уровне 100 % при физических объемах 105 процентов. В перспективе </w:t>
      </w:r>
      <w:r w:rsidRPr="00BF0050">
        <w:rPr>
          <w:sz w:val="26"/>
          <w:szCs w:val="26"/>
        </w:rPr>
        <w:br/>
        <w:t xml:space="preserve">до 2019 года импорт товаров легкой промышленности по стоимостному объему будет расти  среднегодовыми темпами 103–104 процента.  </w:t>
      </w:r>
    </w:p>
    <w:p w:rsidR="00640E62" w:rsidRPr="00BF0050" w:rsidRDefault="00640E62" w:rsidP="00640E62">
      <w:pPr>
        <w:spacing w:before="0" w:after="0"/>
        <w:jc w:val="both"/>
        <w:rPr>
          <w:rFonts w:eastAsia="hebrew"/>
          <w:sz w:val="26"/>
          <w:szCs w:val="26"/>
        </w:rPr>
      </w:pPr>
      <w:r w:rsidRPr="00BF0050">
        <w:rPr>
          <w:rFonts w:eastAsia="hebrew"/>
          <w:sz w:val="26"/>
          <w:szCs w:val="26"/>
        </w:rPr>
        <w:t xml:space="preserve">Ситуация с курсом рубля окажет положительное влияние на темпы роста экспорта товаров легкой промышленности в 2016 году, которые составят порядка 120 % </w:t>
      </w:r>
      <w:r w:rsidRPr="00BF0050">
        <w:rPr>
          <w:rFonts w:eastAsia="hebrew"/>
          <w:sz w:val="26"/>
          <w:szCs w:val="26"/>
        </w:rPr>
        <w:br/>
        <w:t>по физическому объему.</w:t>
      </w:r>
    </w:p>
    <w:p w:rsidR="00640E62" w:rsidRPr="00BF0050" w:rsidRDefault="00640E62" w:rsidP="00640E62">
      <w:pPr>
        <w:spacing w:before="0" w:after="0"/>
        <w:jc w:val="both"/>
        <w:rPr>
          <w:sz w:val="26"/>
          <w:szCs w:val="26"/>
        </w:rPr>
      </w:pPr>
      <w:r w:rsidRPr="00BF0050">
        <w:rPr>
          <w:sz w:val="26"/>
          <w:szCs w:val="26"/>
        </w:rPr>
        <w:t xml:space="preserve">Кроме того, на структуру внутреннего рынка товаров легкой промышленности значительное влияние оказывает фактор перераспределения </w:t>
      </w:r>
      <w:proofErr w:type="spellStart"/>
      <w:r w:rsidRPr="00BF0050">
        <w:rPr>
          <w:sz w:val="26"/>
          <w:szCs w:val="26"/>
        </w:rPr>
        <w:t>товаропотоков</w:t>
      </w:r>
      <w:proofErr w:type="spellEnd"/>
      <w:r w:rsidRPr="00BF0050">
        <w:rPr>
          <w:sz w:val="26"/>
          <w:szCs w:val="26"/>
        </w:rPr>
        <w:t xml:space="preserve"> в странах- членах Таможенного союза. Так, в условиях функционирования Таможенного союза для недобросовестных участников внешнеэкономической деятельности становится более привлекательным декларировать в других странах-членах Таможенного союза товары, предназначенные для реализации в Российской Федерации.</w:t>
      </w:r>
    </w:p>
    <w:p w:rsidR="00640E62" w:rsidRPr="00BF0050" w:rsidRDefault="00640E62" w:rsidP="00640E62">
      <w:pPr>
        <w:spacing w:before="0" w:after="0"/>
        <w:jc w:val="both"/>
        <w:rPr>
          <w:sz w:val="26"/>
          <w:szCs w:val="26"/>
        </w:rPr>
      </w:pPr>
      <w:proofErr w:type="gramStart"/>
      <w:r w:rsidRPr="00BF0050">
        <w:rPr>
          <w:sz w:val="26"/>
          <w:szCs w:val="26"/>
        </w:rPr>
        <w:t>Реализация утвержденной программы поддержки легкой промышленности на 2016</w:t>
      </w:r>
      <w:r w:rsidR="00AC77FC" w:rsidRPr="00BF0050">
        <w:rPr>
          <w:sz w:val="26"/>
          <w:szCs w:val="26"/>
        </w:rPr>
        <w:t> </w:t>
      </w:r>
      <w:r w:rsidRPr="00BF0050">
        <w:rPr>
          <w:sz w:val="26"/>
          <w:szCs w:val="26"/>
        </w:rPr>
        <w:t xml:space="preserve">год (распоряжение Правительства Российской Федерации от 26 января 2016 г. </w:t>
      </w:r>
      <w:r w:rsidRPr="00BF0050">
        <w:rPr>
          <w:sz w:val="26"/>
          <w:szCs w:val="26"/>
        </w:rPr>
        <w:br/>
        <w:t>№ 85-р) в рамках реализации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(утвержден Председателем Правительства Российской Федерации Д.А. Медведевым от 1 марта 2016 г. № 1349п-П13)</w:t>
      </w:r>
      <w:r w:rsidR="00BF7124" w:rsidRPr="00BF0050">
        <w:rPr>
          <w:sz w:val="26"/>
          <w:szCs w:val="26"/>
        </w:rPr>
        <w:t>,</w:t>
      </w:r>
      <w:r w:rsidRPr="00BF0050">
        <w:rPr>
          <w:sz w:val="26"/>
          <w:szCs w:val="26"/>
        </w:rPr>
        <w:t xml:space="preserve"> также прида</w:t>
      </w:r>
      <w:r w:rsidR="00BF7124" w:rsidRPr="00BF0050">
        <w:rPr>
          <w:sz w:val="26"/>
          <w:szCs w:val="26"/>
        </w:rPr>
        <w:t>с</w:t>
      </w:r>
      <w:r w:rsidRPr="00BF0050">
        <w:rPr>
          <w:sz w:val="26"/>
          <w:szCs w:val="26"/>
        </w:rPr>
        <w:t xml:space="preserve">т </w:t>
      </w:r>
      <w:r w:rsidRPr="00BF0050">
        <w:rPr>
          <w:sz w:val="26"/>
          <w:szCs w:val="26"/>
        </w:rPr>
        <w:lastRenderedPageBreak/>
        <w:t>развитию текстильной и легкой промышленности устойчивый</w:t>
      </w:r>
      <w:proofErr w:type="gramEnd"/>
      <w:r w:rsidRPr="00BF0050">
        <w:rPr>
          <w:sz w:val="26"/>
          <w:szCs w:val="26"/>
        </w:rPr>
        <w:t xml:space="preserve"> положительный импульс. На реализацию программы поддержки легкой промышленности на 2016 год предполагается направить 1,4 млрд. рублей.</w:t>
      </w:r>
    </w:p>
    <w:p w:rsidR="00640E62" w:rsidRPr="00BF0050" w:rsidRDefault="00640E62" w:rsidP="00640E62">
      <w:pPr>
        <w:spacing w:before="0" w:after="0"/>
        <w:jc w:val="both"/>
        <w:rPr>
          <w:rFonts w:eastAsia="hebrew"/>
          <w:sz w:val="26"/>
          <w:szCs w:val="26"/>
        </w:rPr>
      </w:pPr>
      <w:r w:rsidRPr="00BF0050">
        <w:rPr>
          <w:rFonts w:eastAsia="hebrew"/>
          <w:sz w:val="26"/>
          <w:szCs w:val="26"/>
        </w:rPr>
        <w:t>Тем не менее негативное влияние продолжит оказывать тенденция сохранения высокого уровня неучтенной продукции на рынке товаров легкой промышленности.</w:t>
      </w:r>
    </w:p>
    <w:p w:rsidR="00640E62" w:rsidRPr="00BF0050" w:rsidRDefault="00640E62" w:rsidP="00640E62">
      <w:pPr>
        <w:spacing w:before="0" w:after="0"/>
        <w:jc w:val="both"/>
        <w:rPr>
          <w:rFonts w:eastAsia="hebrew"/>
          <w:sz w:val="26"/>
          <w:szCs w:val="26"/>
        </w:rPr>
      </w:pPr>
      <w:r w:rsidRPr="00BF0050">
        <w:rPr>
          <w:rFonts w:eastAsia="hebrew"/>
          <w:sz w:val="26"/>
          <w:szCs w:val="26"/>
        </w:rPr>
        <w:t>Таким образом, перспективы развития легкой промышленности будут ограничены не столько сдержанным потребительским спросом, обусловленным умеренным ростом реальных располагаемых доходов, сколько фактом хронического технологического отставания в развитии легкой промышленности, в особенности текстильного производства.</w:t>
      </w:r>
    </w:p>
    <w:p w:rsidR="00640E62" w:rsidRPr="00BF0050" w:rsidRDefault="00640E62" w:rsidP="00640E62">
      <w:pPr>
        <w:spacing w:before="0" w:after="0"/>
        <w:ind w:firstLine="708"/>
        <w:jc w:val="both"/>
        <w:rPr>
          <w:sz w:val="26"/>
          <w:szCs w:val="26"/>
        </w:rPr>
      </w:pPr>
      <w:r w:rsidRPr="00BF0050">
        <w:rPr>
          <w:sz w:val="26"/>
          <w:szCs w:val="26"/>
        </w:rPr>
        <w:t xml:space="preserve">В перспективе до 2019 года легкая промышленность будет развиваться </w:t>
      </w:r>
      <w:r w:rsidR="00BF7124" w:rsidRPr="00BF0050">
        <w:rPr>
          <w:sz w:val="26"/>
          <w:szCs w:val="26"/>
        </w:rPr>
        <w:t xml:space="preserve">со </w:t>
      </w:r>
      <w:r w:rsidRPr="00BF0050">
        <w:rPr>
          <w:sz w:val="26"/>
          <w:szCs w:val="26"/>
        </w:rPr>
        <w:t>среднегодовыми темпами 103,5–104,</w:t>
      </w:r>
      <w:r w:rsidR="00ED4EAC" w:rsidRPr="00BF0050">
        <w:rPr>
          <w:sz w:val="26"/>
          <w:szCs w:val="26"/>
        </w:rPr>
        <w:t xml:space="preserve">0 </w:t>
      </w:r>
      <w:r w:rsidRPr="00BF0050">
        <w:rPr>
          <w:sz w:val="26"/>
          <w:szCs w:val="26"/>
        </w:rPr>
        <w:t>процента.</w:t>
      </w:r>
    </w:p>
    <w:p w:rsidR="00640E62" w:rsidRPr="00BF0050" w:rsidRDefault="00640E62" w:rsidP="00B460B2">
      <w:pPr>
        <w:spacing w:before="240" w:after="240"/>
        <w:jc w:val="both"/>
        <w:rPr>
          <w:b/>
          <w:sz w:val="26"/>
          <w:szCs w:val="26"/>
        </w:rPr>
      </w:pPr>
      <w:r w:rsidRPr="00BF0050">
        <w:rPr>
          <w:b/>
          <w:sz w:val="26"/>
          <w:szCs w:val="26"/>
        </w:rPr>
        <w:t>Машиностроительный комплекс</w:t>
      </w:r>
    </w:p>
    <w:p w:rsidR="00640E62" w:rsidRPr="00BF0050" w:rsidRDefault="00640E62" w:rsidP="00640E62">
      <w:pPr>
        <w:spacing w:before="0" w:after="0"/>
        <w:jc w:val="both"/>
        <w:rPr>
          <w:sz w:val="26"/>
          <w:szCs w:val="26"/>
        </w:rPr>
      </w:pPr>
      <w:r w:rsidRPr="00BF0050">
        <w:rPr>
          <w:sz w:val="26"/>
          <w:szCs w:val="26"/>
        </w:rPr>
        <w:t xml:space="preserve">В 2015 году динамика производства машиностроительного комплекса </w:t>
      </w:r>
      <w:r w:rsidRPr="00BF0050">
        <w:rPr>
          <w:sz w:val="26"/>
          <w:szCs w:val="26"/>
        </w:rPr>
        <w:br/>
        <w:t xml:space="preserve">в значительной степени характеризовалась кризисными тенденциями, обусловленными рядом ограничений, сдерживающих развитие машиностроительного комплекса Российской Федерации, в том числе технологическая отсталость отдельных производств, зависимость от экспорта природных ресурсов, введение секторальных санкций, ограничивших доступ российских предприятий к отдельным зарубежным технологиям </w:t>
      </w:r>
      <w:r w:rsidR="00EA0E44" w:rsidRPr="00BF0050">
        <w:rPr>
          <w:sz w:val="26"/>
          <w:szCs w:val="26"/>
        </w:rPr>
        <w:t>и </w:t>
      </w:r>
      <w:r w:rsidRPr="00BF0050">
        <w:rPr>
          <w:sz w:val="26"/>
          <w:szCs w:val="26"/>
        </w:rPr>
        <w:t xml:space="preserve">капиталам, высокая </w:t>
      </w:r>
      <w:proofErr w:type="spellStart"/>
      <w:r w:rsidRPr="00BF0050">
        <w:rPr>
          <w:sz w:val="26"/>
          <w:szCs w:val="26"/>
        </w:rPr>
        <w:t>материало</w:t>
      </w:r>
      <w:proofErr w:type="spellEnd"/>
      <w:r w:rsidRPr="00BF0050">
        <w:rPr>
          <w:sz w:val="26"/>
          <w:szCs w:val="26"/>
        </w:rPr>
        <w:t>- и энергоемкость производства, низкая производительность труда, недостаток финансовых ресурсов (в том числе на проведение НИОКР), зависимость от поставок импортных комплектующих.</w:t>
      </w:r>
    </w:p>
    <w:p w:rsidR="00640E62" w:rsidRPr="00BF0050" w:rsidRDefault="00640E62" w:rsidP="00640E62">
      <w:pPr>
        <w:spacing w:before="0" w:after="0"/>
        <w:jc w:val="both"/>
        <w:rPr>
          <w:sz w:val="26"/>
          <w:szCs w:val="26"/>
        </w:rPr>
      </w:pPr>
      <w:r w:rsidRPr="00BF0050">
        <w:rPr>
          <w:bCs/>
          <w:iCs/>
          <w:sz w:val="26"/>
          <w:szCs w:val="26"/>
        </w:rPr>
        <w:t xml:space="preserve">Индекс производства машин и оборудования в 2015 году по отношению </w:t>
      </w:r>
      <w:r w:rsidRPr="00BF0050">
        <w:rPr>
          <w:bCs/>
          <w:iCs/>
          <w:sz w:val="26"/>
          <w:szCs w:val="26"/>
        </w:rPr>
        <w:br/>
        <w:t xml:space="preserve">к 2014 году составил 88,9 </w:t>
      </w:r>
      <w:r w:rsidR="00BF7124" w:rsidRPr="00BF0050">
        <w:rPr>
          <w:bCs/>
          <w:iCs/>
          <w:sz w:val="26"/>
          <w:szCs w:val="26"/>
        </w:rPr>
        <w:t>%</w:t>
      </w:r>
      <w:r w:rsidRPr="00BF0050">
        <w:rPr>
          <w:bCs/>
          <w:iCs/>
          <w:sz w:val="26"/>
          <w:szCs w:val="26"/>
        </w:rPr>
        <w:t xml:space="preserve">, электрооборудования, электронного и оптического оборудования </w:t>
      </w:r>
      <w:r w:rsidR="008143E7" w:rsidRPr="00BF0050">
        <w:rPr>
          <w:bCs/>
          <w:iCs/>
          <w:sz w:val="26"/>
          <w:szCs w:val="26"/>
        </w:rPr>
        <w:t> </w:t>
      </w:r>
      <w:r w:rsidRPr="00BF0050">
        <w:rPr>
          <w:bCs/>
          <w:iCs/>
          <w:sz w:val="26"/>
          <w:szCs w:val="26"/>
        </w:rPr>
        <w:t xml:space="preserve">–  92,1 </w:t>
      </w:r>
      <w:r w:rsidR="00BF7124" w:rsidRPr="00BF0050">
        <w:rPr>
          <w:bCs/>
          <w:iCs/>
          <w:sz w:val="26"/>
          <w:szCs w:val="26"/>
        </w:rPr>
        <w:t>%</w:t>
      </w:r>
      <w:r w:rsidRPr="00BF0050">
        <w:rPr>
          <w:bCs/>
          <w:iCs/>
          <w:sz w:val="26"/>
          <w:szCs w:val="26"/>
        </w:rPr>
        <w:t xml:space="preserve">, транспортных средств и </w:t>
      </w:r>
      <w:r w:rsidR="008143E7" w:rsidRPr="00BF0050">
        <w:rPr>
          <w:bCs/>
          <w:iCs/>
          <w:sz w:val="26"/>
          <w:szCs w:val="26"/>
        </w:rPr>
        <w:t xml:space="preserve">оборудования  </w:t>
      </w:r>
      <w:r w:rsidRPr="00BF0050">
        <w:rPr>
          <w:bCs/>
          <w:iCs/>
          <w:sz w:val="26"/>
          <w:szCs w:val="26"/>
        </w:rPr>
        <w:t>– 91,5 процента.</w:t>
      </w:r>
    </w:p>
    <w:p w:rsidR="00640E62" w:rsidRPr="00BF0050" w:rsidRDefault="00640E62" w:rsidP="00640E62">
      <w:pPr>
        <w:pStyle w:val="aff4"/>
        <w:tabs>
          <w:tab w:val="left" w:pos="9360"/>
        </w:tabs>
        <w:spacing w:before="0" w:after="0"/>
        <w:ind w:firstLine="709"/>
        <w:rPr>
          <w:sz w:val="26"/>
          <w:szCs w:val="26"/>
        </w:rPr>
      </w:pPr>
      <w:r w:rsidRPr="00BF0050">
        <w:rPr>
          <w:sz w:val="26"/>
          <w:szCs w:val="26"/>
        </w:rPr>
        <w:t>Негативная динамика производства продукции машиностроения в 2016 году будет обусловлена в основном сокращением инвестиционной активности предприятий промышленности, а также платежеспособного спроса со стороны физических лиц, вызванного сокращением реальных располагаемых доходов населения.</w:t>
      </w:r>
    </w:p>
    <w:p w:rsidR="00640E62" w:rsidRPr="00BF0050" w:rsidRDefault="00640E62" w:rsidP="00640E62">
      <w:pPr>
        <w:pStyle w:val="aff4"/>
        <w:tabs>
          <w:tab w:val="left" w:pos="9360"/>
        </w:tabs>
        <w:spacing w:before="0" w:after="0"/>
        <w:ind w:firstLine="709"/>
        <w:rPr>
          <w:sz w:val="26"/>
          <w:szCs w:val="26"/>
        </w:rPr>
      </w:pPr>
      <w:r w:rsidRPr="00BF0050">
        <w:rPr>
          <w:sz w:val="26"/>
          <w:szCs w:val="26"/>
        </w:rPr>
        <w:t>При сокращении инвестиций в основной капитал в промышленности на 4,8 %</w:t>
      </w:r>
      <w:r w:rsidRPr="00BF0050">
        <w:rPr>
          <w:b/>
          <w:sz w:val="26"/>
          <w:szCs w:val="26"/>
        </w:rPr>
        <w:t xml:space="preserve"> </w:t>
      </w:r>
      <w:r w:rsidRPr="00BF0050">
        <w:rPr>
          <w:b/>
          <w:sz w:val="26"/>
          <w:szCs w:val="26"/>
        </w:rPr>
        <w:br/>
      </w:r>
      <w:r w:rsidRPr="00BF0050">
        <w:rPr>
          <w:sz w:val="26"/>
          <w:szCs w:val="26"/>
        </w:rPr>
        <w:t xml:space="preserve">и реальных располагаемых доходов </w:t>
      </w:r>
      <w:r w:rsidR="00D9035A" w:rsidRPr="00BF0050">
        <w:rPr>
          <w:sz w:val="26"/>
          <w:szCs w:val="26"/>
        </w:rPr>
        <w:t xml:space="preserve">населения </w:t>
      </w:r>
      <w:r w:rsidRPr="00BF0050">
        <w:rPr>
          <w:sz w:val="26"/>
          <w:szCs w:val="26"/>
        </w:rPr>
        <w:t xml:space="preserve">на </w:t>
      </w:r>
      <w:r w:rsidR="00D9035A" w:rsidRPr="00BF0050">
        <w:rPr>
          <w:sz w:val="26"/>
          <w:szCs w:val="26"/>
        </w:rPr>
        <w:t>2,8</w:t>
      </w:r>
      <w:r w:rsidRPr="00BF0050">
        <w:rPr>
          <w:sz w:val="26"/>
          <w:szCs w:val="26"/>
        </w:rPr>
        <w:t> %</w:t>
      </w:r>
      <w:r w:rsidRPr="00BF0050">
        <w:rPr>
          <w:b/>
          <w:sz w:val="26"/>
          <w:szCs w:val="26"/>
        </w:rPr>
        <w:t xml:space="preserve"> </w:t>
      </w:r>
      <w:r w:rsidRPr="00BF0050">
        <w:rPr>
          <w:sz w:val="26"/>
          <w:szCs w:val="26"/>
        </w:rPr>
        <w:t xml:space="preserve">в 2016 году ожидаемый индекс производства машин и оборудования составит </w:t>
      </w:r>
      <w:r w:rsidR="00ED4EAC" w:rsidRPr="00BF0050">
        <w:rPr>
          <w:sz w:val="26"/>
          <w:szCs w:val="26"/>
        </w:rPr>
        <w:t>101,2</w:t>
      </w:r>
      <w:r w:rsidRPr="00BF0050">
        <w:rPr>
          <w:sz w:val="26"/>
          <w:szCs w:val="26"/>
        </w:rPr>
        <w:t xml:space="preserve"> %, электрооборудования, электронного и оптического оборудования – </w:t>
      </w:r>
      <w:r w:rsidR="00ED4EAC" w:rsidRPr="00BF0050">
        <w:rPr>
          <w:sz w:val="26"/>
          <w:szCs w:val="26"/>
        </w:rPr>
        <w:t>100,5 </w:t>
      </w:r>
      <w:r w:rsidRPr="00BF0050">
        <w:rPr>
          <w:sz w:val="26"/>
          <w:szCs w:val="26"/>
        </w:rPr>
        <w:t xml:space="preserve">% , транспортных средств </w:t>
      </w:r>
      <w:r w:rsidR="002B23BA" w:rsidRPr="00BF0050">
        <w:rPr>
          <w:sz w:val="26"/>
          <w:szCs w:val="26"/>
        </w:rPr>
        <w:t>и </w:t>
      </w:r>
      <w:r w:rsidRPr="00BF0050">
        <w:rPr>
          <w:sz w:val="26"/>
          <w:szCs w:val="26"/>
        </w:rPr>
        <w:t>оборудования – 97,4 процента.</w:t>
      </w:r>
    </w:p>
    <w:p w:rsidR="00640E62" w:rsidRPr="00BF0050" w:rsidRDefault="00640E62" w:rsidP="00640E62">
      <w:pPr>
        <w:pStyle w:val="aff4"/>
        <w:tabs>
          <w:tab w:val="left" w:pos="9360"/>
        </w:tabs>
        <w:spacing w:before="0" w:after="0"/>
        <w:ind w:firstLine="709"/>
        <w:rPr>
          <w:sz w:val="26"/>
          <w:szCs w:val="26"/>
        </w:rPr>
      </w:pPr>
      <w:proofErr w:type="gramStart"/>
      <w:r w:rsidRPr="00BF0050">
        <w:rPr>
          <w:sz w:val="26"/>
          <w:szCs w:val="26"/>
        </w:rPr>
        <w:t xml:space="preserve">При этом реализация мер государственной политики, </w:t>
      </w:r>
      <w:r w:rsidR="00D9035A" w:rsidRPr="00BF0050">
        <w:rPr>
          <w:sz w:val="26"/>
          <w:szCs w:val="26"/>
        </w:rPr>
        <w:t xml:space="preserve">направленных </w:t>
      </w:r>
      <w:r w:rsidRPr="00BF0050">
        <w:rPr>
          <w:sz w:val="26"/>
          <w:szCs w:val="26"/>
        </w:rPr>
        <w:t>на снижение негативного влияния указанных факторов и повышение технологического потенциала машиностроительного комплекса (</w:t>
      </w:r>
      <w:r w:rsidR="00D9035A" w:rsidRPr="00BF0050">
        <w:rPr>
          <w:sz w:val="26"/>
          <w:szCs w:val="26"/>
        </w:rPr>
        <w:t xml:space="preserve">предусмотренных </w:t>
      </w:r>
      <w:r w:rsidRPr="00BF0050">
        <w:rPr>
          <w:sz w:val="26"/>
          <w:szCs w:val="26"/>
        </w:rPr>
        <w:t xml:space="preserve">в рамках соответствующих государственных программ Российской Федерации, в том числе «Развитие </w:t>
      </w:r>
      <w:r w:rsidRPr="00BF0050">
        <w:rPr>
          <w:sz w:val="26"/>
          <w:szCs w:val="26"/>
        </w:rPr>
        <w:lastRenderedPageBreak/>
        <w:t>промышленности и повышение ее конкурентоспособности», «Развитие авиационной промышленности на 2013 – 2025 годы», «Развитие судостроительной промышленности на 2013 – 2030 годы», «Развитие электронной и радиоэлектронной промышленности на     2013 – 2025 годы», «Космическая</w:t>
      </w:r>
      <w:proofErr w:type="gramEnd"/>
      <w:r w:rsidRPr="00BF0050">
        <w:rPr>
          <w:sz w:val="26"/>
          <w:szCs w:val="26"/>
        </w:rPr>
        <w:t xml:space="preserve"> деятельность России на 2013 – 2020 годы», суммарный объем </w:t>
      </w:r>
      <w:proofErr w:type="gramStart"/>
      <w:r w:rsidRPr="00BF0050">
        <w:rPr>
          <w:sz w:val="26"/>
          <w:szCs w:val="26"/>
        </w:rPr>
        <w:t>финансирования</w:t>
      </w:r>
      <w:proofErr w:type="gramEnd"/>
      <w:r w:rsidRPr="00BF0050">
        <w:rPr>
          <w:sz w:val="26"/>
          <w:szCs w:val="26"/>
        </w:rPr>
        <w:t xml:space="preserve"> которых в 2016 году составит более 350 млрд. рублей), а также увеличение платежеспособного спроса со стороны физических и юридических лиц будут способствовать росту производства продукции машиностроения в среднесрочной перспективе. Индекс производства машин и оборудования в 201</w:t>
      </w:r>
      <w:r w:rsidR="00586026" w:rsidRPr="00BF0050">
        <w:rPr>
          <w:sz w:val="26"/>
          <w:szCs w:val="26"/>
        </w:rPr>
        <w:t>9</w:t>
      </w:r>
      <w:r w:rsidRPr="00BF0050">
        <w:rPr>
          <w:sz w:val="26"/>
          <w:szCs w:val="26"/>
        </w:rPr>
        <w:t xml:space="preserve"> год</w:t>
      </w:r>
      <w:r w:rsidR="00586026" w:rsidRPr="00BF0050">
        <w:rPr>
          <w:sz w:val="26"/>
          <w:szCs w:val="26"/>
        </w:rPr>
        <w:t xml:space="preserve">у по сравнению </w:t>
      </w:r>
      <w:r w:rsidR="002B23BA" w:rsidRPr="00BF0050">
        <w:rPr>
          <w:sz w:val="26"/>
          <w:szCs w:val="26"/>
        </w:rPr>
        <w:t>с </w:t>
      </w:r>
      <w:r w:rsidR="00586026" w:rsidRPr="00BF0050">
        <w:rPr>
          <w:sz w:val="26"/>
          <w:szCs w:val="26"/>
        </w:rPr>
        <w:t>уровнем 2015 года</w:t>
      </w:r>
      <w:r w:rsidRPr="00BF0050">
        <w:rPr>
          <w:sz w:val="26"/>
          <w:szCs w:val="26"/>
        </w:rPr>
        <w:t xml:space="preserve"> составит 10</w:t>
      </w:r>
      <w:r w:rsidR="00ED4EAC" w:rsidRPr="00BF0050">
        <w:rPr>
          <w:sz w:val="26"/>
          <w:szCs w:val="26"/>
        </w:rPr>
        <w:t>8</w:t>
      </w:r>
      <w:r w:rsidRPr="00BF0050">
        <w:rPr>
          <w:sz w:val="26"/>
          <w:szCs w:val="26"/>
        </w:rPr>
        <w:t>,</w:t>
      </w:r>
      <w:r w:rsidR="00ED4EAC" w:rsidRPr="00BF0050">
        <w:rPr>
          <w:sz w:val="26"/>
          <w:szCs w:val="26"/>
        </w:rPr>
        <w:t>8 </w:t>
      </w:r>
      <w:r w:rsidRPr="00BF0050">
        <w:rPr>
          <w:sz w:val="26"/>
          <w:szCs w:val="26"/>
        </w:rPr>
        <w:t>%, электрооборудования, электронного и оптического оборудования – 10</w:t>
      </w:r>
      <w:r w:rsidR="00ED4EAC" w:rsidRPr="00BF0050">
        <w:rPr>
          <w:sz w:val="26"/>
          <w:szCs w:val="26"/>
        </w:rPr>
        <w:t>8</w:t>
      </w:r>
      <w:r w:rsidRPr="00BF0050">
        <w:rPr>
          <w:sz w:val="26"/>
          <w:szCs w:val="26"/>
        </w:rPr>
        <w:t>,</w:t>
      </w:r>
      <w:r w:rsidR="00ED4EAC" w:rsidRPr="00BF0050">
        <w:rPr>
          <w:sz w:val="26"/>
          <w:szCs w:val="26"/>
        </w:rPr>
        <w:t xml:space="preserve">5 </w:t>
      </w:r>
      <w:r w:rsidRPr="00BF0050">
        <w:rPr>
          <w:sz w:val="26"/>
          <w:szCs w:val="26"/>
        </w:rPr>
        <w:t>%, транспортных средств и оборудования – 10</w:t>
      </w:r>
      <w:r w:rsidR="00ED4EAC" w:rsidRPr="00BF0050">
        <w:rPr>
          <w:sz w:val="26"/>
          <w:szCs w:val="26"/>
        </w:rPr>
        <w:t>7</w:t>
      </w:r>
      <w:r w:rsidRPr="00BF0050">
        <w:rPr>
          <w:sz w:val="26"/>
          <w:szCs w:val="26"/>
        </w:rPr>
        <w:t>,</w:t>
      </w:r>
      <w:r w:rsidR="00ED4EAC" w:rsidRPr="00BF0050">
        <w:rPr>
          <w:sz w:val="26"/>
          <w:szCs w:val="26"/>
        </w:rPr>
        <w:t xml:space="preserve">6 </w:t>
      </w:r>
      <w:r w:rsidRPr="00BF0050">
        <w:rPr>
          <w:sz w:val="26"/>
          <w:szCs w:val="26"/>
        </w:rPr>
        <w:t>процента.</w:t>
      </w:r>
    </w:p>
    <w:p w:rsidR="00D9035A" w:rsidRPr="00BF0050" w:rsidRDefault="00640E62" w:rsidP="00640E62">
      <w:pPr>
        <w:pStyle w:val="aff4"/>
        <w:tabs>
          <w:tab w:val="left" w:pos="9360"/>
        </w:tabs>
        <w:spacing w:before="0" w:after="0"/>
        <w:ind w:firstLine="709"/>
        <w:rPr>
          <w:sz w:val="26"/>
          <w:szCs w:val="26"/>
        </w:rPr>
      </w:pPr>
      <w:r w:rsidRPr="00BF0050">
        <w:rPr>
          <w:sz w:val="26"/>
          <w:szCs w:val="26"/>
        </w:rPr>
        <w:t xml:space="preserve">Импорт продукции машиностроительной отрасли в 2016 году </w:t>
      </w:r>
      <w:r w:rsidRPr="00BF0050">
        <w:rPr>
          <w:sz w:val="26"/>
          <w:szCs w:val="26"/>
        </w:rPr>
        <w:br/>
        <w:t xml:space="preserve">по отношению к 2014 году сократится на 1,3 %, при этом экспорт возрастет на 1,5 процента. </w:t>
      </w:r>
      <w:proofErr w:type="gramStart"/>
      <w:r w:rsidRPr="00BF0050">
        <w:rPr>
          <w:sz w:val="26"/>
          <w:szCs w:val="26"/>
        </w:rPr>
        <w:t>Данная динамика обусловлена в основном динамикой курса рубля, что дополнительно способствует повышению конкурентоспособности товаров российского производства на отечественном и зарубежном рынках.</w:t>
      </w:r>
      <w:proofErr w:type="gramEnd"/>
    </w:p>
    <w:p w:rsidR="00640E62" w:rsidRPr="00BF0050" w:rsidRDefault="00640E62" w:rsidP="000D5110">
      <w:pPr>
        <w:pStyle w:val="aff4"/>
        <w:rPr>
          <w:i/>
          <w:sz w:val="26"/>
          <w:szCs w:val="26"/>
        </w:rPr>
      </w:pPr>
      <w:r w:rsidRPr="00BF0050">
        <w:rPr>
          <w:b/>
          <w:sz w:val="26"/>
          <w:szCs w:val="26"/>
        </w:rPr>
        <w:t>Агропромышленный комплекс</w:t>
      </w:r>
    </w:p>
    <w:p w:rsidR="00640E62" w:rsidRPr="00BF0050" w:rsidRDefault="00640E62" w:rsidP="00640E62">
      <w:pPr>
        <w:spacing w:before="0" w:after="0"/>
        <w:ind w:firstLine="720"/>
        <w:jc w:val="both"/>
        <w:rPr>
          <w:color w:val="000000"/>
          <w:sz w:val="26"/>
          <w:szCs w:val="26"/>
        </w:rPr>
      </w:pPr>
      <w:r w:rsidRPr="00BF0050">
        <w:rPr>
          <w:color w:val="000000"/>
          <w:sz w:val="26"/>
          <w:szCs w:val="26"/>
        </w:rPr>
        <w:t xml:space="preserve">В 2015 году агропромышленный комплекс сохранил положительные тенденции развития. Индекс производства продукции сельского хозяйства в 2015 году составил 103 % к уровню 2014 года, пищевой продукции – 102 процента. </w:t>
      </w:r>
    </w:p>
    <w:p w:rsidR="00640E62" w:rsidRPr="00BF0050" w:rsidRDefault="00640E62" w:rsidP="00640E62">
      <w:pPr>
        <w:spacing w:before="0" w:after="0"/>
        <w:ind w:firstLine="720"/>
        <w:jc w:val="both"/>
        <w:rPr>
          <w:color w:val="000000"/>
          <w:sz w:val="26"/>
          <w:szCs w:val="26"/>
        </w:rPr>
      </w:pPr>
      <w:r w:rsidRPr="00BF0050">
        <w:rPr>
          <w:color w:val="000000"/>
          <w:sz w:val="26"/>
          <w:szCs w:val="26"/>
        </w:rPr>
        <w:t>В ближайшей перспективе агропромышленный комплекс продолжит свое развитие под воздействием факторов, сформировавшихся вследствие санкционных мер по отношению к Российской Федерации и оказывающих сдерживающий эффект на интенсивное развитие отрасли, к которым относятся в первую очередь низкий уровень</w:t>
      </w:r>
      <w:r w:rsidRPr="00BF0050">
        <w:rPr>
          <w:sz w:val="26"/>
          <w:szCs w:val="26"/>
        </w:rPr>
        <w:t xml:space="preserve"> инвестиционной активности и реальных доходов населения,</w:t>
      </w:r>
      <w:r w:rsidRPr="00BF0050">
        <w:rPr>
          <w:color w:val="000000"/>
          <w:sz w:val="26"/>
          <w:szCs w:val="26"/>
        </w:rPr>
        <w:t xml:space="preserve"> трудности привлечения </w:t>
      </w:r>
      <w:r w:rsidRPr="00BF0050">
        <w:rPr>
          <w:sz w:val="26"/>
          <w:szCs w:val="26"/>
        </w:rPr>
        <w:t>инвестиционных кредитов и кредитов на осущест</w:t>
      </w:r>
      <w:r w:rsidRPr="00BF0050">
        <w:rPr>
          <w:color w:val="000000"/>
          <w:sz w:val="26"/>
          <w:szCs w:val="26"/>
        </w:rPr>
        <w:t xml:space="preserve">вление текущей деятельности, ухудшение финансовых показателей деятельности сельскохозяйственных организаций. </w:t>
      </w:r>
    </w:p>
    <w:p w:rsidR="00640E62" w:rsidRPr="00BF0050" w:rsidRDefault="00640E62" w:rsidP="00640E62">
      <w:pPr>
        <w:spacing w:before="0" w:after="0"/>
        <w:ind w:firstLine="720"/>
        <w:jc w:val="both"/>
        <w:rPr>
          <w:color w:val="000000"/>
          <w:sz w:val="26"/>
          <w:szCs w:val="26"/>
        </w:rPr>
      </w:pPr>
      <w:r w:rsidRPr="00BF0050">
        <w:rPr>
          <w:color w:val="000000"/>
          <w:sz w:val="26"/>
          <w:szCs w:val="26"/>
        </w:rPr>
        <w:t>Темп роста производства продукции сельского хозяйства</w:t>
      </w:r>
      <w:r w:rsidR="008413F2" w:rsidRPr="00BF0050">
        <w:rPr>
          <w:color w:val="000000"/>
          <w:sz w:val="26"/>
          <w:szCs w:val="26"/>
        </w:rPr>
        <w:t>, по оценке Минэкономразвития России,</w:t>
      </w:r>
      <w:r w:rsidRPr="00BF0050">
        <w:rPr>
          <w:color w:val="000000"/>
          <w:sz w:val="26"/>
          <w:szCs w:val="26"/>
        </w:rPr>
        <w:t xml:space="preserve"> в 2016 году </w:t>
      </w:r>
      <w:r w:rsidR="008413F2" w:rsidRPr="00BF0050">
        <w:rPr>
          <w:color w:val="000000"/>
          <w:sz w:val="26"/>
          <w:szCs w:val="26"/>
        </w:rPr>
        <w:t xml:space="preserve">составит </w:t>
      </w:r>
      <w:r w:rsidRPr="00BF0050">
        <w:rPr>
          <w:color w:val="000000"/>
          <w:sz w:val="26"/>
          <w:szCs w:val="26"/>
        </w:rPr>
        <w:t>101,5 % по отношению к 2015 году, пищевой промышленности – 10</w:t>
      </w:r>
      <w:r w:rsidR="002C2A60" w:rsidRPr="00BF0050">
        <w:rPr>
          <w:color w:val="000000"/>
          <w:sz w:val="26"/>
          <w:szCs w:val="26"/>
        </w:rPr>
        <w:t>2</w:t>
      </w:r>
      <w:r w:rsidRPr="00BF0050">
        <w:rPr>
          <w:color w:val="000000"/>
          <w:sz w:val="26"/>
          <w:szCs w:val="26"/>
        </w:rPr>
        <w:t>,</w:t>
      </w:r>
      <w:r w:rsidR="002C2A60" w:rsidRPr="00BF0050">
        <w:rPr>
          <w:color w:val="000000"/>
          <w:sz w:val="26"/>
          <w:szCs w:val="26"/>
        </w:rPr>
        <w:t xml:space="preserve">0 </w:t>
      </w:r>
      <w:r w:rsidRPr="00BF0050">
        <w:rPr>
          <w:color w:val="000000"/>
          <w:sz w:val="26"/>
          <w:szCs w:val="26"/>
        </w:rPr>
        <w:t>процента. Динамика развития сектора будет формироваться в условиях адаптации большинства рынков к текущей макроэкономической ситуации и ориентации на замещение отечественными аналогами объемов импортной продукции, попавшей под продовольственное эмбарго. Индекс физического объема инвестиций в основной капитал в 2016 году в сельском хозяйстве составит 98,2 % к 2015 году, в пищевой промышленности – 97 процентов.</w:t>
      </w:r>
    </w:p>
    <w:p w:rsidR="00640E62" w:rsidRPr="00BF0050" w:rsidRDefault="00640E62" w:rsidP="00640E62">
      <w:pPr>
        <w:spacing w:before="0" w:after="0"/>
        <w:ind w:firstLine="720"/>
        <w:jc w:val="both"/>
        <w:rPr>
          <w:color w:val="000000"/>
          <w:sz w:val="26"/>
          <w:szCs w:val="26"/>
        </w:rPr>
      </w:pPr>
      <w:r w:rsidRPr="00BF0050">
        <w:rPr>
          <w:color w:val="000000"/>
          <w:sz w:val="26"/>
          <w:szCs w:val="26"/>
        </w:rPr>
        <w:t xml:space="preserve">В среднесрочной перспективе влияние на развитие отрасли будут оказывать восстановительные процессы в экономике, которые приведут к росту инвестиционной активности и рентабельности предприятий, оживлению потребительского спроса. Кроме того, совокупность мероприятий по развитию агропромышленного комплекса, реализуемых Правительством Российской Федерации в последние годы, будут </w:t>
      </w:r>
      <w:r w:rsidRPr="00BF0050">
        <w:rPr>
          <w:color w:val="000000"/>
          <w:sz w:val="26"/>
          <w:szCs w:val="26"/>
        </w:rPr>
        <w:lastRenderedPageBreak/>
        <w:t xml:space="preserve">способствовать интенсификации производства, улучшению количественных </w:t>
      </w:r>
      <w:r w:rsidR="008413F2" w:rsidRPr="00BF0050">
        <w:rPr>
          <w:color w:val="000000"/>
          <w:sz w:val="26"/>
          <w:szCs w:val="26"/>
        </w:rPr>
        <w:t>и</w:t>
      </w:r>
      <w:r w:rsidR="00892219" w:rsidRPr="00BF0050">
        <w:rPr>
          <w:color w:val="000000"/>
          <w:sz w:val="26"/>
          <w:szCs w:val="26"/>
        </w:rPr>
        <w:t>  </w:t>
      </w:r>
      <w:r w:rsidR="008413F2" w:rsidRPr="00BF0050">
        <w:rPr>
          <w:color w:val="000000"/>
          <w:sz w:val="26"/>
          <w:szCs w:val="26"/>
        </w:rPr>
        <w:t> </w:t>
      </w:r>
      <w:r w:rsidRPr="00BF0050">
        <w:rPr>
          <w:color w:val="000000"/>
          <w:sz w:val="26"/>
          <w:szCs w:val="26"/>
        </w:rPr>
        <w:t>качественных показателей отрасли,</w:t>
      </w:r>
      <w:r w:rsidRPr="00BF0050">
        <w:rPr>
          <w:sz w:val="26"/>
          <w:szCs w:val="26"/>
        </w:rPr>
        <w:t xml:space="preserve"> </w:t>
      </w:r>
      <w:r w:rsidRPr="00BF0050">
        <w:rPr>
          <w:color w:val="000000"/>
          <w:sz w:val="26"/>
          <w:szCs w:val="26"/>
        </w:rPr>
        <w:t>что</w:t>
      </w:r>
      <w:r w:rsidR="00892219" w:rsidRPr="00BF0050">
        <w:rPr>
          <w:color w:val="000000"/>
          <w:sz w:val="26"/>
          <w:szCs w:val="26"/>
        </w:rPr>
        <w:t>,</w:t>
      </w:r>
      <w:r w:rsidRPr="00BF0050">
        <w:rPr>
          <w:color w:val="000000"/>
          <w:sz w:val="26"/>
          <w:szCs w:val="26"/>
        </w:rPr>
        <w:t xml:space="preserve"> в свою очередь</w:t>
      </w:r>
      <w:r w:rsidR="00892219" w:rsidRPr="00BF0050">
        <w:rPr>
          <w:color w:val="000000"/>
          <w:sz w:val="26"/>
          <w:szCs w:val="26"/>
        </w:rPr>
        <w:t>,</w:t>
      </w:r>
      <w:r w:rsidRPr="00BF0050">
        <w:rPr>
          <w:color w:val="000000"/>
          <w:sz w:val="26"/>
          <w:szCs w:val="26"/>
        </w:rPr>
        <w:t xml:space="preserve"> отразится </w:t>
      </w:r>
      <w:r w:rsidRPr="00BF0050">
        <w:rPr>
          <w:color w:val="000000"/>
          <w:sz w:val="26"/>
          <w:szCs w:val="26"/>
        </w:rPr>
        <w:br/>
        <w:t xml:space="preserve">на конкурентоспособности </w:t>
      </w:r>
      <w:r w:rsidR="008413F2" w:rsidRPr="00BF0050">
        <w:rPr>
          <w:color w:val="000000"/>
          <w:sz w:val="26"/>
          <w:szCs w:val="26"/>
        </w:rPr>
        <w:t xml:space="preserve">продукции </w:t>
      </w:r>
      <w:r w:rsidRPr="00BF0050">
        <w:rPr>
          <w:color w:val="000000"/>
          <w:sz w:val="26"/>
          <w:szCs w:val="26"/>
        </w:rPr>
        <w:t xml:space="preserve">для обеспечения населения качественной линейкой продовольственных </w:t>
      </w:r>
      <w:r w:rsidR="00892219" w:rsidRPr="00BF0050">
        <w:rPr>
          <w:color w:val="000000"/>
          <w:sz w:val="26"/>
          <w:szCs w:val="26"/>
        </w:rPr>
        <w:t>товаров</w:t>
      </w:r>
      <w:r w:rsidR="008413F2" w:rsidRPr="00BF0050">
        <w:rPr>
          <w:color w:val="000000"/>
          <w:sz w:val="26"/>
          <w:szCs w:val="26"/>
        </w:rPr>
        <w:t xml:space="preserve"> и будет способствовать</w:t>
      </w:r>
      <w:r w:rsidRPr="00BF0050">
        <w:rPr>
          <w:color w:val="000000"/>
          <w:sz w:val="26"/>
          <w:szCs w:val="26"/>
        </w:rPr>
        <w:t xml:space="preserve"> </w:t>
      </w:r>
      <w:r w:rsidR="008413F2" w:rsidRPr="00BF0050">
        <w:rPr>
          <w:color w:val="000000"/>
          <w:sz w:val="26"/>
          <w:szCs w:val="26"/>
        </w:rPr>
        <w:t xml:space="preserve">выходу отечественной </w:t>
      </w:r>
      <w:r w:rsidRPr="00BF0050">
        <w:rPr>
          <w:color w:val="000000"/>
          <w:sz w:val="26"/>
          <w:szCs w:val="26"/>
        </w:rPr>
        <w:t>продукции на зарубежные рынки сбыта.</w:t>
      </w:r>
    </w:p>
    <w:p w:rsidR="008F3C32" w:rsidRPr="00BF0050" w:rsidRDefault="008F3C32" w:rsidP="008F3C32">
      <w:pPr>
        <w:spacing w:before="0"/>
        <w:jc w:val="both"/>
        <w:rPr>
          <w:color w:val="000000"/>
          <w:sz w:val="26"/>
          <w:szCs w:val="26"/>
        </w:rPr>
      </w:pPr>
      <w:bookmarkStart w:id="54" w:name="_Toc447812945"/>
      <w:r w:rsidRPr="00BF0050">
        <w:rPr>
          <w:color w:val="000000"/>
          <w:sz w:val="26"/>
          <w:szCs w:val="26"/>
        </w:rPr>
        <w:t xml:space="preserve">Индекс производства продукции сельского хозяйства в 2019 году по сравнению </w:t>
      </w:r>
      <w:r w:rsidRPr="00BF0050">
        <w:rPr>
          <w:color w:val="000000"/>
          <w:sz w:val="26"/>
          <w:szCs w:val="26"/>
        </w:rPr>
        <w:br/>
        <w:t xml:space="preserve">с 2015 годом ожидается на уровне 108,7 %, пищевой промышленности – </w:t>
      </w:r>
      <w:r w:rsidRPr="00BF0050">
        <w:rPr>
          <w:color w:val="000000"/>
          <w:sz w:val="26"/>
          <w:szCs w:val="26"/>
        </w:rPr>
        <w:br/>
        <w:t>109,</w:t>
      </w:r>
      <w:r w:rsidR="00AE2172" w:rsidRPr="00BF0050">
        <w:rPr>
          <w:color w:val="000000"/>
          <w:sz w:val="26"/>
          <w:szCs w:val="26"/>
        </w:rPr>
        <w:t>9</w:t>
      </w:r>
      <w:r w:rsidRPr="00BF0050">
        <w:rPr>
          <w:color w:val="000000"/>
          <w:sz w:val="26"/>
          <w:szCs w:val="26"/>
        </w:rPr>
        <w:t xml:space="preserve"> процент</w:t>
      </w:r>
      <w:r w:rsidR="00AE2172" w:rsidRPr="00BF0050">
        <w:rPr>
          <w:color w:val="000000"/>
          <w:sz w:val="26"/>
          <w:szCs w:val="26"/>
        </w:rPr>
        <w:t>а</w:t>
      </w:r>
      <w:r w:rsidRPr="00BF0050">
        <w:rPr>
          <w:color w:val="000000"/>
          <w:sz w:val="26"/>
          <w:szCs w:val="26"/>
        </w:rPr>
        <w:t>. Объем инвестиций в сельском хозяйстве в 2019 году увеличится на  2,7% по отношению к 2015 году, в пищевой промышленности – на 0,8 процента.</w:t>
      </w:r>
    </w:p>
    <w:p w:rsidR="00CF0FFD" w:rsidRPr="00BF0050" w:rsidRDefault="00D414F7" w:rsidP="00B460B2">
      <w:pPr>
        <w:pStyle w:val="1"/>
        <w:numPr>
          <w:ilvl w:val="0"/>
          <w:numId w:val="3"/>
        </w:numPr>
        <w:spacing w:before="240" w:after="240" w:line="360" w:lineRule="exact"/>
        <w:ind w:left="0" w:firstLine="0"/>
        <w:jc w:val="center"/>
        <w:rPr>
          <w:rFonts w:ascii="Times New Roman" w:hAnsi="Times New Roman"/>
          <w:color w:val="auto"/>
          <w:sz w:val="26"/>
          <w:szCs w:val="26"/>
        </w:rPr>
      </w:pPr>
      <w:r w:rsidRPr="00BF0050">
        <w:rPr>
          <w:rFonts w:ascii="Times New Roman" w:hAnsi="Times New Roman"/>
          <w:color w:val="auto"/>
          <w:sz w:val="26"/>
          <w:szCs w:val="26"/>
        </w:rPr>
        <w:t>Инфляция и ценовые показатели прогноза</w:t>
      </w:r>
      <w:bookmarkEnd w:id="54"/>
    </w:p>
    <w:p w:rsidR="00CE043B" w:rsidRPr="00BF0050" w:rsidRDefault="00CE043B" w:rsidP="00CE043B">
      <w:pPr>
        <w:spacing w:before="0" w:after="0"/>
        <w:ind w:firstLine="710"/>
        <w:jc w:val="both"/>
        <w:rPr>
          <w:sz w:val="26"/>
          <w:szCs w:val="26"/>
        </w:rPr>
      </w:pPr>
      <w:r w:rsidRPr="00BF0050">
        <w:rPr>
          <w:sz w:val="26"/>
          <w:szCs w:val="26"/>
        </w:rPr>
        <w:t xml:space="preserve">К  2016 году инфляция снизится до  6,5 % после 12,9 % в 2015 году и 11,4 % в 2014 году и практически приблизится к докризисному уровню 2011 – 2013 годов                  (6,1–6,6 процента). </w:t>
      </w:r>
    </w:p>
    <w:p w:rsidR="00CE043B" w:rsidRPr="00BF0050" w:rsidRDefault="00CE043B" w:rsidP="00CE043B">
      <w:pPr>
        <w:spacing w:before="0" w:after="0"/>
        <w:jc w:val="both"/>
        <w:rPr>
          <w:sz w:val="26"/>
          <w:szCs w:val="26"/>
        </w:rPr>
      </w:pPr>
      <w:r w:rsidRPr="00BF0050">
        <w:rPr>
          <w:sz w:val="26"/>
          <w:szCs w:val="26"/>
        </w:rPr>
        <w:t>Столь значительное замедление инфляции в текущем году прежде всего обусловлено существенным снижением реальных доходов населения</w:t>
      </w:r>
      <w:r w:rsidRPr="00BF0050" w:rsidDel="0060571C">
        <w:rPr>
          <w:sz w:val="26"/>
          <w:szCs w:val="26"/>
        </w:rPr>
        <w:t xml:space="preserve"> </w:t>
      </w:r>
      <w:r w:rsidRPr="00BF0050">
        <w:rPr>
          <w:sz w:val="26"/>
          <w:szCs w:val="26"/>
        </w:rPr>
        <w:t>на протяжении  2014 – 2015 гг. (не имевшим аналогов в прошлом). Также инфляцию сдерживают высокие процентные ставки</w:t>
      </w:r>
      <w:r w:rsidR="00E55B22" w:rsidRPr="00BF0050">
        <w:rPr>
          <w:sz w:val="26"/>
          <w:szCs w:val="26"/>
        </w:rPr>
        <w:t>,</w:t>
      </w:r>
      <w:r w:rsidRPr="00BF0050">
        <w:rPr>
          <w:sz w:val="26"/>
          <w:szCs w:val="26"/>
        </w:rPr>
        <w:t xml:space="preserve"> сокращение кредитования экономики со стороны финансовых институтов,  стабилизация курса национальной валюты.</w:t>
      </w:r>
    </w:p>
    <w:p w:rsidR="00CE043B" w:rsidRPr="00BF0050" w:rsidRDefault="00CE043B" w:rsidP="00CE043B">
      <w:pPr>
        <w:spacing w:before="0" w:after="0"/>
        <w:jc w:val="both"/>
        <w:rPr>
          <w:sz w:val="26"/>
          <w:szCs w:val="26"/>
        </w:rPr>
      </w:pPr>
      <w:r w:rsidRPr="00BF0050">
        <w:rPr>
          <w:sz w:val="26"/>
          <w:szCs w:val="26"/>
        </w:rPr>
        <w:t xml:space="preserve">В начале текущего года инфляция быстро замедляется – рост цен за январь-март  на  2,1 % – более чем в три раза ниже, чем годом ранее (7,4 процента). К концу квартала  годовая инфляция понизилась до 7,3 % с 12,9 % в декабре 2015 года. </w:t>
      </w:r>
      <w:r w:rsidRPr="00BF0050">
        <w:rPr>
          <w:rFonts w:cstheme="minorBidi"/>
          <w:sz w:val="26"/>
          <w:szCs w:val="26"/>
        </w:rPr>
        <w:t xml:space="preserve"> В значительной мере столь резкое снижение связанно с эффектом высокой базы предыдущего года</w:t>
      </w:r>
      <w:r w:rsidRPr="00BF0050">
        <w:rPr>
          <w:sz w:val="26"/>
          <w:szCs w:val="26"/>
        </w:rPr>
        <w:t xml:space="preserve">. </w:t>
      </w:r>
      <w:r w:rsidRPr="00BF0050">
        <w:rPr>
          <w:rFonts w:cstheme="minorBidi"/>
          <w:sz w:val="26"/>
          <w:szCs w:val="26"/>
        </w:rPr>
        <w:t>Особенно понизился рост цен на продовольственные товары (</w:t>
      </w:r>
      <w:r w:rsidRPr="00BF0050">
        <w:rPr>
          <w:sz w:val="26"/>
          <w:szCs w:val="26"/>
        </w:rPr>
        <w:t>5,2 </w:t>
      </w:r>
      <w:r w:rsidRPr="00BF0050">
        <w:rPr>
          <w:rFonts w:cstheme="minorBidi"/>
          <w:sz w:val="26"/>
          <w:szCs w:val="26"/>
        </w:rPr>
        <w:t>% за годовой период), однако в</w:t>
      </w:r>
      <w:r w:rsidRPr="00BF0050">
        <w:rPr>
          <w:sz w:val="26"/>
          <w:szCs w:val="26"/>
        </w:rPr>
        <w:t xml:space="preserve">о </w:t>
      </w:r>
      <w:r w:rsidRPr="00BF0050">
        <w:rPr>
          <w:sz w:val="26"/>
          <w:szCs w:val="26"/>
          <w:lang w:val="en-US"/>
        </w:rPr>
        <w:t>II</w:t>
      </w:r>
      <w:r w:rsidRPr="00BF0050">
        <w:rPr>
          <w:sz w:val="26"/>
          <w:szCs w:val="26"/>
        </w:rPr>
        <w:t xml:space="preserve"> квартале 2016 г.  влияние фактора «базы» будет иметь противоположный характер (годом ранее рост цен на продовольственные товары был нулевым, и инфляция была низкой вследствие резкого падения рубля и предшествующего скачка цен).</w:t>
      </w:r>
    </w:p>
    <w:p w:rsidR="00CE043B" w:rsidRPr="00BF0050" w:rsidRDefault="00CE043B" w:rsidP="00CE043B">
      <w:pPr>
        <w:spacing w:before="0" w:after="0"/>
        <w:jc w:val="both"/>
        <w:rPr>
          <w:rFonts w:cstheme="minorBidi"/>
          <w:sz w:val="26"/>
          <w:szCs w:val="26"/>
        </w:rPr>
      </w:pPr>
      <w:r w:rsidRPr="00BF0050">
        <w:rPr>
          <w:rFonts w:cstheme="minorBidi"/>
          <w:sz w:val="26"/>
          <w:szCs w:val="26"/>
        </w:rPr>
        <w:t>В 2016  году наиболее сильно замедлится рост цен на продовольственные товары – до 6,2 %</w:t>
      </w:r>
      <w:r w:rsidRPr="00BF0050">
        <w:rPr>
          <w:rFonts w:cstheme="minorBidi"/>
          <w:i/>
          <w:sz w:val="26"/>
          <w:szCs w:val="26"/>
        </w:rPr>
        <w:t xml:space="preserve">, </w:t>
      </w:r>
      <w:r w:rsidRPr="00BF0050">
        <w:rPr>
          <w:rFonts w:cstheme="minorBidi"/>
          <w:sz w:val="26"/>
          <w:szCs w:val="26"/>
        </w:rPr>
        <w:t>после того как за 2014 – 2015 гг. цены выросли на 31,6 %,  превысив инфляцию в 1,2 раза.</w:t>
      </w:r>
      <w:r w:rsidRPr="00BF0050">
        <w:rPr>
          <w:sz w:val="26"/>
          <w:szCs w:val="26"/>
        </w:rPr>
        <w:t xml:space="preserve"> Сдерживать рост цен также будет происходящее </w:t>
      </w:r>
      <w:hyperlink r:id="rId24" w:tgtFrame="_blank" w:history="1">
        <w:r w:rsidRPr="00BF0050">
          <w:rPr>
            <w:rFonts w:cstheme="minorBidi"/>
            <w:sz w:val="26"/>
            <w:szCs w:val="26"/>
          </w:rPr>
          <w:t xml:space="preserve">импортозамещение отечественными продуктами, в  результате которого </w:t>
        </w:r>
        <w:r w:rsidRPr="00BF0050">
          <w:rPr>
            <w:sz w:val="26"/>
            <w:szCs w:val="26"/>
          </w:rPr>
          <w:t xml:space="preserve">доля продовольственного импорта в товарообороте сократилась почти в 1,5 раза, и  влияние курсовой динамики на продовольственную инфляцию стало значительно  слабее. </w:t>
        </w:r>
      </w:hyperlink>
      <w:r w:rsidRPr="00BF0050">
        <w:rPr>
          <w:rFonts w:cstheme="minorBidi"/>
          <w:sz w:val="26"/>
          <w:szCs w:val="26"/>
        </w:rPr>
        <w:t xml:space="preserve">Пониженная ценовая динамика будет также обусловлена избыточным предложением и значительным падением цен на ряде </w:t>
      </w:r>
      <w:r w:rsidR="00E55B22" w:rsidRPr="00BF0050">
        <w:rPr>
          <w:rFonts w:cstheme="minorBidi"/>
          <w:sz w:val="26"/>
          <w:szCs w:val="26"/>
        </w:rPr>
        <w:t>продовольственных</w:t>
      </w:r>
      <w:r w:rsidRPr="00BF0050">
        <w:rPr>
          <w:rFonts w:cstheme="minorBidi"/>
          <w:sz w:val="26"/>
          <w:szCs w:val="26"/>
        </w:rPr>
        <w:t xml:space="preserve"> рынков – по оценке, это даст отрицательный вклад в инфляцию от 0,3 до 0,5 проц. пункта. </w:t>
      </w:r>
    </w:p>
    <w:p w:rsidR="00CE043B" w:rsidRPr="00BF0050" w:rsidRDefault="00CE043B" w:rsidP="00CE043B">
      <w:pPr>
        <w:spacing w:before="0" w:after="0"/>
        <w:jc w:val="both"/>
        <w:rPr>
          <w:rFonts w:cstheme="minorBidi"/>
          <w:sz w:val="26"/>
          <w:szCs w:val="26"/>
        </w:rPr>
      </w:pPr>
      <w:r w:rsidRPr="00BF0050">
        <w:rPr>
          <w:sz w:val="26"/>
          <w:szCs w:val="26"/>
        </w:rPr>
        <w:t>В 2017 году замедление инфляции продолжится, но более умеренными темпами по сравнению с предшествующим  годом. По оценке Минэкономразвития России, инфляция понизится до 4,9 процента. О</w:t>
      </w:r>
      <w:r w:rsidRPr="00BF0050">
        <w:rPr>
          <w:rFonts w:cstheme="minorBidi"/>
          <w:sz w:val="26"/>
          <w:szCs w:val="26"/>
        </w:rPr>
        <w:t xml:space="preserve">сновное сдерживающее влияние на рост инфляции будут </w:t>
      </w:r>
      <w:r w:rsidRPr="00BF0050">
        <w:rPr>
          <w:rFonts w:cstheme="minorBidi"/>
          <w:sz w:val="26"/>
          <w:szCs w:val="26"/>
        </w:rPr>
        <w:lastRenderedPageBreak/>
        <w:t xml:space="preserve">оказывать проведение умеренно-жесткой денежной и бюджетной политики, </w:t>
      </w:r>
      <w:r w:rsidRPr="00BF0050">
        <w:rPr>
          <w:sz w:val="26"/>
          <w:szCs w:val="26"/>
        </w:rPr>
        <w:t>дальнейшее укрепление рубля.</w:t>
      </w:r>
      <w:r w:rsidRPr="00BF0050">
        <w:rPr>
          <w:rFonts w:cstheme="minorBidi"/>
          <w:sz w:val="26"/>
          <w:szCs w:val="26"/>
        </w:rPr>
        <w:t xml:space="preserve"> Сдерживающее в</w:t>
      </w:r>
      <w:r w:rsidRPr="00BF0050">
        <w:rPr>
          <w:sz w:val="26"/>
          <w:szCs w:val="26"/>
        </w:rPr>
        <w:t>лияние спросовых ограничений в прогнозный период п</w:t>
      </w:r>
      <w:r w:rsidRPr="00BF0050">
        <w:rPr>
          <w:rFonts w:cstheme="minorBidi"/>
          <w:sz w:val="26"/>
          <w:szCs w:val="26"/>
        </w:rPr>
        <w:t xml:space="preserve">ри незначительном росте доходов населения </w:t>
      </w:r>
      <w:r w:rsidRPr="00BF0050">
        <w:rPr>
          <w:sz w:val="26"/>
          <w:szCs w:val="26"/>
        </w:rPr>
        <w:t xml:space="preserve">сохранится.  </w:t>
      </w:r>
      <w:r w:rsidRPr="00BF0050">
        <w:rPr>
          <w:rFonts w:cstheme="minorBidi"/>
          <w:sz w:val="26"/>
          <w:szCs w:val="26"/>
        </w:rPr>
        <w:t xml:space="preserve">  </w:t>
      </w:r>
    </w:p>
    <w:p w:rsidR="008143E7" w:rsidRPr="00BF0050" w:rsidRDefault="008143E7" w:rsidP="00B460B2">
      <w:pPr>
        <w:spacing w:before="0" w:after="0"/>
        <w:jc w:val="both"/>
        <w:rPr>
          <w:rFonts w:cstheme="minorBidi"/>
          <w:sz w:val="26"/>
          <w:szCs w:val="26"/>
        </w:rPr>
      </w:pPr>
      <w:r w:rsidRPr="00BF0050">
        <w:rPr>
          <w:rFonts w:cstheme="minorBidi"/>
          <w:sz w:val="26"/>
          <w:szCs w:val="26"/>
        </w:rPr>
        <w:t xml:space="preserve">Ценовые перекосы, образовавшиеся в 2016 году в результате перенасыщения ряда рынков, в 2017 году будут выравниваться. В этой связи будут расти цены на </w:t>
      </w:r>
      <w:r w:rsidRPr="00BF0050">
        <w:rPr>
          <w:sz w:val="26"/>
          <w:szCs w:val="26"/>
        </w:rPr>
        <w:t xml:space="preserve">сельскохозяйственное </w:t>
      </w:r>
      <w:r w:rsidRPr="00BF0050">
        <w:rPr>
          <w:rFonts w:cstheme="minorBidi"/>
          <w:sz w:val="26"/>
          <w:szCs w:val="26"/>
        </w:rPr>
        <w:t xml:space="preserve">сырье </w:t>
      </w:r>
      <w:r w:rsidRPr="00BF0050">
        <w:rPr>
          <w:sz w:val="26"/>
          <w:szCs w:val="26"/>
        </w:rPr>
        <w:t>и на продукты</w:t>
      </w:r>
      <w:r w:rsidRPr="00BF0050">
        <w:rPr>
          <w:rFonts w:cstheme="minorBidi"/>
          <w:sz w:val="26"/>
          <w:szCs w:val="26"/>
        </w:rPr>
        <w:t xml:space="preserve">, цены на которые </w:t>
      </w:r>
      <w:r w:rsidR="00E55B22" w:rsidRPr="00BF0050">
        <w:rPr>
          <w:rFonts w:cstheme="minorBidi"/>
          <w:sz w:val="26"/>
          <w:szCs w:val="26"/>
        </w:rPr>
        <w:t>существенно</w:t>
      </w:r>
      <w:r w:rsidRPr="00BF0050">
        <w:rPr>
          <w:rFonts w:cstheme="minorBidi"/>
          <w:sz w:val="26"/>
          <w:szCs w:val="26"/>
        </w:rPr>
        <w:t xml:space="preserve"> упали в 2016 году, и рост цен на продовольственные товары будет в меру или чуть выше инфляции. </w:t>
      </w:r>
    </w:p>
    <w:p w:rsidR="00CE043B" w:rsidRPr="00BF0050" w:rsidRDefault="00CE043B" w:rsidP="00B460B2">
      <w:pPr>
        <w:jc w:val="center"/>
        <w:rPr>
          <w:b/>
          <w:color w:val="000000"/>
          <w:sz w:val="26"/>
          <w:szCs w:val="26"/>
        </w:rPr>
      </w:pPr>
      <w:r w:rsidRPr="00BF0050">
        <w:rPr>
          <w:b/>
          <w:color w:val="000000"/>
          <w:sz w:val="26"/>
          <w:szCs w:val="26"/>
        </w:rPr>
        <w:t xml:space="preserve">Структура потребительской инфляции в 2017 – 2019 годах </w:t>
      </w:r>
    </w:p>
    <w:tbl>
      <w:tblPr>
        <w:tblpPr w:leftFromText="180" w:rightFromText="180" w:vertAnchor="text" w:horzAnchor="margin" w:tblpXSpec="center" w:tblpY="4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1157"/>
        <w:gridCol w:w="850"/>
        <w:gridCol w:w="708"/>
        <w:gridCol w:w="992"/>
        <w:gridCol w:w="872"/>
        <w:gridCol w:w="948"/>
        <w:gridCol w:w="850"/>
        <w:gridCol w:w="993"/>
      </w:tblGrid>
      <w:tr w:rsidR="00F272E6" w:rsidRPr="00BF0050" w:rsidTr="007B6AAA">
        <w:trPr>
          <w:trHeight w:hRule="exact" w:val="301"/>
          <w:tblHeader/>
        </w:trPr>
        <w:tc>
          <w:tcPr>
            <w:tcW w:w="2803" w:type="dxa"/>
            <w:vMerge w:val="restart"/>
          </w:tcPr>
          <w:p w:rsidR="00F272E6" w:rsidRPr="00BF0050" w:rsidRDefault="00F272E6" w:rsidP="00460BCB">
            <w:pPr>
              <w:autoSpaceDE w:val="0"/>
              <w:autoSpaceDN w:val="0"/>
              <w:adjustRightInd w:val="0"/>
              <w:spacing w:before="0" w:after="0"/>
              <w:ind w:firstLine="0"/>
              <w:rPr>
                <w:b/>
                <w:bCs/>
                <w:color w:val="000000"/>
                <w:sz w:val="22"/>
                <w:szCs w:val="22"/>
              </w:rPr>
            </w:pPr>
          </w:p>
        </w:tc>
        <w:tc>
          <w:tcPr>
            <w:tcW w:w="1157" w:type="dxa"/>
            <w:vMerge w:val="restart"/>
            <w:vAlign w:val="center"/>
          </w:tcPr>
          <w:p w:rsidR="00F272E6" w:rsidRPr="00BF0050" w:rsidRDefault="00F272E6" w:rsidP="00F272E6">
            <w:pPr>
              <w:autoSpaceDE w:val="0"/>
              <w:autoSpaceDN w:val="0"/>
              <w:adjustRightInd w:val="0"/>
              <w:spacing w:before="0" w:after="0" w:line="240" w:lineRule="auto"/>
              <w:ind w:left="-136" w:right="-198" w:firstLine="0"/>
              <w:jc w:val="center"/>
              <w:rPr>
                <w:b/>
                <w:bCs/>
                <w:color w:val="000000"/>
                <w:sz w:val="22"/>
                <w:szCs w:val="22"/>
              </w:rPr>
            </w:pPr>
            <w:r w:rsidRPr="00BF0050">
              <w:rPr>
                <w:bCs/>
                <w:color w:val="000000"/>
                <w:sz w:val="22"/>
                <w:szCs w:val="22"/>
              </w:rPr>
              <w:t>Вариант</w:t>
            </w:r>
          </w:p>
        </w:tc>
        <w:tc>
          <w:tcPr>
            <w:tcW w:w="6213" w:type="dxa"/>
            <w:gridSpan w:val="7"/>
            <w:vAlign w:val="center"/>
          </w:tcPr>
          <w:p w:rsidR="00F272E6" w:rsidRPr="00BF0050" w:rsidRDefault="00F272E6" w:rsidP="00460BCB">
            <w:pPr>
              <w:spacing w:before="0" w:after="0" w:line="200" w:lineRule="atLeast"/>
              <w:ind w:firstLine="0"/>
              <w:jc w:val="center"/>
              <w:rPr>
                <w:b/>
                <w:color w:val="000000"/>
                <w:sz w:val="22"/>
                <w:szCs w:val="22"/>
              </w:rPr>
            </w:pPr>
            <w:r w:rsidRPr="00BF0050">
              <w:rPr>
                <w:bCs/>
                <w:color w:val="000000"/>
                <w:sz w:val="22"/>
                <w:szCs w:val="22"/>
              </w:rPr>
              <w:t>Прирост цен, %, г/г</w:t>
            </w:r>
          </w:p>
        </w:tc>
      </w:tr>
      <w:tr w:rsidR="00F272E6" w:rsidRPr="00BF0050" w:rsidTr="007B6AAA">
        <w:trPr>
          <w:trHeight w:val="12"/>
          <w:tblHeader/>
        </w:trPr>
        <w:tc>
          <w:tcPr>
            <w:tcW w:w="2803" w:type="dxa"/>
            <w:vMerge/>
            <w:vAlign w:val="center"/>
          </w:tcPr>
          <w:p w:rsidR="00F272E6" w:rsidRPr="00BF0050" w:rsidRDefault="00F272E6" w:rsidP="00460BCB">
            <w:pPr>
              <w:autoSpaceDE w:val="0"/>
              <w:autoSpaceDN w:val="0"/>
              <w:adjustRightInd w:val="0"/>
              <w:spacing w:before="0" w:after="0" w:line="240" w:lineRule="auto"/>
              <w:ind w:firstLine="0"/>
              <w:rPr>
                <w:b/>
                <w:bCs/>
                <w:color w:val="000000"/>
                <w:sz w:val="22"/>
                <w:szCs w:val="22"/>
              </w:rPr>
            </w:pPr>
          </w:p>
        </w:tc>
        <w:tc>
          <w:tcPr>
            <w:tcW w:w="1157" w:type="dxa"/>
            <w:vMerge/>
            <w:vAlign w:val="center"/>
          </w:tcPr>
          <w:p w:rsidR="00F272E6" w:rsidRPr="00BF0050" w:rsidRDefault="00F272E6" w:rsidP="00460BCB">
            <w:pPr>
              <w:autoSpaceDE w:val="0"/>
              <w:autoSpaceDN w:val="0"/>
              <w:adjustRightInd w:val="0"/>
              <w:spacing w:before="0" w:after="0" w:line="240" w:lineRule="auto"/>
              <w:ind w:left="-136" w:right="-199" w:firstLine="0"/>
              <w:jc w:val="center"/>
              <w:rPr>
                <w:bCs/>
                <w:color w:val="000000"/>
                <w:sz w:val="22"/>
                <w:szCs w:val="22"/>
              </w:rPr>
            </w:pPr>
          </w:p>
        </w:tc>
        <w:tc>
          <w:tcPr>
            <w:tcW w:w="850" w:type="dxa"/>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дек.</w:t>
            </w:r>
          </w:p>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2014</w:t>
            </w:r>
          </w:p>
        </w:tc>
        <w:tc>
          <w:tcPr>
            <w:tcW w:w="708" w:type="dxa"/>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дек.</w:t>
            </w:r>
          </w:p>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2015</w:t>
            </w:r>
          </w:p>
        </w:tc>
        <w:tc>
          <w:tcPr>
            <w:tcW w:w="992" w:type="dxa"/>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июнь</w:t>
            </w:r>
          </w:p>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2016</w:t>
            </w:r>
          </w:p>
        </w:tc>
        <w:tc>
          <w:tcPr>
            <w:tcW w:w="872" w:type="dxa"/>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дек.</w:t>
            </w:r>
          </w:p>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2016</w:t>
            </w:r>
          </w:p>
        </w:tc>
        <w:tc>
          <w:tcPr>
            <w:tcW w:w="948" w:type="dxa"/>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дек.</w:t>
            </w:r>
          </w:p>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2017</w:t>
            </w:r>
          </w:p>
        </w:tc>
        <w:tc>
          <w:tcPr>
            <w:tcW w:w="850" w:type="dxa"/>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дек.</w:t>
            </w:r>
          </w:p>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2018</w:t>
            </w:r>
          </w:p>
        </w:tc>
        <w:tc>
          <w:tcPr>
            <w:tcW w:w="993" w:type="dxa"/>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дек.</w:t>
            </w:r>
          </w:p>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2019</w:t>
            </w:r>
          </w:p>
        </w:tc>
      </w:tr>
      <w:tr w:rsidR="00F272E6" w:rsidRPr="00BF0050" w:rsidTr="00F272E6">
        <w:trPr>
          <w:trHeight w:val="12"/>
          <w:tblHeader/>
        </w:trPr>
        <w:tc>
          <w:tcPr>
            <w:tcW w:w="2803" w:type="dxa"/>
            <w:vMerge/>
            <w:vAlign w:val="center"/>
          </w:tcPr>
          <w:p w:rsidR="00F272E6" w:rsidRPr="00BF0050" w:rsidRDefault="00F272E6" w:rsidP="00460BCB">
            <w:pPr>
              <w:autoSpaceDE w:val="0"/>
              <w:autoSpaceDN w:val="0"/>
              <w:adjustRightInd w:val="0"/>
              <w:spacing w:before="0" w:after="0" w:line="240" w:lineRule="auto"/>
              <w:ind w:firstLine="0"/>
              <w:rPr>
                <w:b/>
                <w:bCs/>
                <w:color w:val="000000"/>
                <w:sz w:val="22"/>
                <w:szCs w:val="22"/>
              </w:rPr>
            </w:pPr>
          </w:p>
        </w:tc>
        <w:tc>
          <w:tcPr>
            <w:tcW w:w="1157" w:type="dxa"/>
            <w:vMerge/>
            <w:tcBorders>
              <w:bottom w:val="single" w:sz="4" w:space="0" w:color="auto"/>
            </w:tcBorders>
            <w:vAlign w:val="center"/>
          </w:tcPr>
          <w:p w:rsidR="00F272E6" w:rsidRPr="00BF0050" w:rsidRDefault="00F272E6" w:rsidP="00460BCB">
            <w:pPr>
              <w:autoSpaceDE w:val="0"/>
              <w:autoSpaceDN w:val="0"/>
              <w:adjustRightInd w:val="0"/>
              <w:spacing w:before="0" w:after="0" w:line="240" w:lineRule="auto"/>
              <w:ind w:firstLine="0"/>
              <w:rPr>
                <w:b/>
                <w:bCs/>
                <w:color w:val="000000"/>
                <w:sz w:val="22"/>
                <w:szCs w:val="22"/>
              </w:rPr>
            </w:pPr>
          </w:p>
        </w:tc>
        <w:tc>
          <w:tcPr>
            <w:tcW w:w="1558" w:type="dxa"/>
            <w:gridSpan w:val="2"/>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отчет</w:t>
            </w:r>
          </w:p>
        </w:tc>
        <w:tc>
          <w:tcPr>
            <w:tcW w:w="1864" w:type="dxa"/>
            <w:gridSpan w:val="2"/>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оценка</w:t>
            </w:r>
          </w:p>
        </w:tc>
        <w:tc>
          <w:tcPr>
            <w:tcW w:w="2791" w:type="dxa"/>
            <w:gridSpan w:val="3"/>
            <w:tcBorders>
              <w:bottom w:val="single" w:sz="4" w:space="0" w:color="auto"/>
            </w:tcBorders>
            <w:vAlign w:val="center"/>
          </w:tcPr>
          <w:p w:rsidR="00F272E6" w:rsidRPr="00BF0050" w:rsidRDefault="00F272E6" w:rsidP="00460BCB">
            <w:pPr>
              <w:autoSpaceDE w:val="0"/>
              <w:autoSpaceDN w:val="0"/>
              <w:adjustRightInd w:val="0"/>
              <w:spacing w:before="0" w:after="0" w:line="240" w:lineRule="auto"/>
              <w:ind w:firstLine="0"/>
              <w:jc w:val="center"/>
              <w:rPr>
                <w:bCs/>
                <w:color w:val="000000"/>
                <w:sz w:val="22"/>
                <w:szCs w:val="22"/>
              </w:rPr>
            </w:pPr>
            <w:r w:rsidRPr="00BF0050">
              <w:rPr>
                <w:bCs/>
                <w:color w:val="000000"/>
                <w:sz w:val="22"/>
                <w:szCs w:val="22"/>
              </w:rPr>
              <w:t>прогноз</w:t>
            </w:r>
          </w:p>
        </w:tc>
      </w:tr>
      <w:tr w:rsidR="00CE043B" w:rsidRPr="00BF0050" w:rsidTr="00F272E6">
        <w:trPr>
          <w:trHeight w:val="12"/>
        </w:trPr>
        <w:tc>
          <w:tcPr>
            <w:tcW w:w="2803" w:type="dxa"/>
            <w:vMerge w:val="restart"/>
            <w:vAlign w:val="center"/>
          </w:tcPr>
          <w:p w:rsidR="00CE043B" w:rsidRPr="00BF0050" w:rsidRDefault="00CE043B" w:rsidP="000D5110">
            <w:pPr>
              <w:autoSpaceDE w:val="0"/>
              <w:autoSpaceDN w:val="0"/>
              <w:adjustRightInd w:val="0"/>
              <w:spacing w:before="20" w:after="20" w:line="240" w:lineRule="auto"/>
              <w:ind w:firstLine="0"/>
              <w:rPr>
                <w:b/>
                <w:bCs/>
                <w:color w:val="000000"/>
              </w:rPr>
            </w:pPr>
            <w:r w:rsidRPr="00BF0050">
              <w:rPr>
                <w:b/>
                <w:bCs/>
                <w:color w:val="000000"/>
              </w:rPr>
              <w:t>Инфляция (ИПЦ)</w:t>
            </w:r>
          </w:p>
        </w:tc>
        <w:tc>
          <w:tcPr>
            <w:tcW w:w="1157" w:type="dxa"/>
            <w:tcBorders>
              <w:bottom w:val="nil"/>
            </w:tcBorders>
            <w:vAlign w:val="center"/>
          </w:tcPr>
          <w:p w:rsidR="00CE043B" w:rsidRPr="00BF0050" w:rsidRDefault="00CE043B" w:rsidP="000D5110">
            <w:pPr>
              <w:autoSpaceDE w:val="0"/>
              <w:autoSpaceDN w:val="0"/>
              <w:adjustRightInd w:val="0"/>
              <w:spacing w:before="60" w:after="20" w:line="240" w:lineRule="auto"/>
              <w:ind w:firstLine="0"/>
              <w:jc w:val="center"/>
              <w:rPr>
                <w:bCs/>
                <w:color w:val="000000"/>
              </w:rPr>
            </w:pPr>
            <w:r w:rsidRPr="00BF0050">
              <w:rPr>
                <w:bCs/>
                <w:color w:val="000000"/>
              </w:rPr>
              <w:t>Б</w:t>
            </w:r>
          </w:p>
        </w:tc>
        <w:tc>
          <w:tcPr>
            <w:tcW w:w="850" w:type="dxa"/>
            <w:vMerge w:val="restart"/>
            <w:tcBorders>
              <w:right w:val="nil"/>
            </w:tcBorders>
            <w:vAlign w:val="center"/>
          </w:tcPr>
          <w:p w:rsidR="00CE043B" w:rsidRPr="00BF0050" w:rsidRDefault="00CE043B" w:rsidP="000D5110">
            <w:pPr>
              <w:autoSpaceDE w:val="0"/>
              <w:autoSpaceDN w:val="0"/>
              <w:adjustRightInd w:val="0"/>
              <w:spacing w:before="60" w:after="20" w:line="240" w:lineRule="auto"/>
              <w:ind w:firstLine="0"/>
              <w:jc w:val="center"/>
              <w:rPr>
                <w:b/>
                <w:bCs/>
                <w:color w:val="000000"/>
              </w:rPr>
            </w:pPr>
            <w:r w:rsidRPr="00BF0050">
              <w:rPr>
                <w:b/>
                <w:bCs/>
                <w:color w:val="000000"/>
              </w:rPr>
              <w:t>11,4</w:t>
            </w:r>
          </w:p>
        </w:tc>
        <w:tc>
          <w:tcPr>
            <w:tcW w:w="708" w:type="dxa"/>
            <w:vMerge w:val="restart"/>
            <w:vAlign w:val="center"/>
          </w:tcPr>
          <w:p w:rsidR="00CE043B" w:rsidRPr="00BF0050" w:rsidRDefault="00CE043B" w:rsidP="000D5110">
            <w:pPr>
              <w:autoSpaceDE w:val="0"/>
              <w:autoSpaceDN w:val="0"/>
              <w:adjustRightInd w:val="0"/>
              <w:spacing w:before="60" w:after="20" w:line="240" w:lineRule="auto"/>
              <w:ind w:firstLine="0"/>
              <w:jc w:val="center"/>
              <w:rPr>
                <w:b/>
                <w:bCs/>
                <w:color w:val="000000"/>
              </w:rPr>
            </w:pPr>
            <w:r w:rsidRPr="00BF0050">
              <w:rPr>
                <w:b/>
                <w:bCs/>
                <w:color w:val="000000"/>
              </w:rPr>
              <w:t>12,9</w:t>
            </w:r>
          </w:p>
        </w:tc>
        <w:tc>
          <w:tcPr>
            <w:tcW w:w="992" w:type="dxa"/>
            <w:vMerge w:val="restart"/>
            <w:tcBorders>
              <w:right w:val="dotted" w:sz="4" w:space="0" w:color="auto"/>
            </w:tcBorders>
            <w:vAlign w:val="center"/>
          </w:tcPr>
          <w:p w:rsidR="00CE043B" w:rsidRPr="00BF0050" w:rsidRDefault="00CE043B" w:rsidP="000D5110">
            <w:pPr>
              <w:autoSpaceDE w:val="0"/>
              <w:autoSpaceDN w:val="0"/>
              <w:adjustRightInd w:val="0"/>
              <w:spacing w:before="60" w:after="20" w:line="240" w:lineRule="auto"/>
              <w:ind w:firstLine="0"/>
              <w:jc w:val="center"/>
              <w:rPr>
                <w:b/>
                <w:bCs/>
                <w:color w:val="000000"/>
              </w:rPr>
            </w:pPr>
            <w:r w:rsidRPr="00BF0050">
              <w:rPr>
                <w:b/>
                <w:bCs/>
                <w:color w:val="000000"/>
              </w:rPr>
              <w:t>8-8,1</w:t>
            </w:r>
          </w:p>
        </w:tc>
        <w:tc>
          <w:tcPr>
            <w:tcW w:w="872" w:type="dxa"/>
            <w:vMerge w:val="restart"/>
            <w:tcBorders>
              <w:left w:val="dotted" w:sz="4" w:space="0" w:color="auto"/>
            </w:tcBorders>
            <w:vAlign w:val="center"/>
          </w:tcPr>
          <w:p w:rsidR="00CE043B" w:rsidRPr="00BF0050" w:rsidRDefault="00CE043B" w:rsidP="000D5110">
            <w:pPr>
              <w:autoSpaceDE w:val="0"/>
              <w:autoSpaceDN w:val="0"/>
              <w:adjustRightInd w:val="0"/>
              <w:spacing w:before="60" w:after="20" w:line="240" w:lineRule="auto"/>
              <w:ind w:firstLine="0"/>
              <w:jc w:val="center"/>
              <w:rPr>
                <w:b/>
                <w:bCs/>
                <w:color w:val="000000"/>
              </w:rPr>
            </w:pPr>
            <w:r w:rsidRPr="00BF0050">
              <w:rPr>
                <w:b/>
                <w:bCs/>
                <w:color w:val="000000"/>
              </w:rPr>
              <w:t>6,5</w:t>
            </w:r>
          </w:p>
        </w:tc>
        <w:tc>
          <w:tcPr>
            <w:tcW w:w="948" w:type="dxa"/>
            <w:tcBorders>
              <w:bottom w:val="nil"/>
              <w:right w:val="nil"/>
            </w:tcBorders>
            <w:vAlign w:val="center"/>
          </w:tcPr>
          <w:p w:rsidR="00CE043B" w:rsidRPr="00BF0050" w:rsidRDefault="00CE043B" w:rsidP="000D5110">
            <w:pPr>
              <w:autoSpaceDE w:val="0"/>
              <w:autoSpaceDN w:val="0"/>
              <w:adjustRightInd w:val="0"/>
              <w:spacing w:before="60" w:after="20" w:line="240" w:lineRule="auto"/>
              <w:ind w:firstLine="0"/>
              <w:jc w:val="center"/>
              <w:rPr>
                <w:b/>
                <w:bCs/>
                <w:color w:val="000000"/>
              </w:rPr>
            </w:pPr>
            <w:r w:rsidRPr="00BF0050">
              <w:rPr>
                <w:b/>
                <w:bCs/>
                <w:color w:val="000000"/>
              </w:rPr>
              <w:t>4,9</w:t>
            </w:r>
          </w:p>
        </w:tc>
        <w:tc>
          <w:tcPr>
            <w:tcW w:w="850" w:type="dxa"/>
            <w:tcBorders>
              <w:left w:val="nil"/>
              <w:bottom w:val="nil"/>
              <w:right w:val="nil"/>
            </w:tcBorders>
            <w:vAlign w:val="center"/>
          </w:tcPr>
          <w:p w:rsidR="00CE043B" w:rsidRPr="00BF0050" w:rsidRDefault="00CE043B" w:rsidP="000D5110">
            <w:pPr>
              <w:autoSpaceDE w:val="0"/>
              <w:autoSpaceDN w:val="0"/>
              <w:adjustRightInd w:val="0"/>
              <w:spacing w:before="60" w:after="20" w:line="240" w:lineRule="auto"/>
              <w:ind w:firstLine="0"/>
              <w:jc w:val="center"/>
              <w:rPr>
                <w:b/>
                <w:bCs/>
                <w:color w:val="000000"/>
              </w:rPr>
            </w:pPr>
            <w:r w:rsidRPr="00BF0050">
              <w:rPr>
                <w:b/>
                <w:bCs/>
                <w:color w:val="000000"/>
              </w:rPr>
              <w:t>4,5</w:t>
            </w:r>
          </w:p>
        </w:tc>
        <w:tc>
          <w:tcPr>
            <w:tcW w:w="993" w:type="dxa"/>
            <w:tcBorders>
              <w:left w:val="nil"/>
              <w:bottom w:val="nil"/>
            </w:tcBorders>
            <w:vAlign w:val="center"/>
          </w:tcPr>
          <w:p w:rsidR="00CE043B" w:rsidRPr="00BF0050" w:rsidRDefault="00CE043B" w:rsidP="000D5110">
            <w:pPr>
              <w:autoSpaceDE w:val="0"/>
              <w:autoSpaceDN w:val="0"/>
              <w:adjustRightInd w:val="0"/>
              <w:spacing w:before="60" w:after="20" w:line="240" w:lineRule="auto"/>
              <w:ind w:firstLine="0"/>
              <w:jc w:val="center"/>
              <w:rPr>
                <w:b/>
                <w:bCs/>
                <w:color w:val="000000"/>
              </w:rPr>
            </w:pPr>
            <w:r w:rsidRPr="00BF0050">
              <w:rPr>
                <w:b/>
                <w:bCs/>
                <w:color w:val="000000"/>
              </w:rPr>
              <w:t>4,0</w:t>
            </w:r>
          </w:p>
        </w:tc>
      </w:tr>
      <w:tr w:rsidR="00CE043B" w:rsidRPr="00BF0050" w:rsidTr="00F272E6">
        <w:trPr>
          <w:trHeight w:val="12"/>
        </w:trPr>
        <w:tc>
          <w:tcPr>
            <w:tcW w:w="2803" w:type="dxa"/>
            <w:vMerge/>
            <w:vAlign w:val="center"/>
          </w:tcPr>
          <w:p w:rsidR="00CE043B" w:rsidRPr="00BF0050" w:rsidRDefault="00CE043B" w:rsidP="000D5110">
            <w:pPr>
              <w:autoSpaceDE w:val="0"/>
              <w:autoSpaceDN w:val="0"/>
              <w:adjustRightInd w:val="0"/>
              <w:spacing w:before="20" w:after="20" w:line="240" w:lineRule="auto"/>
              <w:ind w:firstLine="0"/>
              <w:rPr>
                <w:b/>
                <w:bCs/>
                <w:color w:val="000000"/>
              </w:rPr>
            </w:pPr>
          </w:p>
        </w:tc>
        <w:tc>
          <w:tcPr>
            <w:tcW w:w="1157" w:type="dxa"/>
            <w:tcBorders>
              <w:top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Ц</w:t>
            </w:r>
          </w:p>
        </w:tc>
        <w:tc>
          <w:tcPr>
            <w:tcW w:w="850" w:type="dxa"/>
            <w:vMerge/>
            <w:tcBorders>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708" w:type="dxa"/>
            <w:vMerge/>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92" w:type="dxa"/>
            <w:vMerge/>
            <w:tcBorders>
              <w:top w:val="nil"/>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872" w:type="dxa"/>
            <w:vMerge/>
            <w:tcBorders>
              <w:top w:val="nil"/>
              <w:left w:val="dotted" w:sz="4" w:space="0" w:color="auto"/>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48" w:type="dxa"/>
            <w:tcBorders>
              <w:top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4,0</w:t>
            </w:r>
          </w:p>
        </w:tc>
        <w:tc>
          <w:tcPr>
            <w:tcW w:w="850" w:type="dxa"/>
            <w:tcBorders>
              <w:top w:val="nil"/>
              <w:left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4,0</w:t>
            </w:r>
          </w:p>
        </w:tc>
        <w:tc>
          <w:tcPr>
            <w:tcW w:w="993" w:type="dxa"/>
            <w:tcBorders>
              <w:top w:val="nil"/>
              <w:left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4,0</w:t>
            </w:r>
          </w:p>
        </w:tc>
      </w:tr>
      <w:tr w:rsidR="00CE043B" w:rsidRPr="00BF0050" w:rsidTr="00F272E6">
        <w:trPr>
          <w:trHeight w:val="12"/>
        </w:trPr>
        <w:tc>
          <w:tcPr>
            <w:tcW w:w="2803" w:type="dxa"/>
            <w:vMerge w:val="restart"/>
            <w:vAlign w:val="center"/>
          </w:tcPr>
          <w:p w:rsidR="00CE043B" w:rsidRPr="00BF0050" w:rsidRDefault="00CE043B" w:rsidP="000D5110">
            <w:pPr>
              <w:autoSpaceDE w:val="0"/>
              <w:autoSpaceDN w:val="0"/>
              <w:adjustRightInd w:val="0"/>
              <w:spacing w:before="20" w:after="20" w:line="240" w:lineRule="auto"/>
              <w:ind w:firstLine="0"/>
              <w:rPr>
                <w:b/>
                <w:bCs/>
                <w:color w:val="000000"/>
              </w:rPr>
            </w:pPr>
            <w:r w:rsidRPr="00BF0050">
              <w:rPr>
                <w:b/>
                <w:bCs/>
                <w:color w:val="000000"/>
              </w:rPr>
              <w:t>Продовольственные товары</w:t>
            </w:r>
          </w:p>
        </w:tc>
        <w:tc>
          <w:tcPr>
            <w:tcW w:w="1157" w:type="dxa"/>
            <w:tcBorders>
              <w:top w:val="single" w:sz="4" w:space="0" w:color="auto"/>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Б</w:t>
            </w:r>
          </w:p>
        </w:tc>
        <w:tc>
          <w:tcPr>
            <w:tcW w:w="850" w:type="dxa"/>
            <w:vMerge w:val="restart"/>
            <w:tcBorders>
              <w:top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15,4</w:t>
            </w:r>
          </w:p>
        </w:tc>
        <w:tc>
          <w:tcPr>
            <w:tcW w:w="708"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14</w:t>
            </w:r>
          </w:p>
        </w:tc>
        <w:tc>
          <w:tcPr>
            <w:tcW w:w="992" w:type="dxa"/>
            <w:vMerge w:val="restart"/>
            <w:tcBorders>
              <w:top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7-7,1</w:t>
            </w:r>
          </w:p>
        </w:tc>
        <w:tc>
          <w:tcPr>
            <w:tcW w:w="872" w:type="dxa"/>
            <w:vMerge w:val="restart"/>
            <w:tcBorders>
              <w:top w:val="single" w:sz="4" w:space="0" w:color="auto"/>
              <w:lef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6,2</w:t>
            </w:r>
          </w:p>
        </w:tc>
        <w:tc>
          <w:tcPr>
            <w:tcW w:w="948" w:type="dxa"/>
            <w:tcBorders>
              <w:top w:val="single" w:sz="4" w:space="0" w:color="auto"/>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5,4</w:t>
            </w:r>
          </w:p>
        </w:tc>
        <w:tc>
          <w:tcPr>
            <w:tcW w:w="850" w:type="dxa"/>
            <w:tcBorders>
              <w:top w:val="single" w:sz="4" w:space="0" w:color="auto"/>
              <w:left w:val="nil"/>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4,7</w:t>
            </w:r>
          </w:p>
        </w:tc>
        <w:tc>
          <w:tcPr>
            <w:tcW w:w="993" w:type="dxa"/>
            <w:tcBorders>
              <w:top w:val="single" w:sz="4" w:space="0" w:color="auto"/>
              <w:left w:val="nil"/>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4,0</w:t>
            </w:r>
          </w:p>
        </w:tc>
      </w:tr>
      <w:tr w:rsidR="00CE043B" w:rsidRPr="00BF0050" w:rsidTr="00F272E6">
        <w:trPr>
          <w:trHeight w:val="12"/>
        </w:trPr>
        <w:tc>
          <w:tcPr>
            <w:tcW w:w="2803" w:type="dxa"/>
            <w:vMerge/>
            <w:vAlign w:val="center"/>
          </w:tcPr>
          <w:p w:rsidR="00CE043B" w:rsidRPr="00BF0050" w:rsidRDefault="00CE043B" w:rsidP="000D5110">
            <w:pPr>
              <w:autoSpaceDE w:val="0"/>
              <w:autoSpaceDN w:val="0"/>
              <w:adjustRightInd w:val="0"/>
              <w:spacing w:before="20" w:after="20" w:line="240" w:lineRule="auto"/>
              <w:ind w:firstLine="0"/>
              <w:rPr>
                <w:b/>
                <w:bCs/>
                <w:color w:val="000000"/>
              </w:rPr>
            </w:pPr>
          </w:p>
        </w:tc>
        <w:tc>
          <w:tcPr>
            <w:tcW w:w="1157" w:type="dxa"/>
            <w:tcBorders>
              <w:top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Ц</w:t>
            </w:r>
          </w:p>
        </w:tc>
        <w:tc>
          <w:tcPr>
            <w:tcW w:w="850" w:type="dxa"/>
            <w:vMerge/>
            <w:tcBorders>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708" w:type="dxa"/>
            <w:vMerge/>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92" w:type="dxa"/>
            <w:vMerge/>
            <w:tcBorders>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872" w:type="dxa"/>
            <w:vMerge/>
            <w:tcBorders>
              <w:left w:val="dotted" w:sz="4" w:space="0" w:color="auto"/>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48" w:type="dxa"/>
            <w:tcBorders>
              <w:top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3,8</w:t>
            </w:r>
          </w:p>
        </w:tc>
        <w:tc>
          <w:tcPr>
            <w:tcW w:w="850" w:type="dxa"/>
            <w:tcBorders>
              <w:top w:val="nil"/>
              <w:left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3,6</w:t>
            </w:r>
          </w:p>
        </w:tc>
        <w:tc>
          <w:tcPr>
            <w:tcW w:w="993" w:type="dxa"/>
            <w:tcBorders>
              <w:top w:val="nil"/>
              <w:left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3,6</w:t>
            </w:r>
          </w:p>
        </w:tc>
      </w:tr>
      <w:tr w:rsidR="00CE043B" w:rsidRPr="00BF0050" w:rsidTr="00F272E6">
        <w:trPr>
          <w:cantSplit/>
          <w:trHeight w:val="113"/>
        </w:trPr>
        <w:tc>
          <w:tcPr>
            <w:tcW w:w="2803" w:type="dxa"/>
            <w:vMerge w:val="restart"/>
            <w:tcBorders>
              <w:top w:val="dotted" w:sz="4" w:space="0" w:color="auto"/>
            </w:tcBorders>
            <w:vAlign w:val="center"/>
          </w:tcPr>
          <w:p w:rsidR="00CE043B" w:rsidRPr="00BF0050" w:rsidRDefault="00CE043B" w:rsidP="000D5110">
            <w:pPr>
              <w:autoSpaceDE w:val="0"/>
              <w:autoSpaceDN w:val="0"/>
              <w:adjustRightInd w:val="0"/>
              <w:spacing w:before="20" w:after="20" w:line="240" w:lineRule="auto"/>
              <w:rPr>
                <w:color w:val="000000"/>
                <w:sz w:val="20"/>
                <w:szCs w:val="20"/>
              </w:rPr>
            </w:pPr>
            <w:r w:rsidRPr="00BF0050">
              <w:rPr>
                <w:color w:val="000000"/>
                <w:sz w:val="20"/>
                <w:szCs w:val="20"/>
              </w:rPr>
              <w:t>из них:</w:t>
            </w:r>
          </w:p>
          <w:p w:rsidR="00CE043B" w:rsidRPr="00BF0050" w:rsidRDefault="00CE043B" w:rsidP="000D5110">
            <w:pPr>
              <w:autoSpaceDE w:val="0"/>
              <w:autoSpaceDN w:val="0"/>
              <w:adjustRightInd w:val="0"/>
              <w:spacing w:before="20" w:after="20" w:line="240" w:lineRule="auto"/>
              <w:ind w:left="113" w:firstLine="0"/>
              <w:rPr>
                <w:bCs/>
                <w:color w:val="000000"/>
              </w:rPr>
            </w:pPr>
            <w:r w:rsidRPr="00BF0050">
              <w:rPr>
                <w:color w:val="000000"/>
                <w:sz w:val="22"/>
                <w:szCs w:val="22"/>
              </w:rPr>
              <w:t>без учета плодоовощной продукции</w:t>
            </w:r>
          </w:p>
        </w:tc>
        <w:tc>
          <w:tcPr>
            <w:tcW w:w="1157" w:type="dxa"/>
            <w:tcBorders>
              <w:top w:val="single" w:sz="4" w:space="0" w:color="auto"/>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Б</w:t>
            </w:r>
          </w:p>
        </w:tc>
        <w:tc>
          <w:tcPr>
            <w:tcW w:w="850" w:type="dxa"/>
            <w:vMerge w:val="restart"/>
            <w:tcBorders>
              <w:top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14,7</w:t>
            </w:r>
          </w:p>
        </w:tc>
        <w:tc>
          <w:tcPr>
            <w:tcW w:w="708"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13,6</w:t>
            </w:r>
          </w:p>
        </w:tc>
        <w:tc>
          <w:tcPr>
            <w:tcW w:w="992" w:type="dxa"/>
            <w:vMerge w:val="restart"/>
            <w:tcBorders>
              <w:top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7,2</w:t>
            </w:r>
          </w:p>
        </w:tc>
        <w:tc>
          <w:tcPr>
            <w:tcW w:w="872" w:type="dxa"/>
            <w:vMerge w:val="restart"/>
            <w:tcBorders>
              <w:top w:val="single" w:sz="4" w:space="0" w:color="auto"/>
              <w:lef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6,5</w:t>
            </w:r>
          </w:p>
        </w:tc>
        <w:tc>
          <w:tcPr>
            <w:tcW w:w="948" w:type="dxa"/>
            <w:tcBorders>
              <w:top w:val="single" w:sz="4" w:space="0" w:color="auto"/>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5,3</w:t>
            </w:r>
          </w:p>
        </w:tc>
        <w:tc>
          <w:tcPr>
            <w:tcW w:w="850" w:type="dxa"/>
            <w:tcBorders>
              <w:top w:val="single" w:sz="4" w:space="0" w:color="auto"/>
              <w:left w:val="nil"/>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4,7</w:t>
            </w:r>
          </w:p>
        </w:tc>
        <w:tc>
          <w:tcPr>
            <w:tcW w:w="993" w:type="dxa"/>
            <w:tcBorders>
              <w:top w:val="single" w:sz="4" w:space="0" w:color="auto"/>
              <w:left w:val="nil"/>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4,1</w:t>
            </w:r>
          </w:p>
        </w:tc>
      </w:tr>
      <w:tr w:rsidR="00CE043B" w:rsidRPr="00BF0050" w:rsidTr="00F272E6">
        <w:trPr>
          <w:trHeight w:val="113"/>
        </w:trPr>
        <w:tc>
          <w:tcPr>
            <w:tcW w:w="2803" w:type="dxa"/>
            <w:vMerge/>
            <w:vAlign w:val="center"/>
          </w:tcPr>
          <w:p w:rsidR="00CE043B" w:rsidRPr="00BF0050" w:rsidRDefault="00CE043B" w:rsidP="000D5110">
            <w:pPr>
              <w:autoSpaceDE w:val="0"/>
              <w:autoSpaceDN w:val="0"/>
              <w:adjustRightInd w:val="0"/>
              <w:spacing w:before="20" w:after="20" w:line="240" w:lineRule="auto"/>
              <w:ind w:left="170" w:firstLine="0"/>
              <w:rPr>
                <w:color w:val="000000"/>
              </w:rPr>
            </w:pPr>
          </w:p>
        </w:tc>
        <w:tc>
          <w:tcPr>
            <w:tcW w:w="1157" w:type="dxa"/>
            <w:tcBorders>
              <w:top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Ц</w:t>
            </w:r>
          </w:p>
        </w:tc>
        <w:tc>
          <w:tcPr>
            <w:tcW w:w="850" w:type="dxa"/>
            <w:vMerge/>
            <w:tcBorders>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708" w:type="dxa"/>
            <w:vMerge/>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992" w:type="dxa"/>
            <w:vMerge/>
            <w:tcBorders>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872" w:type="dxa"/>
            <w:vMerge/>
            <w:tcBorders>
              <w:left w:val="dotted" w:sz="4" w:space="0" w:color="auto"/>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948" w:type="dxa"/>
            <w:tcBorders>
              <w:top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4,1</w:t>
            </w:r>
          </w:p>
        </w:tc>
        <w:tc>
          <w:tcPr>
            <w:tcW w:w="850" w:type="dxa"/>
            <w:tcBorders>
              <w:top w:val="nil"/>
              <w:left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3,8</w:t>
            </w:r>
          </w:p>
        </w:tc>
        <w:tc>
          <w:tcPr>
            <w:tcW w:w="993" w:type="dxa"/>
            <w:tcBorders>
              <w:top w:val="nil"/>
              <w:left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3,9</w:t>
            </w:r>
          </w:p>
        </w:tc>
      </w:tr>
      <w:tr w:rsidR="00CE043B" w:rsidRPr="00BF0050" w:rsidTr="00F272E6">
        <w:trPr>
          <w:trHeight w:val="12"/>
        </w:trPr>
        <w:tc>
          <w:tcPr>
            <w:tcW w:w="2803" w:type="dxa"/>
            <w:vMerge w:val="restart"/>
            <w:vAlign w:val="center"/>
          </w:tcPr>
          <w:p w:rsidR="00CE043B" w:rsidRPr="00BF0050" w:rsidRDefault="00CE043B" w:rsidP="000D5110">
            <w:pPr>
              <w:autoSpaceDE w:val="0"/>
              <w:autoSpaceDN w:val="0"/>
              <w:adjustRightInd w:val="0"/>
              <w:spacing w:before="20" w:after="20" w:line="240" w:lineRule="auto"/>
              <w:ind w:right="-85" w:firstLine="0"/>
              <w:rPr>
                <w:b/>
                <w:bCs/>
                <w:color w:val="000000"/>
              </w:rPr>
            </w:pPr>
            <w:r w:rsidRPr="00BF0050">
              <w:rPr>
                <w:b/>
                <w:bCs/>
                <w:color w:val="000000"/>
              </w:rPr>
              <w:t>Непродовольственные товары</w:t>
            </w:r>
          </w:p>
        </w:tc>
        <w:tc>
          <w:tcPr>
            <w:tcW w:w="1157" w:type="dxa"/>
            <w:tcBorders>
              <w:top w:val="single" w:sz="4" w:space="0" w:color="auto"/>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Б</w:t>
            </w:r>
          </w:p>
        </w:tc>
        <w:tc>
          <w:tcPr>
            <w:tcW w:w="850" w:type="dxa"/>
            <w:vMerge w:val="restart"/>
            <w:tcBorders>
              <w:top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8,1</w:t>
            </w:r>
          </w:p>
        </w:tc>
        <w:tc>
          <w:tcPr>
            <w:tcW w:w="708"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13,7</w:t>
            </w:r>
          </w:p>
        </w:tc>
        <w:tc>
          <w:tcPr>
            <w:tcW w:w="992" w:type="dxa"/>
            <w:vMerge w:val="restart"/>
            <w:tcBorders>
              <w:top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8,8</w:t>
            </w:r>
          </w:p>
        </w:tc>
        <w:tc>
          <w:tcPr>
            <w:tcW w:w="872" w:type="dxa"/>
            <w:vMerge w:val="restart"/>
            <w:tcBorders>
              <w:top w:val="single" w:sz="4" w:space="0" w:color="auto"/>
              <w:lef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6,6</w:t>
            </w:r>
          </w:p>
        </w:tc>
        <w:tc>
          <w:tcPr>
            <w:tcW w:w="948" w:type="dxa"/>
            <w:tcBorders>
              <w:top w:val="single" w:sz="4" w:space="0" w:color="auto"/>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4,2</w:t>
            </w:r>
          </w:p>
        </w:tc>
        <w:tc>
          <w:tcPr>
            <w:tcW w:w="850" w:type="dxa"/>
            <w:tcBorders>
              <w:top w:val="single" w:sz="4" w:space="0" w:color="auto"/>
              <w:left w:val="nil"/>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4,0</w:t>
            </w:r>
          </w:p>
        </w:tc>
        <w:tc>
          <w:tcPr>
            <w:tcW w:w="993" w:type="dxa"/>
            <w:tcBorders>
              <w:top w:val="single" w:sz="4" w:space="0" w:color="auto"/>
              <w:left w:val="nil"/>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3,6</w:t>
            </w:r>
          </w:p>
        </w:tc>
      </w:tr>
      <w:tr w:rsidR="00CE043B" w:rsidRPr="00BF0050" w:rsidTr="00F272E6">
        <w:trPr>
          <w:trHeight w:val="12"/>
        </w:trPr>
        <w:tc>
          <w:tcPr>
            <w:tcW w:w="2803" w:type="dxa"/>
            <w:vMerge/>
            <w:vAlign w:val="center"/>
          </w:tcPr>
          <w:p w:rsidR="00CE043B" w:rsidRPr="00BF0050" w:rsidRDefault="00CE043B" w:rsidP="000D5110">
            <w:pPr>
              <w:autoSpaceDE w:val="0"/>
              <w:autoSpaceDN w:val="0"/>
              <w:adjustRightInd w:val="0"/>
              <w:spacing w:before="20" w:after="20" w:line="240" w:lineRule="auto"/>
              <w:ind w:right="-85" w:firstLine="0"/>
              <w:rPr>
                <w:b/>
                <w:bCs/>
                <w:color w:val="000000"/>
              </w:rPr>
            </w:pPr>
          </w:p>
        </w:tc>
        <w:tc>
          <w:tcPr>
            <w:tcW w:w="1157" w:type="dxa"/>
            <w:tcBorders>
              <w:top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Ц</w:t>
            </w:r>
          </w:p>
        </w:tc>
        <w:tc>
          <w:tcPr>
            <w:tcW w:w="850" w:type="dxa"/>
            <w:vMerge/>
            <w:tcBorders>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708" w:type="dxa"/>
            <w:vMerge/>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92" w:type="dxa"/>
            <w:vMerge/>
            <w:tcBorders>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872" w:type="dxa"/>
            <w:vMerge/>
            <w:tcBorders>
              <w:left w:val="dotted" w:sz="4" w:space="0" w:color="auto"/>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48" w:type="dxa"/>
            <w:tcBorders>
              <w:top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4,1</w:t>
            </w:r>
          </w:p>
        </w:tc>
        <w:tc>
          <w:tcPr>
            <w:tcW w:w="850" w:type="dxa"/>
            <w:tcBorders>
              <w:top w:val="nil"/>
              <w:left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3,5</w:t>
            </w:r>
          </w:p>
        </w:tc>
        <w:tc>
          <w:tcPr>
            <w:tcW w:w="993" w:type="dxa"/>
            <w:tcBorders>
              <w:top w:val="nil"/>
              <w:left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4,1</w:t>
            </w:r>
          </w:p>
        </w:tc>
      </w:tr>
      <w:tr w:rsidR="00CE043B" w:rsidRPr="00BF0050" w:rsidTr="00F272E6">
        <w:trPr>
          <w:trHeight w:val="12"/>
        </w:trPr>
        <w:tc>
          <w:tcPr>
            <w:tcW w:w="2803"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left="113" w:firstLine="0"/>
              <w:rPr>
                <w:bCs/>
                <w:color w:val="000000"/>
                <w:sz w:val="22"/>
                <w:szCs w:val="22"/>
              </w:rPr>
            </w:pPr>
            <w:r w:rsidRPr="00BF0050">
              <w:rPr>
                <w:bCs/>
                <w:color w:val="000000"/>
                <w:sz w:val="22"/>
                <w:szCs w:val="22"/>
              </w:rPr>
              <w:t xml:space="preserve">   </w:t>
            </w:r>
            <w:r w:rsidRPr="00BF0050">
              <w:rPr>
                <w:color w:val="000000"/>
                <w:sz w:val="22"/>
                <w:szCs w:val="22"/>
              </w:rPr>
              <w:t>с исключением бензина</w:t>
            </w:r>
          </w:p>
        </w:tc>
        <w:tc>
          <w:tcPr>
            <w:tcW w:w="1157" w:type="dxa"/>
            <w:tcBorders>
              <w:top w:val="single" w:sz="4" w:space="0" w:color="auto"/>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Б</w:t>
            </w:r>
          </w:p>
        </w:tc>
        <w:tc>
          <w:tcPr>
            <w:tcW w:w="850"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8,0</w:t>
            </w:r>
          </w:p>
        </w:tc>
        <w:tc>
          <w:tcPr>
            <w:tcW w:w="708"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14,5</w:t>
            </w:r>
          </w:p>
        </w:tc>
        <w:tc>
          <w:tcPr>
            <w:tcW w:w="992" w:type="dxa"/>
            <w:vMerge w:val="restart"/>
            <w:tcBorders>
              <w:top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9</w:t>
            </w:r>
          </w:p>
        </w:tc>
        <w:tc>
          <w:tcPr>
            <w:tcW w:w="872" w:type="dxa"/>
            <w:vMerge w:val="restart"/>
            <w:tcBorders>
              <w:top w:val="single" w:sz="4" w:space="0" w:color="auto"/>
              <w:left w:val="dotted" w:sz="4" w:space="0" w:color="auto"/>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6,6</w:t>
            </w:r>
          </w:p>
        </w:tc>
        <w:tc>
          <w:tcPr>
            <w:tcW w:w="948" w:type="dxa"/>
            <w:tcBorders>
              <w:top w:val="single" w:sz="4" w:space="0" w:color="auto"/>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4,0</w:t>
            </w:r>
          </w:p>
        </w:tc>
        <w:tc>
          <w:tcPr>
            <w:tcW w:w="850" w:type="dxa"/>
            <w:tcBorders>
              <w:top w:val="single" w:sz="4" w:space="0" w:color="auto"/>
              <w:left w:val="nil"/>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3,9</w:t>
            </w:r>
          </w:p>
        </w:tc>
        <w:tc>
          <w:tcPr>
            <w:tcW w:w="993" w:type="dxa"/>
            <w:tcBorders>
              <w:top w:val="single" w:sz="4" w:space="0" w:color="auto"/>
              <w:left w:val="nil"/>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3,5</w:t>
            </w:r>
          </w:p>
        </w:tc>
      </w:tr>
      <w:tr w:rsidR="00CE043B" w:rsidRPr="00BF0050" w:rsidTr="00F272E6">
        <w:trPr>
          <w:trHeight w:val="12"/>
        </w:trPr>
        <w:tc>
          <w:tcPr>
            <w:tcW w:w="2803" w:type="dxa"/>
            <w:vMerge/>
            <w:vAlign w:val="center"/>
          </w:tcPr>
          <w:p w:rsidR="00CE043B" w:rsidRPr="00BF0050" w:rsidRDefault="00CE043B" w:rsidP="000D5110">
            <w:pPr>
              <w:autoSpaceDE w:val="0"/>
              <w:autoSpaceDN w:val="0"/>
              <w:adjustRightInd w:val="0"/>
              <w:spacing w:before="20" w:after="20" w:line="240" w:lineRule="auto"/>
              <w:ind w:firstLine="0"/>
              <w:rPr>
                <w:b/>
                <w:bCs/>
                <w:color w:val="000000"/>
              </w:rPr>
            </w:pPr>
          </w:p>
        </w:tc>
        <w:tc>
          <w:tcPr>
            <w:tcW w:w="1157" w:type="dxa"/>
            <w:tcBorders>
              <w:top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Ц</w:t>
            </w:r>
          </w:p>
        </w:tc>
        <w:tc>
          <w:tcPr>
            <w:tcW w:w="850" w:type="dxa"/>
            <w:vMerge/>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708" w:type="dxa"/>
            <w:vMerge/>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992" w:type="dxa"/>
            <w:vMerge/>
            <w:tcBorders>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872" w:type="dxa"/>
            <w:vMerge/>
            <w:tcBorders>
              <w:top w:val="nil"/>
              <w:left w:val="dotted" w:sz="4" w:space="0" w:color="auto"/>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p>
        </w:tc>
        <w:tc>
          <w:tcPr>
            <w:tcW w:w="948" w:type="dxa"/>
            <w:tcBorders>
              <w:top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3,7</w:t>
            </w:r>
          </w:p>
        </w:tc>
        <w:tc>
          <w:tcPr>
            <w:tcW w:w="850" w:type="dxa"/>
            <w:tcBorders>
              <w:top w:val="nil"/>
              <w:left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3,1</w:t>
            </w:r>
          </w:p>
        </w:tc>
        <w:tc>
          <w:tcPr>
            <w:tcW w:w="993" w:type="dxa"/>
            <w:tcBorders>
              <w:top w:val="nil"/>
              <w:left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3,9</w:t>
            </w:r>
          </w:p>
        </w:tc>
      </w:tr>
      <w:tr w:rsidR="00CE043B" w:rsidRPr="00BF0050" w:rsidTr="00F272E6">
        <w:trPr>
          <w:trHeight w:val="12"/>
        </w:trPr>
        <w:tc>
          <w:tcPr>
            <w:tcW w:w="2803" w:type="dxa"/>
            <w:vMerge w:val="restart"/>
            <w:tcBorders>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rPr>
                <w:b/>
                <w:bCs/>
                <w:color w:val="000000"/>
              </w:rPr>
            </w:pPr>
            <w:r w:rsidRPr="00BF0050">
              <w:rPr>
                <w:b/>
                <w:bCs/>
                <w:color w:val="000000"/>
              </w:rPr>
              <w:t>Платные услуги населению</w:t>
            </w:r>
          </w:p>
        </w:tc>
        <w:tc>
          <w:tcPr>
            <w:tcW w:w="1157" w:type="dxa"/>
            <w:tcBorders>
              <w:top w:val="single" w:sz="4" w:space="0" w:color="auto"/>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Б</w:t>
            </w:r>
          </w:p>
        </w:tc>
        <w:tc>
          <w:tcPr>
            <w:tcW w:w="850"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10,5</w:t>
            </w:r>
          </w:p>
        </w:tc>
        <w:tc>
          <w:tcPr>
            <w:tcW w:w="708" w:type="dxa"/>
            <w:vMerge w:val="restart"/>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10,2</w:t>
            </w:r>
          </w:p>
        </w:tc>
        <w:tc>
          <w:tcPr>
            <w:tcW w:w="992" w:type="dxa"/>
            <w:vMerge w:val="restart"/>
            <w:tcBorders>
              <w:top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8,7</w:t>
            </w:r>
          </w:p>
        </w:tc>
        <w:tc>
          <w:tcPr>
            <w:tcW w:w="872" w:type="dxa"/>
            <w:vMerge w:val="restart"/>
            <w:tcBorders>
              <w:top w:val="single" w:sz="4" w:space="0" w:color="auto"/>
              <w:left w:val="dotted" w:sz="4" w:space="0" w:color="auto"/>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6,7</w:t>
            </w:r>
          </w:p>
        </w:tc>
        <w:tc>
          <w:tcPr>
            <w:tcW w:w="948" w:type="dxa"/>
            <w:tcBorders>
              <w:top w:val="single" w:sz="4" w:space="0" w:color="auto"/>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5,3</w:t>
            </w:r>
          </w:p>
        </w:tc>
        <w:tc>
          <w:tcPr>
            <w:tcW w:w="850" w:type="dxa"/>
            <w:tcBorders>
              <w:top w:val="single" w:sz="4" w:space="0" w:color="auto"/>
              <w:left w:val="nil"/>
              <w:bottom w:val="nil"/>
              <w:right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5,1</w:t>
            </w:r>
          </w:p>
        </w:tc>
        <w:tc>
          <w:tcPr>
            <w:tcW w:w="993" w:type="dxa"/>
            <w:tcBorders>
              <w:top w:val="single" w:sz="4" w:space="0" w:color="auto"/>
              <w:left w:val="nil"/>
              <w:bottom w:val="nil"/>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r w:rsidRPr="00BF0050">
              <w:rPr>
                <w:b/>
                <w:bCs/>
                <w:color w:val="000000"/>
              </w:rPr>
              <w:t>4,5</w:t>
            </w:r>
          </w:p>
        </w:tc>
      </w:tr>
      <w:tr w:rsidR="00CE043B" w:rsidRPr="00BF0050" w:rsidTr="00F272E6">
        <w:trPr>
          <w:trHeight w:val="12"/>
        </w:trPr>
        <w:tc>
          <w:tcPr>
            <w:tcW w:w="2803" w:type="dxa"/>
            <w:vMerge/>
            <w:tcBorders>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rPr>
                <w:b/>
                <w:bCs/>
                <w:color w:val="000000"/>
              </w:rPr>
            </w:pPr>
          </w:p>
        </w:tc>
        <w:tc>
          <w:tcPr>
            <w:tcW w:w="1157" w:type="dxa"/>
            <w:tcBorders>
              <w:top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Ц</w:t>
            </w:r>
          </w:p>
        </w:tc>
        <w:tc>
          <w:tcPr>
            <w:tcW w:w="850" w:type="dxa"/>
            <w:vMerge/>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708" w:type="dxa"/>
            <w:vMerge/>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92" w:type="dxa"/>
            <w:vMerge/>
            <w:tcBorders>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872" w:type="dxa"/>
            <w:vMerge/>
            <w:tcBorders>
              <w:top w:val="nil"/>
              <w:left w:val="dotted" w:sz="4" w:space="0" w:color="auto"/>
              <w:bottom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bCs/>
                <w:color w:val="000000"/>
              </w:rPr>
            </w:pPr>
          </w:p>
        </w:tc>
        <w:tc>
          <w:tcPr>
            <w:tcW w:w="948" w:type="dxa"/>
            <w:tcBorders>
              <w:top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4,4</w:t>
            </w:r>
          </w:p>
        </w:tc>
        <w:tc>
          <w:tcPr>
            <w:tcW w:w="850" w:type="dxa"/>
            <w:tcBorders>
              <w:top w:val="nil"/>
              <w:left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5,5</w:t>
            </w:r>
          </w:p>
        </w:tc>
        <w:tc>
          <w:tcPr>
            <w:tcW w:w="993" w:type="dxa"/>
            <w:tcBorders>
              <w:top w:val="nil"/>
              <w:left w:val="nil"/>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4,5</w:t>
            </w:r>
          </w:p>
        </w:tc>
      </w:tr>
      <w:tr w:rsidR="00CE043B" w:rsidRPr="00BF0050" w:rsidTr="00F2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2803"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left="113" w:firstLine="0"/>
              <w:rPr>
                <w:color w:val="000000"/>
              </w:rPr>
            </w:pPr>
            <w:r w:rsidRPr="00BF0050">
              <w:rPr>
                <w:color w:val="000000"/>
              </w:rPr>
              <w:t>услуги организаций ЖКХ</w:t>
            </w:r>
          </w:p>
        </w:tc>
        <w:tc>
          <w:tcPr>
            <w:tcW w:w="1157" w:type="dxa"/>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Б</w:t>
            </w:r>
          </w:p>
        </w:tc>
        <w:tc>
          <w:tcPr>
            <w:tcW w:w="850"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9,9</w:t>
            </w:r>
          </w:p>
        </w:tc>
        <w:tc>
          <w:tcPr>
            <w:tcW w:w="708"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10,5</w:t>
            </w:r>
          </w:p>
        </w:tc>
        <w:tc>
          <w:tcPr>
            <w:tcW w:w="992" w:type="dxa"/>
            <w:vMerge w:val="restart"/>
            <w:tcBorders>
              <w:top w:val="single" w:sz="4" w:space="0" w:color="auto"/>
              <w:left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9,4</w:t>
            </w:r>
          </w:p>
        </w:tc>
        <w:tc>
          <w:tcPr>
            <w:tcW w:w="872" w:type="dxa"/>
            <w:vMerge w:val="restart"/>
            <w:tcBorders>
              <w:top w:val="single" w:sz="4" w:space="0" w:color="auto"/>
              <w:left w:val="dotted"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5,5</w:t>
            </w:r>
          </w:p>
        </w:tc>
        <w:tc>
          <w:tcPr>
            <w:tcW w:w="948" w:type="dxa"/>
            <w:tcBorders>
              <w:top w:val="single" w:sz="4" w:space="0" w:color="auto"/>
              <w:lef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5,1</w:t>
            </w:r>
          </w:p>
        </w:tc>
        <w:tc>
          <w:tcPr>
            <w:tcW w:w="850" w:type="dxa"/>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4,9</w:t>
            </w:r>
          </w:p>
        </w:tc>
        <w:tc>
          <w:tcPr>
            <w:tcW w:w="993" w:type="dxa"/>
            <w:tcBorders>
              <w:top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4,4</w:t>
            </w:r>
          </w:p>
        </w:tc>
      </w:tr>
      <w:tr w:rsidR="00CE043B" w:rsidRPr="00BF0050" w:rsidTr="00F2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2803" w:type="dxa"/>
            <w:vMerge/>
            <w:tcBorders>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left="113" w:firstLine="0"/>
              <w:rPr>
                <w:color w:val="000000"/>
              </w:rPr>
            </w:pPr>
          </w:p>
        </w:tc>
        <w:tc>
          <w:tcPr>
            <w:tcW w:w="1157" w:type="dxa"/>
            <w:tcBorders>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Cs/>
                <w:color w:val="000000"/>
              </w:rPr>
            </w:pPr>
            <w:r w:rsidRPr="00BF0050">
              <w:rPr>
                <w:bCs/>
                <w:color w:val="000000"/>
              </w:rPr>
              <w:t>Ц</w:t>
            </w:r>
          </w:p>
        </w:tc>
        <w:tc>
          <w:tcPr>
            <w:tcW w:w="850" w:type="dxa"/>
            <w:vMerge/>
            <w:tcBorders>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708" w:type="dxa"/>
            <w:vMerge/>
            <w:tcBorders>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992" w:type="dxa"/>
            <w:vMerge/>
            <w:tcBorders>
              <w:left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872" w:type="dxa"/>
            <w:vMerge/>
            <w:tcBorders>
              <w:left w:val="dotted"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948" w:type="dxa"/>
            <w:tcBorders>
              <w:left w:val="single" w:sz="4" w:space="0" w:color="auto"/>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5,1</w:t>
            </w:r>
          </w:p>
        </w:tc>
        <w:tc>
          <w:tcPr>
            <w:tcW w:w="850" w:type="dxa"/>
            <w:tcBorders>
              <w:bottom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4,9</w:t>
            </w:r>
          </w:p>
        </w:tc>
        <w:tc>
          <w:tcPr>
            <w:tcW w:w="993" w:type="dxa"/>
            <w:tcBorders>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4,5</w:t>
            </w:r>
          </w:p>
        </w:tc>
      </w:tr>
      <w:tr w:rsidR="00CE043B" w:rsidRPr="00BF0050" w:rsidTr="00F2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2803"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142"/>
              <w:rPr>
                <w:color w:val="000000"/>
              </w:rPr>
            </w:pPr>
            <w:r w:rsidRPr="00BF0050">
              <w:rPr>
                <w:color w:val="000000"/>
              </w:rPr>
              <w:t>прочие услуги</w:t>
            </w:r>
          </w:p>
        </w:tc>
        <w:tc>
          <w:tcPr>
            <w:tcW w:w="1157" w:type="dxa"/>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bCs/>
                <w:color w:val="000000"/>
              </w:rPr>
              <w:t>Б</w:t>
            </w:r>
          </w:p>
        </w:tc>
        <w:tc>
          <w:tcPr>
            <w:tcW w:w="850"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10,7</w:t>
            </w:r>
          </w:p>
        </w:tc>
        <w:tc>
          <w:tcPr>
            <w:tcW w:w="708"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10,1</w:t>
            </w:r>
          </w:p>
        </w:tc>
        <w:tc>
          <w:tcPr>
            <w:tcW w:w="992" w:type="dxa"/>
            <w:vMerge w:val="restart"/>
            <w:tcBorders>
              <w:top w:val="single" w:sz="4" w:space="0" w:color="auto"/>
              <w:left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8,4</w:t>
            </w:r>
          </w:p>
        </w:tc>
        <w:tc>
          <w:tcPr>
            <w:tcW w:w="872" w:type="dxa"/>
            <w:vMerge w:val="restart"/>
            <w:tcBorders>
              <w:top w:val="single" w:sz="4" w:space="0" w:color="auto"/>
              <w:left w:val="dotted"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7,3</w:t>
            </w:r>
          </w:p>
        </w:tc>
        <w:tc>
          <w:tcPr>
            <w:tcW w:w="948" w:type="dxa"/>
            <w:tcBorders>
              <w:top w:val="single" w:sz="4" w:space="0" w:color="auto"/>
              <w:lef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5,3</w:t>
            </w:r>
          </w:p>
        </w:tc>
        <w:tc>
          <w:tcPr>
            <w:tcW w:w="850" w:type="dxa"/>
            <w:tcBorders>
              <w:top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5,2</w:t>
            </w:r>
          </w:p>
        </w:tc>
        <w:tc>
          <w:tcPr>
            <w:tcW w:w="993" w:type="dxa"/>
            <w:tcBorders>
              <w:top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4,6</w:t>
            </w:r>
          </w:p>
        </w:tc>
      </w:tr>
      <w:tr w:rsidR="00CE043B" w:rsidRPr="00BF0050" w:rsidTr="00F272E6">
        <w:trPr>
          <w:trHeight w:val="227"/>
        </w:trPr>
        <w:tc>
          <w:tcPr>
            <w:tcW w:w="2803" w:type="dxa"/>
            <w:vMerge/>
            <w:tcBorders>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rPr>
                <w:color w:val="000000"/>
              </w:rPr>
            </w:pPr>
          </w:p>
        </w:tc>
        <w:tc>
          <w:tcPr>
            <w:tcW w:w="1157" w:type="dxa"/>
            <w:tcBorders>
              <w:top w:val="nil"/>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bCs/>
                <w:color w:val="000000"/>
              </w:rPr>
              <w:t>Ц</w:t>
            </w:r>
          </w:p>
        </w:tc>
        <w:tc>
          <w:tcPr>
            <w:tcW w:w="850" w:type="dxa"/>
            <w:vMerge/>
            <w:tcBorders>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708" w:type="dxa"/>
            <w:vMerge/>
            <w:tcBorders>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992" w:type="dxa"/>
            <w:vMerge/>
            <w:tcBorders>
              <w:left w:val="single" w:sz="4" w:space="0" w:color="auto"/>
              <w:bottom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872" w:type="dxa"/>
            <w:vMerge/>
            <w:tcBorders>
              <w:left w:val="dotted"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p>
        </w:tc>
        <w:tc>
          <w:tcPr>
            <w:tcW w:w="948" w:type="dxa"/>
            <w:tcBorders>
              <w:top w:val="nil"/>
              <w:left w:val="single" w:sz="4" w:space="0" w:color="auto"/>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4,1</w:t>
            </w:r>
          </w:p>
        </w:tc>
        <w:tc>
          <w:tcPr>
            <w:tcW w:w="850" w:type="dxa"/>
            <w:tcBorders>
              <w:top w:val="nil"/>
              <w:left w:val="nil"/>
              <w:bottom w:val="single" w:sz="4" w:space="0" w:color="auto"/>
              <w:right w:val="nil"/>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5,8</w:t>
            </w:r>
          </w:p>
        </w:tc>
        <w:tc>
          <w:tcPr>
            <w:tcW w:w="993" w:type="dxa"/>
            <w:tcBorders>
              <w:top w:val="nil"/>
              <w:left w:val="nil"/>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4,5</w:t>
            </w:r>
          </w:p>
        </w:tc>
      </w:tr>
      <w:tr w:rsidR="00CE043B" w:rsidRPr="00BF0050" w:rsidTr="00F2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2803"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rPr>
                <w:color w:val="000000"/>
              </w:rPr>
            </w:pPr>
            <w:r w:rsidRPr="00BF0050">
              <w:rPr>
                <w:b/>
                <w:bCs/>
                <w:color w:val="000000"/>
              </w:rPr>
              <w:t>Базовая инфляция (БИПЦ)</w:t>
            </w:r>
          </w:p>
        </w:tc>
        <w:tc>
          <w:tcPr>
            <w:tcW w:w="1157" w:type="dxa"/>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bCs/>
                <w:color w:val="000000"/>
              </w:rPr>
              <w:t>Б</w:t>
            </w:r>
          </w:p>
        </w:tc>
        <w:tc>
          <w:tcPr>
            <w:tcW w:w="850"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11,2</w:t>
            </w:r>
          </w:p>
        </w:tc>
        <w:tc>
          <w:tcPr>
            <w:tcW w:w="708" w:type="dxa"/>
            <w:vMerge w:val="restart"/>
            <w:tcBorders>
              <w:top w:val="single" w:sz="4" w:space="0" w:color="auto"/>
              <w:left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13,7</w:t>
            </w:r>
          </w:p>
        </w:tc>
        <w:tc>
          <w:tcPr>
            <w:tcW w:w="992" w:type="dxa"/>
            <w:vMerge w:val="restart"/>
            <w:tcBorders>
              <w:top w:val="single" w:sz="4" w:space="0" w:color="auto"/>
              <w:left w:val="single" w:sz="4" w:space="0" w:color="auto"/>
              <w:right w:val="dotted" w:sz="4" w:space="0" w:color="auto"/>
            </w:tcBorders>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8,3</w:t>
            </w:r>
          </w:p>
        </w:tc>
        <w:tc>
          <w:tcPr>
            <w:tcW w:w="87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CE043B" w:rsidRPr="00BF0050" w:rsidRDefault="00CE043B" w:rsidP="000D5110">
            <w:pPr>
              <w:autoSpaceDE w:val="0"/>
              <w:autoSpaceDN w:val="0"/>
              <w:adjustRightInd w:val="0"/>
              <w:spacing w:before="20" w:after="20" w:line="240" w:lineRule="auto"/>
              <w:ind w:firstLine="0"/>
              <w:jc w:val="center"/>
              <w:rPr>
                <w:color w:val="000000"/>
              </w:rPr>
            </w:pPr>
            <w:r w:rsidRPr="00BF0050">
              <w:rPr>
                <w:color w:val="000000"/>
              </w:rPr>
              <w:t>6,8</w:t>
            </w:r>
          </w:p>
        </w:tc>
        <w:tc>
          <w:tcPr>
            <w:tcW w:w="948" w:type="dxa"/>
            <w:tcBorders>
              <w:top w:val="single" w:sz="4" w:space="0" w:color="auto"/>
              <w:left w:val="single" w:sz="4" w:space="0" w:color="auto"/>
            </w:tcBorders>
            <w:shd w:val="clear" w:color="auto" w:fill="auto"/>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4,8</w:t>
            </w:r>
          </w:p>
        </w:tc>
        <w:tc>
          <w:tcPr>
            <w:tcW w:w="850" w:type="dxa"/>
            <w:tcBorders>
              <w:top w:val="single" w:sz="4" w:space="0" w:color="auto"/>
            </w:tcBorders>
            <w:shd w:val="clear" w:color="auto" w:fill="auto"/>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4,5</w:t>
            </w:r>
          </w:p>
        </w:tc>
        <w:tc>
          <w:tcPr>
            <w:tcW w:w="993" w:type="dxa"/>
            <w:tcBorders>
              <w:top w:val="single" w:sz="4" w:space="0" w:color="auto"/>
              <w:right w:val="single" w:sz="4" w:space="0" w:color="auto"/>
            </w:tcBorders>
            <w:shd w:val="clear" w:color="auto" w:fill="auto"/>
            <w:vAlign w:val="center"/>
          </w:tcPr>
          <w:p w:rsidR="00CE043B" w:rsidRPr="00BF0050" w:rsidRDefault="00CE043B" w:rsidP="000D5110">
            <w:pPr>
              <w:autoSpaceDE w:val="0"/>
              <w:autoSpaceDN w:val="0"/>
              <w:adjustRightInd w:val="0"/>
              <w:spacing w:before="20" w:after="20" w:line="240" w:lineRule="auto"/>
              <w:ind w:firstLine="0"/>
              <w:jc w:val="center"/>
              <w:rPr>
                <w:b/>
                <w:color w:val="000000"/>
              </w:rPr>
            </w:pPr>
            <w:r w:rsidRPr="00BF0050">
              <w:rPr>
                <w:b/>
                <w:color w:val="000000"/>
              </w:rPr>
              <w:t>3,9</w:t>
            </w:r>
          </w:p>
        </w:tc>
      </w:tr>
      <w:tr w:rsidR="00CE043B" w:rsidRPr="00BF0050" w:rsidTr="00F272E6">
        <w:trPr>
          <w:trHeight w:val="12"/>
        </w:trPr>
        <w:tc>
          <w:tcPr>
            <w:tcW w:w="2803" w:type="dxa"/>
            <w:vMerge/>
            <w:tcBorders>
              <w:top w:val="single" w:sz="4" w:space="0" w:color="auto"/>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20" w:line="240" w:lineRule="auto"/>
              <w:ind w:firstLine="0"/>
              <w:rPr>
                <w:b/>
                <w:bCs/>
                <w:color w:val="000000"/>
              </w:rPr>
            </w:pPr>
          </w:p>
        </w:tc>
        <w:tc>
          <w:tcPr>
            <w:tcW w:w="1157" w:type="dxa"/>
            <w:tcBorders>
              <w:top w:val="nil"/>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60" w:line="240" w:lineRule="auto"/>
              <w:ind w:firstLine="0"/>
              <w:jc w:val="center"/>
              <w:rPr>
                <w:bCs/>
                <w:color w:val="000000"/>
              </w:rPr>
            </w:pPr>
            <w:r w:rsidRPr="00BF0050">
              <w:rPr>
                <w:bCs/>
                <w:color w:val="000000"/>
              </w:rPr>
              <w:t>Ц</w:t>
            </w:r>
          </w:p>
        </w:tc>
        <w:tc>
          <w:tcPr>
            <w:tcW w:w="850" w:type="dxa"/>
            <w:vMerge/>
            <w:tcBorders>
              <w:top w:val="single" w:sz="4" w:space="0" w:color="auto"/>
              <w:left w:val="single" w:sz="4" w:space="0" w:color="auto"/>
              <w:bottom w:val="single" w:sz="4" w:space="0" w:color="auto"/>
              <w:right w:val="single" w:sz="4" w:space="0" w:color="auto"/>
            </w:tcBorders>
            <w:vAlign w:val="center"/>
          </w:tcPr>
          <w:p w:rsidR="00CE043B" w:rsidRPr="00BF0050" w:rsidRDefault="00CE043B" w:rsidP="000D5110">
            <w:pPr>
              <w:autoSpaceDE w:val="0"/>
              <w:autoSpaceDN w:val="0"/>
              <w:adjustRightInd w:val="0"/>
              <w:spacing w:before="20" w:after="60" w:line="240" w:lineRule="auto"/>
              <w:ind w:firstLine="0"/>
              <w:jc w:val="center"/>
              <w:rPr>
                <w:b/>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E043B" w:rsidRPr="00BF0050" w:rsidDel="000D4702" w:rsidRDefault="00CE043B" w:rsidP="000D5110">
            <w:pPr>
              <w:autoSpaceDE w:val="0"/>
              <w:autoSpaceDN w:val="0"/>
              <w:adjustRightInd w:val="0"/>
              <w:spacing w:before="20" w:after="60" w:line="240" w:lineRule="auto"/>
              <w:ind w:firstLine="0"/>
              <w:jc w:val="center"/>
              <w:rPr>
                <w:b/>
                <w:color w:val="000000"/>
              </w:rPr>
            </w:pPr>
          </w:p>
        </w:tc>
        <w:tc>
          <w:tcPr>
            <w:tcW w:w="992" w:type="dxa"/>
            <w:vMerge/>
            <w:tcBorders>
              <w:top w:val="single" w:sz="4" w:space="0" w:color="auto"/>
              <w:left w:val="single" w:sz="4" w:space="0" w:color="auto"/>
              <w:bottom w:val="single" w:sz="4" w:space="0" w:color="auto"/>
              <w:right w:val="dotted" w:sz="4" w:space="0" w:color="auto"/>
            </w:tcBorders>
            <w:vAlign w:val="center"/>
          </w:tcPr>
          <w:p w:rsidR="00CE043B" w:rsidRPr="00BF0050" w:rsidRDefault="00CE043B" w:rsidP="000D5110">
            <w:pPr>
              <w:autoSpaceDE w:val="0"/>
              <w:autoSpaceDN w:val="0"/>
              <w:adjustRightInd w:val="0"/>
              <w:spacing w:before="20" w:after="60" w:line="240" w:lineRule="auto"/>
              <w:ind w:firstLine="0"/>
              <w:jc w:val="center"/>
              <w:rPr>
                <w:b/>
                <w:color w:val="000000"/>
              </w:rPr>
            </w:pPr>
          </w:p>
        </w:tc>
        <w:tc>
          <w:tcPr>
            <w:tcW w:w="872" w:type="dxa"/>
            <w:vMerge/>
            <w:tcBorders>
              <w:top w:val="single" w:sz="4" w:space="0" w:color="auto"/>
              <w:left w:val="dotted" w:sz="4" w:space="0" w:color="auto"/>
              <w:bottom w:val="single" w:sz="4" w:space="0" w:color="auto"/>
              <w:right w:val="single" w:sz="4" w:space="0" w:color="auto"/>
            </w:tcBorders>
            <w:shd w:val="clear" w:color="auto" w:fill="auto"/>
            <w:vAlign w:val="center"/>
          </w:tcPr>
          <w:p w:rsidR="00CE043B" w:rsidRPr="00BF0050" w:rsidRDefault="00CE043B" w:rsidP="000D5110">
            <w:pPr>
              <w:autoSpaceDE w:val="0"/>
              <w:autoSpaceDN w:val="0"/>
              <w:adjustRightInd w:val="0"/>
              <w:spacing w:before="20" w:after="60" w:line="240" w:lineRule="auto"/>
              <w:ind w:firstLine="0"/>
              <w:jc w:val="center"/>
              <w:rPr>
                <w:color w:val="000000"/>
              </w:rPr>
            </w:pPr>
          </w:p>
        </w:tc>
        <w:tc>
          <w:tcPr>
            <w:tcW w:w="948" w:type="dxa"/>
            <w:tcBorders>
              <w:top w:val="nil"/>
              <w:left w:val="single" w:sz="4" w:space="0" w:color="auto"/>
              <w:bottom w:val="single" w:sz="4" w:space="0" w:color="auto"/>
              <w:right w:val="nil"/>
            </w:tcBorders>
            <w:shd w:val="clear" w:color="auto" w:fill="auto"/>
            <w:vAlign w:val="center"/>
          </w:tcPr>
          <w:p w:rsidR="00CE043B" w:rsidRPr="00BF0050" w:rsidRDefault="00CE043B" w:rsidP="000D5110">
            <w:pPr>
              <w:autoSpaceDE w:val="0"/>
              <w:autoSpaceDN w:val="0"/>
              <w:adjustRightInd w:val="0"/>
              <w:spacing w:before="20" w:after="60" w:line="240" w:lineRule="auto"/>
              <w:ind w:firstLine="0"/>
              <w:jc w:val="center"/>
              <w:rPr>
                <w:b/>
                <w:color w:val="000000"/>
              </w:rPr>
            </w:pPr>
            <w:r w:rsidRPr="00BF0050">
              <w:rPr>
                <w:b/>
                <w:color w:val="000000"/>
              </w:rPr>
              <w:t>3,9</w:t>
            </w:r>
          </w:p>
        </w:tc>
        <w:tc>
          <w:tcPr>
            <w:tcW w:w="850" w:type="dxa"/>
            <w:tcBorders>
              <w:top w:val="nil"/>
              <w:left w:val="nil"/>
              <w:bottom w:val="single" w:sz="4" w:space="0" w:color="auto"/>
              <w:right w:val="nil"/>
            </w:tcBorders>
            <w:shd w:val="clear" w:color="auto" w:fill="auto"/>
            <w:vAlign w:val="center"/>
          </w:tcPr>
          <w:p w:rsidR="00CE043B" w:rsidRPr="00BF0050" w:rsidRDefault="00CE043B" w:rsidP="000D5110">
            <w:pPr>
              <w:autoSpaceDE w:val="0"/>
              <w:autoSpaceDN w:val="0"/>
              <w:adjustRightInd w:val="0"/>
              <w:spacing w:before="20" w:after="60" w:line="240" w:lineRule="auto"/>
              <w:ind w:firstLine="0"/>
              <w:jc w:val="center"/>
              <w:rPr>
                <w:b/>
                <w:color w:val="000000"/>
              </w:rPr>
            </w:pPr>
            <w:r w:rsidRPr="00BF0050">
              <w:rPr>
                <w:b/>
                <w:color w:val="000000"/>
              </w:rPr>
              <w:t>3,9</w:t>
            </w:r>
          </w:p>
        </w:tc>
        <w:tc>
          <w:tcPr>
            <w:tcW w:w="993" w:type="dxa"/>
            <w:tcBorders>
              <w:top w:val="nil"/>
              <w:left w:val="nil"/>
              <w:bottom w:val="single" w:sz="4" w:space="0" w:color="auto"/>
              <w:right w:val="single" w:sz="4" w:space="0" w:color="auto"/>
            </w:tcBorders>
            <w:shd w:val="clear" w:color="auto" w:fill="auto"/>
            <w:vAlign w:val="center"/>
          </w:tcPr>
          <w:p w:rsidR="00CE043B" w:rsidRPr="00BF0050" w:rsidRDefault="00CE043B" w:rsidP="000D5110">
            <w:pPr>
              <w:autoSpaceDE w:val="0"/>
              <w:autoSpaceDN w:val="0"/>
              <w:adjustRightInd w:val="0"/>
              <w:spacing w:before="20" w:after="60" w:line="240" w:lineRule="auto"/>
              <w:ind w:firstLine="0"/>
              <w:jc w:val="center"/>
              <w:rPr>
                <w:b/>
                <w:color w:val="000000"/>
              </w:rPr>
            </w:pPr>
            <w:r w:rsidRPr="00BF0050">
              <w:rPr>
                <w:b/>
                <w:color w:val="000000"/>
              </w:rPr>
              <w:t>3,9</w:t>
            </w:r>
          </w:p>
        </w:tc>
      </w:tr>
    </w:tbl>
    <w:p w:rsidR="00CE043B" w:rsidRPr="00BF0050" w:rsidRDefault="00CE043B" w:rsidP="00B460B2">
      <w:pPr>
        <w:spacing w:before="240" w:after="0"/>
        <w:jc w:val="both"/>
        <w:rPr>
          <w:rFonts w:cstheme="minorBidi"/>
          <w:sz w:val="26"/>
          <w:szCs w:val="26"/>
        </w:rPr>
      </w:pPr>
      <w:r w:rsidRPr="00BF0050">
        <w:rPr>
          <w:rFonts w:cstheme="minorBidi"/>
          <w:sz w:val="26"/>
          <w:szCs w:val="26"/>
        </w:rPr>
        <w:t>На непродовольственные товары рост цен будет ниже инфляции на фоне понизившегося потребительского спроса и слабого укрепления рубля. Умеренный рост цен будет обусловлен снижением товарных запасов, закупленных ранее по более низкому обменному курсу рубля</w:t>
      </w:r>
      <w:r w:rsidR="0090374D" w:rsidRPr="00BF0050">
        <w:rPr>
          <w:rFonts w:cstheme="minorBidi"/>
          <w:sz w:val="26"/>
          <w:szCs w:val="26"/>
        </w:rPr>
        <w:t>,</w:t>
      </w:r>
      <w:r w:rsidRPr="00BF0050">
        <w:rPr>
          <w:rFonts w:cstheme="minorBidi"/>
          <w:sz w:val="26"/>
          <w:szCs w:val="26"/>
        </w:rPr>
        <w:t xml:space="preserve"> и стагнацией предложения импорта из-за предшествующего падения спроса. Также на рост цен будет оказывать давление почти нулевая прибыль</w:t>
      </w:r>
      <w:r w:rsidR="003D3290" w:rsidRPr="00BF0050">
        <w:rPr>
          <w:rFonts w:cstheme="minorBidi"/>
          <w:sz w:val="26"/>
          <w:szCs w:val="26"/>
        </w:rPr>
        <w:t>/</w:t>
      </w:r>
      <w:r w:rsidRPr="00BF0050">
        <w:rPr>
          <w:rFonts w:cstheme="minorBidi"/>
          <w:sz w:val="26"/>
          <w:szCs w:val="26"/>
        </w:rPr>
        <w:t xml:space="preserve"> убыточность производства и реализации непродовольственных товаров в</w:t>
      </w:r>
      <w:r w:rsidR="0090374D" w:rsidRPr="00BF0050">
        <w:rPr>
          <w:rFonts w:cstheme="minorBidi"/>
          <w:sz w:val="26"/>
          <w:szCs w:val="26"/>
        </w:rPr>
        <w:t> </w:t>
      </w:r>
      <w:r w:rsidRPr="00BF0050">
        <w:rPr>
          <w:rFonts w:cstheme="minorBidi"/>
          <w:sz w:val="26"/>
          <w:szCs w:val="26"/>
        </w:rPr>
        <w:t xml:space="preserve">предшествующем году. </w:t>
      </w:r>
    </w:p>
    <w:p w:rsidR="00F57827" w:rsidRPr="00BF0050" w:rsidRDefault="00CE043B" w:rsidP="000D5110">
      <w:pPr>
        <w:spacing w:before="0" w:after="0"/>
        <w:jc w:val="both"/>
        <w:rPr>
          <w:b/>
          <w:sz w:val="26"/>
          <w:szCs w:val="26"/>
        </w:rPr>
      </w:pPr>
      <w:r w:rsidRPr="00BF0050">
        <w:rPr>
          <w:sz w:val="26"/>
          <w:szCs w:val="26"/>
        </w:rPr>
        <w:t xml:space="preserve">В 2017 году предусматривается чуть более высокая индексация регулируемых тарифов в коммунальном секторе </w:t>
      </w:r>
      <w:r w:rsidR="0090374D" w:rsidRPr="00BF0050">
        <w:rPr>
          <w:sz w:val="26"/>
          <w:szCs w:val="26"/>
        </w:rPr>
        <w:t>–</w:t>
      </w:r>
      <w:r w:rsidRPr="00BF0050">
        <w:rPr>
          <w:sz w:val="26"/>
          <w:szCs w:val="26"/>
        </w:rPr>
        <w:t xml:space="preserve">  4,8 % (в 2016 </w:t>
      </w:r>
      <w:r w:rsidR="0090374D" w:rsidRPr="00BF0050">
        <w:rPr>
          <w:sz w:val="26"/>
          <w:szCs w:val="26"/>
        </w:rPr>
        <w:t>г. </w:t>
      </w:r>
      <w:r w:rsidRPr="00BF0050">
        <w:rPr>
          <w:sz w:val="26"/>
          <w:szCs w:val="26"/>
        </w:rPr>
        <w:t xml:space="preserve">– 4 %) для покрытия операционных издержек и безубыточности деятельности организаций. Рост цен на электроэнергию </w:t>
      </w:r>
      <w:r w:rsidRPr="00BF0050">
        <w:rPr>
          <w:sz w:val="26"/>
          <w:szCs w:val="26"/>
        </w:rPr>
        <w:lastRenderedPageBreak/>
        <w:t xml:space="preserve">также будет выше инфляции </w:t>
      </w:r>
      <w:r w:rsidR="0090374D" w:rsidRPr="00BF0050">
        <w:rPr>
          <w:sz w:val="26"/>
          <w:szCs w:val="26"/>
        </w:rPr>
        <w:t>–</w:t>
      </w:r>
      <w:r w:rsidRPr="00BF0050">
        <w:rPr>
          <w:sz w:val="26"/>
          <w:szCs w:val="26"/>
        </w:rPr>
        <w:t xml:space="preserve"> на 7,5</w:t>
      </w:r>
      <w:r w:rsidR="0090374D" w:rsidRPr="00BF0050">
        <w:rPr>
          <w:sz w:val="26"/>
          <w:szCs w:val="26"/>
        </w:rPr>
        <w:t> </w:t>
      </w:r>
      <w:r w:rsidRPr="00BF0050">
        <w:rPr>
          <w:sz w:val="26"/>
          <w:szCs w:val="26"/>
        </w:rPr>
        <w:t>%, обусловленный вводом новых мощностей и</w:t>
      </w:r>
      <w:r w:rsidR="0090374D" w:rsidRPr="00BF0050">
        <w:rPr>
          <w:sz w:val="26"/>
          <w:szCs w:val="26"/>
        </w:rPr>
        <w:t> </w:t>
      </w:r>
      <w:r w:rsidRPr="00BF0050">
        <w:rPr>
          <w:sz w:val="26"/>
          <w:szCs w:val="26"/>
        </w:rPr>
        <w:t>поддержанием сетевого хозяйства. Вклад роста цен и тарифов инфраструктурных отраслей  в инфляцию</w:t>
      </w:r>
      <w:r w:rsidR="00D22F0E" w:rsidRPr="00BF0050">
        <w:rPr>
          <w:sz w:val="26"/>
          <w:szCs w:val="26"/>
        </w:rPr>
        <w:t>,</w:t>
      </w:r>
      <w:r w:rsidRPr="00BF0050">
        <w:rPr>
          <w:sz w:val="26"/>
          <w:szCs w:val="26"/>
        </w:rPr>
        <w:t xml:space="preserve"> </w:t>
      </w:r>
      <w:r w:rsidR="00B13D70" w:rsidRPr="00BF0050">
        <w:rPr>
          <w:sz w:val="26"/>
          <w:szCs w:val="26"/>
        </w:rPr>
        <w:t>также как и в 2016 году</w:t>
      </w:r>
      <w:r w:rsidR="00D22F0E" w:rsidRPr="00BF0050">
        <w:rPr>
          <w:sz w:val="26"/>
          <w:szCs w:val="26"/>
        </w:rPr>
        <w:t>,</w:t>
      </w:r>
      <w:r w:rsidR="00B13D70" w:rsidRPr="00BF0050">
        <w:rPr>
          <w:sz w:val="26"/>
          <w:szCs w:val="26"/>
        </w:rPr>
        <w:t xml:space="preserve"> </w:t>
      </w:r>
      <w:r w:rsidRPr="00BF0050">
        <w:rPr>
          <w:sz w:val="26"/>
          <w:szCs w:val="26"/>
        </w:rPr>
        <w:t>составит</w:t>
      </w:r>
      <w:r w:rsidR="00B13D70" w:rsidRPr="00BF0050">
        <w:rPr>
          <w:sz w:val="26"/>
          <w:szCs w:val="26"/>
        </w:rPr>
        <w:t xml:space="preserve"> </w:t>
      </w:r>
      <w:r w:rsidRPr="00BF0050">
        <w:rPr>
          <w:sz w:val="26"/>
          <w:szCs w:val="26"/>
        </w:rPr>
        <w:t xml:space="preserve"> 0,5–0,6 процентных пункта. </w:t>
      </w:r>
      <w:r w:rsidR="00256C01" w:rsidRPr="00BF0050">
        <w:rPr>
          <w:sz w:val="26"/>
          <w:szCs w:val="26"/>
        </w:rPr>
        <w:t xml:space="preserve"> </w:t>
      </w:r>
    </w:p>
    <w:p w:rsidR="00CE043B" w:rsidRPr="00BF0050" w:rsidRDefault="00CE043B" w:rsidP="00CE043B">
      <w:pPr>
        <w:spacing w:before="240"/>
        <w:jc w:val="center"/>
        <w:rPr>
          <w:b/>
          <w:sz w:val="26"/>
          <w:szCs w:val="26"/>
        </w:rPr>
      </w:pPr>
      <w:r w:rsidRPr="00BF0050">
        <w:rPr>
          <w:b/>
          <w:sz w:val="26"/>
          <w:szCs w:val="26"/>
        </w:rPr>
        <w:t>Вклад основных факторов в инфляцию (проц. пунктов)</w:t>
      </w:r>
    </w:p>
    <w:tbl>
      <w:tblPr>
        <w:tblStyle w:val="af6"/>
        <w:tblW w:w="0" w:type="auto"/>
        <w:jc w:val="center"/>
        <w:tblLook w:val="04A0" w:firstRow="1" w:lastRow="0" w:firstColumn="1" w:lastColumn="0" w:noHBand="0" w:noVBand="1"/>
      </w:tblPr>
      <w:tblGrid>
        <w:gridCol w:w="5020"/>
        <w:gridCol w:w="1240"/>
        <w:gridCol w:w="1240"/>
        <w:gridCol w:w="1240"/>
        <w:gridCol w:w="1411"/>
      </w:tblGrid>
      <w:tr w:rsidR="00CE043B" w:rsidRPr="00BF0050" w:rsidTr="000D5110">
        <w:trPr>
          <w:jc w:val="center"/>
        </w:trPr>
        <w:tc>
          <w:tcPr>
            <w:tcW w:w="5020" w:type="dxa"/>
            <w:tcBorders>
              <w:bottom w:val="single" w:sz="4" w:space="0" w:color="auto"/>
            </w:tcBorders>
            <w:vAlign w:val="center"/>
          </w:tcPr>
          <w:p w:rsidR="00CE043B" w:rsidRPr="00BF0050" w:rsidRDefault="00CE043B" w:rsidP="00460BCB">
            <w:pPr>
              <w:spacing w:before="40" w:after="40" w:line="240" w:lineRule="auto"/>
              <w:ind w:firstLine="0"/>
              <w:jc w:val="both"/>
            </w:pPr>
          </w:p>
        </w:tc>
        <w:tc>
          <w:tcPr>
            <w:tcW w:w="1240" w:type="dxa"/>
            <w:tcBorders>
              <w:bottom w:val="single" w:sz="4" w:space="0" w:color="auto"/>
            </w:tcBorders>
            <w:vAlign w:val="center"/>
          </w:tcPr>
          <w:p w:rsidR="00CE043B" w:rsidRPr="00BF0050" w:rsidRDefault="00CE043B" w:rsidP="00460BCB">
            <w:pPr>
              <w:spacing w:before="40" w:after="40" w:line="240" w:lineRule="auto"/>
              <w:ind w:firstLine="0"/>
              <w:jc w:val="center"/>
            </w:pPr>
            <w:r w:rsidRPr="00BF0050">
              <w:t>2014 г.</w:t>
            </w:r>
          </w:p>
        </w:tc>
        <w:tc>
          <w:tcPr>
            <w:tcW w:w="1240" w:type="dxa"/>
            <w:tcBorders>
              <w:bottom w:val="single" w:sz="4" w:space="0" w:color="auto"/>
            </w:tcBorders>
            <w:vAlign w:val="center"/>
          </w:tcPr>
          <w:p w:rsidR="00CE043B" w:rsidRPr="00BF0050" w:rsidRDefault="00CE043B" w:rsidP="00460BCB">
            <w:pPr>
              <w:spacing w:before="40" w:after="40" w:line="240" w:lineRule="auto"/>
              <w:ind w:firstLine="0"/>
              <w:jc w:val="center"/>
            </w:pPr>
            <w:r w:rsidRPr="00BF0050">
              <w:t>2015 г.</w:t>
            </w:r>
          </w:p>
        </w:tc>
        <w:tc>
          <w:tcPr>
            <w:tcW w:w="1240" w:type="dxa"/>
            <w:tcBorders>
              <w:bottom w:val="single" w:sz="4" w:space="0" w:color="auto"/>
            </w:tcBorders>
            <w:vAlign w:val="center"/>
          </w:tcPr>
          <w:p w:rsidR="00CE043B" w:rsidRPr="00BF0050" w:rsidRDefault="00CE043B" w:rsidP="00460BCB">
            <w:pPr>
              <w:spacing w:before="40" w:after="40" w:line="240" w:lineRule="auto"/>
              <w:ind w:firstLine="0"/>
              <w:jc w:val="center"/>
            </w:pPr>
            <w:r w:rsidRPr="00BF0050">
              <w:t>2016 г.</w:t>
            </w:r>
          </w:p>
        </w:tc>
        <w:tc>
          <w:tcPr>
            <w:tcW w:w="1411" w:type="dxa"/>
            <w:tcBorders>
              <w:bottom w:val="single" w:sz="4" w:space="0" w:color="auto"/>
            </w:tcBorders>
            <w:vAlign w:val="center"/>
          </w:tcPr>
          <w:p w:rsidR="00CE043B" w:rsidRPr="00BF0050" w:rsidRDefault="00CE043B" w:rsidP="00460BCB">
            <w:pPr>
              <w:spacing w:before="40" w:after="40" w:line="240" w:lineRule="auto"/>
              <w:ind w:firstLine="0"/>
              <w:jc w:val="center"/>
            </w:pPr>
            <w:r w:rsidRPr="00BF0050">
              <w:t>2017 г.</w:t>
            </w:r>
          </w:p>
        </w:tc>
      </w:tr>
      <w:tr w:rsidR="00CE043B" w:rsidRPr="00BF0050" w:rsidTr="000D5110">
        <w:trPr>
          <w:jc w:val="center"/>
        </w:trPr>
        <w:tc>
          <w:tcPr>
            <w:tcW w:w="5020" w:type="dxa"/>
            <w:tcBorders>
              <w:bottom w:val="nil"/>
              <w:right w:val="single" w:sz="4" w:space="0" w:color="auto"/>
            </w:tcBorders>
            <w:vAlign w:val="center"/>
          </w:tcPr>
          <w:p w:rsidR="00CE043B" w:rsidRPr="00BF0050" w:rsidRDefault="00CE043B" w:rsidP="000D5110">
            <w:pPr>
              <w:spacing w:after="40" w:line="240" w:lineRule="auto"/>
              <w:ind w:left="113" w:firstLine="0"/>
              <w:jc w:val="both"/>
            </w:pPr>
            <w:r w:rsidRPr="00BF0050">
              <w:t>Динамика обменного курса рубля</w:t>
            </w:r>
          </w:p>
        </w:tc>
        <w:tc>
          <w:tcPr>
            <w:tcW w:w="1240" w:type="dxa"/>
            <w:tcBorders>
              <w:left w:val="single" w:sz="4" w:space="0" w:color="auto"/>
              <w:bottom w:val="nil"/>
              <w:right w:val="nil"/>
            </w:tcBorders>
            <w:vAlign w:val="center"/>
          </w:tcPr>
          <w:p w:rsidR="00CE043B" w:rsidRPr="00BF0050" w:rsidRDefault="00CE043B" w:rsidP="00460BCB">
            <w:pPr>
              <w:spacing w:after="40" w:line="240" w:lineRule="auto"/>
              <w:ind w:firstLine="0"/>
              <w:jc w:val="center"/>
            </w:pPr>
            <w:r w:rsidRPr="00BF0050">
              <w:t>4</w:t>
            </w:r>
          </w:p>
        </w:tc>
        <w:tc>
          <w:tcPr>
            <w:tcW w:w="1240" w:type="dxa"/>
            <w:tcBorders>
              <w:left w:val="nil"/>
              <w:bottom w:val="nil"/>
              <w:right w:val="nil"/>
            </w:tcBorders>
            <w:vAlign w:val="center"/>
          </w:tcPr>
          <w:p w:rsidR="00CE043B" w:rsidRPr="00BF0050" w:rsidRDefault="00CE043B" w:rsidP="00460BCB">
            <w:pPr>
              <w:spacing w:after="40" w:line="240" w:lineRule="auto"/>
              <w:ind w:firstLine="0"/>
              <w:jc w:val="center"/>
            </w:pPr>
            <w:r w:rsidRPr="00BF0050">
              <w:t>5,8</w:t>
            </w:r>
          </w:p>
        </w:tc>
        <w:tc>
          <w:tcPr>
            <w:tcW w:w="1240" w:type="dxa"/>
            <w:tcBorders>
              <w:left w:val="nil"/>
              <w:bottom w:val="nil"/>
              <w:right w:val="nil"/>
            </w:tcBorders>
            <w:vAlign w:val="center"/>
          </w:tcPr>
          <w:p w:rsidR="00CE043B" w:rsidRPr="00BF0050" w:rsidRDefault="00CE043B" w:rsidP="00460BCB">
            <w:pPr>
              <w:spacing w:before="0" w:after="0" w:line="300" w:lineRule="atLeast"/>
              <w:ind w:firstLine="0"/>
              <w:jc w:val="center"/>
            </w:pPr>
            <w:r w:rsidRPr="00BF0050">
              <w:t>1,3–1,5</w:t>
            </w:r>
          </w:p>
        </w:tc>
        <w:tc>
          <w:tcPr>
            <w:tcW w:w="1411" w:type="dxa"/>
            <w:tcBorders>
              <w:left w:val="nil"/>
              <w:bottom w:val="nil"/>
            </w:tcBorders>
            <w:vAlign w:val="center"/>
          </w:tcPr>
          <w:p w:rsidR="00CE043B" w:rsidRPr="00BF0050" w:rsidRDefault="00CE043B" w:rsidP="00460BCB">
            <w:pPr>
              <w:spacing w:before="0" w:after="0" w:line="300" w:lineRule="atLeast"/>
              <w:ind w:firstLine="0"/>
              <w:jc w:val="center"/>
            </w:pPr>
            <w:r w:rsidRPr="00BF0050">
              <w:t>-0,2(-0,1)</w:t>
            </w:r>
          </w:p>
        </w:tc>
      </w:tr>
      <w:tr w:rsidR="00CE043B" w:rsidRPr="00BF0050" w:rsidTr="000D5110">
        <w:trPr>
          <w:jc w:val="center"/>
        </w:trPr>
        <w:tc>
          <w:tcPr>
            <w:tcW w:w="5020" w:type="dxa"/>
            <w:tcBorders>
              <w:top w:val="nil"/>
              <w:bottom w:val="nil"/>
              <w:right w:val="single" w:sz="4" w:space="0" w:color="auto"/>
            </w:tcBorders>
            <w:vAlign w:val="center"/>
          </w:tcPr>
          <w:p w:rsidR="00CE043B" w:rsidRPr="00BF0050" w:rsidRDefault="00CE043B" w:rsidP="000D5110">
            <w:pPr>
              <w:spacing w:before="40" w:after="40" w:line="240" w:lineRule="auto"/>
              <w:ind w:left="113" w:firstLine="0"/>
              <w:jc w:val="both"/>
            </w:pPr>
            <w:r w:rsidRPr="00BF0050">
              <w:t xml:space="preserve">Потребительский спрос </w:t>
            </w:r>
          </w:p>
        </w:tc>
        <w:tc>
          <w:tcPr>
            <w:tcW w:w="1240" w:type="dxa"/>
            <w:tcBorders>
              <w:top w:val="nil"/>
              <w:left w:val="single" w:sz="4" w:space="0" w:color="auto"/>
              <w:bottom w:val="nil"/>
              <w:right w:val="nil"/>
            </w:tcBorders>
            <w:vAlign w:val="center"/>
          </w:tcPr>
          <w:p w:rsidR="00CE043B" w:rsidRPr="00BF0050" w:rsidRDefault="00CE043B" w:rsidP="00B460B2">
            <w:pPr>
              <w:spacing w:before="40" w:after="40" w:line="240" w:lineRule="auto"/>
              <w:ind w:firstLine="0"/>
              <w:jc w:val="center"/>
            </w:pPr>
            <w:r w:rsidRPr="00BF0050">
              <w:t>-</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-1(-0,8)</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-1,1(-0,9)</w:t>
            </w:r>
          </w:p>
        </w:tc>
        <w:tc>
          <w:tcPr>
            <w:tcW w:w="1411" w:type="dxa"/>
            <w:tcBorders>
              <w:top w:val="nil"/>
              <w:left w:val="nil"/>
              <w:bottom w:val="nil"/>
            </w:tcBorders>
            <w:vAlign w:val="center"/>
          </w:tcPr>
          <w:p w:rsidR="00CE043B" w:rsidRPr="00BF0050" w:rsidRDefault="00CE043B" w:rsidP="00B460B2">
            <w:pPr>
              <w:spacing w:before="40" w:after="40" w:line="240" w:lineRule="auto"/>
              <w:ind w:firstLine="0"/>
              <w:jc w:val="center"/>
            </w:pPr>
            <w:r w:rsidRPr="00BF0050">
              <w:t>-0,7(-0,5)</w:t>
            </w:r>
          </w:p>
        </w:tc>
      </w:tr>
      <w:tr w:rsidR="00CE043B" w:rsidRPr="00BF0050" w:rsidTr="000D5110">
        <w:trPr>
          <w:jc w:val="center"/>
        </w:trPr>
        <w:tc>
          <w:tcPr>
            <w:tcW w:w="5020" w:type="dxa"/>
            <w:tcBorders>
              <w:top w:val="nil"/>
              <w:bottom w:val="nil"/>
              <w:right w:val="single" w:sz="4" w:space="0" w:color="auto"/>
            </w:tcBorders>
            <w:vAlign w:val="center"/>
          </w:tcPr>
          <w:p w:rsidR="00CE043B" w:rsidRPr="00BF0050" w:rsidRDefault="00CE043B" w:rsidP="000D5110">
            <w:pPr>
              <w:spacing w:before="40" w:after="40" w:line="240" w:lineRule="auto"/>
              <w:ind w:left="113" w:firstLine="0"/>
              <w:jc w:val="both"/>
            </w:pPr>
            <w:r w:rsidRPr="00BF0050">
              <w:t>Динамика денежных агрегатов (М2)</w:t>
            </w:r>
          </w:p>
        </w:tc>
        <w:tc>
          <w:tcPr>
            <w:tcW w:w="1240" w:type="dxa"/>
            <w:tcBorders>
              <w:top w:val="nil"/>
              <w:left w:val="single" w:sz="4" w:space="0" w:color="auto"/>
              <w:bottom w:val="nil"/>
              <w:right w:val="nil"/>
            </w:tcBorders>
            <w:vAlign w:val="center"/>
          </w:tcPr>
          <w:p w:rsidR="00CE043B" w:rsidRPr="00BF0050" w:rsidRDefault="00CE043B" w:rsidP="00B460B2">
            <w:pPr>
              <w:spacing w:before="40" w:after="40" w:line="240" w:lineRule="auto"/>
              <w:ind w:firstLine="0"/>
              <w:jc w:val="center"/>
            </w:pPr>
            <w:r w:rsidRPr="00BF0050">
              <w:t>4,2</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4,8–5,0</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4,6–4,8</w:t>
            </w:r>
          </w:p>
        </w:tc>
        <w:tc>
          <w:tcPr>
            <w:tcW w:w="1411" w:type="dxa"/>
            <w:tcBorders>
              <w:top w:val="nil"/>
              <w:left w:val="nil"/>
              <w:bottom w:val="nil"/>
            </w:tcBorders>
            <w:vAlign w:val="center"/>
          </w:tcPr>
          <w:p w:rsidR="00CE043B" w:rsidRPr="00BF0050" w:rsidRDefault="00CE043B" w:rsidP="00B460B2">
            <w:pPr>
              <w:spacing w:before="40" w:after="40" w:line="240" w:lineRule="auto"/>
              <w:ind w:firstLine="0"/>
              <w:jc w:val="center"/>
            </w:pPr>
            <w:r w:rsidRPr="00BF0050">
              <w:t>3,6–3,9</w:t>
            </w:r>
          </w:p>
        </w:tc>
      </w:tr>
      <w:tr w:rsidR="00CE043B" w:rsidRPr="00BF0050" w:rsidTr="000D5110">
        <w:trPr>
          <w:jc w:val="center"/>
        </w:trPr>
        <w:tc>
          <w:tcPr>
            <w:tcW w:w="5020" w:type="dxa"/>
            <w:tcBorders>
              <w:top w:val="nil"/>
              <w:bottom w:val="nil"/>
              <w:right w:val="single" w:sz="4" w:space="0" w:color="auto"/>
            </w:tcBorders>
            <w:vAlign w:val="center"/>
          </w:tcPr>
          <w:p w:rsidR="00CE043B" w:rsidRPr="00BF0050" w:rsidRDefault="00CE043B" w:rsidP="000D5110">
            <w:pPr>
              <w:spacing w:before="40" w:after="40" w:line="240" w:lineRule="auto"/>
              <w:ind w:left="113" w:firstLine="0"/>
              <w:jc w:val="both"/>
            </w:pPr>
            <w:r w:rsidRPr="00BF0050">
              <w:t>Рост цен и тарифов на товары и услуги инфраструктурных компаний и локальных монополий</w:t>
            </w:r>
          </w:p>
        </w:tc>
        <w:tc>
          <w:tcPr>
            <w:tcW w:w="1240" w:type="dxa"/>
            <w:tcBorders>
              <w:top w:val="nil"/>
              <w:left w:val="single" w:sz="4" w:space="0" w:color="auto"/>
              <w:bottom w:val="nil"/>
              <w:right w:val="nil"/>
            </w:tcBorders>
            <w:vAlign w:val="center"/>
          </w:tcPr>
          <w:p w:rsidR="00CE043B" w:rsidRPr="00BF0050" w:rsidRDefault="00CE043B" w:rsidP="00B460B2">
            <w:pPr>
              <w:spacing w:before="40" w:after="40" w:line="240" w:lineRule="auto"/>
              <w:ind w:firstLine="0"/>
              <w:jc w:val="center"/>
            </w:pPr>
            <w:r w:rsidRPr="00BF0050">
              <w:t>0,3</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0,5</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0,6</w:t>
            </w:r>
          </w:p>
        </w:tc>
        <w:tc>
          <w:tcPr>
            <w:tcW w:w="1411" w:type="dxa"/>
            <w:tcBorders>
              <w:top w:val="nil"/>
              <w:left w:val="nil"/>
              <w:bottom w:val="nil"/>
            </w:tcBorders>
            <w:vAlign w:val="center"/>
          </w:tcPr>
          <w:p w:rsidR="00CE043B" w:rsidRPr="00BF0050" w:rsidRDefault="00CE043B" w:rsidP="00B460B2">
            <w:pPr>
              <w:spacing w:before="40" w:after="40" w:line="240" w:lineRule="auto"/>
              <w:ind w:firstLine="0"/>
              <w:jc w:val="center"/>
            </w:pPr>
            <w:r w:rsidRPr="00BF0050">
              <w:t>0,5–0,6</w:t>
            </w:r>
          </w:p>
        </w:tc>
      </w:tr>
      <w:tr w:rsidR="00CE043B" w:rsidRPr="00BF0050" w:rsidTr="000D5110">
        <w:trPr>
          <w:jc w:val="center"/>
        </w:trPr>
        <w:tc>
          <w:tcPr>
            <w:tcW w:w="5020" w:type="dxa"/>
            <w:tcBorders>
              <w:top w:val="nil"/>
              <w:bottom w:val="nil"/>
              <w:right w:val="single" w:sz="4" w:space="0" w:color="auto"/>
            </w:tcBorders>
            <w:vAlign w:val="center"/>
          </w:tcPr>
          <w:p w:rsidR="00CE043B" w:rsidRPr="00BF0050" w:rsidRDefault="00CE043B" w:rsidP="000D5110">
            <w:pPr>
              <w:spacing w:before="40" w:after="40" w:line="240" w:lineRule="auto"/>
              <w:ind w:left="113" w:firstLine="0"/>
              <w:jc w:val="both"/>
            </w:pPr>
            <w:r w:rsidRPr="00BF0050">
              <w:t>Ценовые перекосы на рынке продтоваров</w:t>
            </w:r>
          </w:p>
        </w:tc>
        <w:tc>
          <w:tcPr>
            <w:tcW w:w="1240" w:type="dxa"/>
            <w:tcBorders>
              <w:top w:val="nil"/>
              <w:left w:val="single" w:sz="4" w:space="0" w:color="auto"/>
              <w:bottom w:val="nil"/>
              <w:right w:val="nil"/>
            </w:tcBorders>
            <w:vAlign w:val="center"/>
          </w:tcPr>
          <w:p w:rsidR="00CE043B" w:rsidRPr="00BF0050" w:rsidRDefault="00CE043B" w:rsidP="00B460B2">
            <w:pPr>
              <w:spacing w:before="40" w:after="40" w:line="240" w:lineRule="auto"/>
              <w:ind w:firstLine="0"/>
              <w:jc w:val="center"/>
            </w:pPr>
            <w:r w:rsidRPr="00BF0050">
              <w:t>-</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w:t>
            </w:r>
          </w:p>
        </w:tc>
        <w:tc>
          <w:tcPr>
            <w:tcW w:w="1240" w:type="dxa"/>
            <w:tcBorders>
              <w:top w:val="nil"/>
              <w:left w:val="nil"/>
              <w:bottom w:val="nil"/>
              <w:right w:val="nil"/>
            </w:tcBorders>
            <w:vAlign w:val="center"/>
          </w:tcPr>
          <w:p w:rsidR="00CE043B" w:rsidRPr="00BF0050" w:rsidRDefault="00CE043B" w:rsidP="00B460B2">
            <w:pPr>
              <w:spacing w:before="40" w:after="40" w:line="240" w:lineRule="auto"/>
              <w:ind w:firstLine="0"/>
              <w:jc w:val="center"/>
            </w:pPr>
            <w:r w:rsidRPr="00BF0050">
              <w:t>-0,5(-0,3)</w:t>
            </w:r>
          </w:p>
        </w:tc>
        <w:tc>
          <w:tcPr>
            <w:tcW w:w="1411" w:type="dxa"/>
            <w:tcBorders>
              <w:top w:val="nil"/>
              <w:left w:val="nil"/>
              <w:bottom w:val="nil"/>
            </w:tcBorders>
            <w:vAlign w:val="center"/>
          </w:tcPr>
          <w:p w:rsidR="00CE043B" w:rsidRPr="00BF0050" w:rsidRDefault="00CE043B" w:rsidP="00B460B2">
            <w:pPr>
              <w:spacing w:before="40" w:after="40" w:line="240" w:lineRule="auto"/>
              <w:ind w:firstLine="0"/>
              <w:jc w:val="center"/>
            </w:pPr>
            <w:r w:rsidRPr="00BF0050">
              <w:t>0,2–0,4</w:t>
            </w:r>
          </w:p>
        </w:tc>
      </w:tr>
      <w:tr w:rsidR="00CE043B" w:rsidRPr="00BF0050" w:rsidTr="000D5110">
        <w:trPr>
          <w:trHeight w:val="257"/>
          <w:jc w:val="center"/>
        </w:trPr>
        <w:tc>
          <w:tcPr>
            <w:tcW w:w="5020" w:type="dxa"/>
            <w:tcBorders>
              <w:top w:val="nil"/>
              <w:bottom w:val="single" w:sz="4" w:space="0" w:color="auto"/>
              <w:right w:val="single" w:sz="4" w:space="0" w:color="auto"/>
            </w:tcBorders>
            <w:vAlign w:val="center"/>
          </w:tcPr>
          <w:p w:rsidR="00CE043B" w:rsidRPr="00BF0050" w:rsidRDefault="00CE043B" w:rsidP="000D5110">
            <w:pPr>
              <w:spacing w:before="40" w:after="40" w:line="240" w:lineRule="auto"/>
              <w:ind w:left="113" w:firstLine="0"/>
              <w:jc w:val="both"/>
            </w:pPr>
            <w:r w:rsidRPr="00BF0050">
              <w:t>Прочие факторы (немонетарные)</w:t>
            </w:r>
          </w:p>
        </w:tc>
        <w:tc>
          <w:tcPr>
            <w:tcW w:w="1240" w:type="dxa"/>
            <w:tcBorders>
              <w:top w:val="nil"/>
              <w:left w:val="single" w:sz="4" w:space="0" w:color="auto"/>
              <w:bottom w:val="single" w:sz="4" w:space="0" w:color="auto"/>
              <w:right w:val="nil"/>
            </w:tcBorders>
            <w:vAlign w:val="center"/>
          </w:tcPr>
          <w:p w:rsidR="00CE043B" w:rsidRPr="00BF0050" w:rsidRDefault="00CE043B" w:rsidP="00B460B2">
            <w:pPr>
              <w:spacing w:before="40" w:after="40" w:line="240" w:lineRule="auto"/>
              <w:ind w:firstLine="0"/>
              <w:jc w:val="center"/>
            </w:pPr>
            <w:r w:rsidRPr="00BF0050">
              <w:t>2,9</w:t>
            </w:r>
          </w:p>
        </w:tc>
        <w:tc>
          <w:tcPr>
            <w:tcW w:w="1240" w:type="dxa"/>
            <w:tcBorders>
              <w:top w:val="nil"/>
              <w:left w:val="nil"/>
              <w:bottom w:val="single" w:sz="4" w:space="0" w:color="auto"/>
              <w:right w:val="nil"/>
            </w:tcBorders>
            <w:vAlign w:val="center"/>
          </w:tcPr>
          <w:p w:rsidR="00CE043B" w:rsidRPr="00BF0050" w:rsidRDefault="00CE043B" w:rsidP="00B460B2">
            <w:pPr>
              <w:spacing w:before="40" w:after="40" w:line="240" w:lineRule="auto"/>
              <w:ind w:firstLine="0"/>
              <w:jc w:val="center"/>
            </w:pPr>
            <w:r w:rsidRPr="00BF0050">
              <w:t>2,4</w:t>
            </w:r>
          </w:p>
        </w:tc>
        <w:tc>
          <w:tcPr>
            <w:tcW w:w="1240" w:type="dxa"/>
            <w:tcBorders>
              <w:top w:val="nil"/>
              <w:left w:val="nil"/>
              <w:bottom w:val="single" w:sz="4" w:space="0" w:color="auto"/>
              <w:right w:val="nil"/>
            </w:tcBorders>
            <w:vAlign w:val="center"/>
          </w:tcPr>
          <w:p w:rsidR="00CE043B" w:rsidRPr="00BF0050" w:rsidRDefault="00CE043B" w:rsidP="00B460B2">
            <w:pPr>
              <w:spacing w:before="40" w:after="40" w:line="240" w:lineRule="auto"/>
              <w:ind w:firstLine="0"/>
              <w:jc w:val="center"/>
            </w:pPr>
            <w:r w:rsidRPr="00BF0050">
              <w:t>1,4</w:t>
            </w:r>
          </w:p>
        </w:tc>
        <w:tc>
          <w:tcPr>
            <w:tcW w:w="1411" w:type="dxa"/>
            <w:tcBorders>
              <w:top w:val="nil"/>
              <w:left w:val="nil"/>
              <w:bottom w:val="single" w:sz="4" w:space="0" w:color="auto"/>
            </w:tcBorders>
            <w:vAlign w:val="center"/>
          </w:tcPr>
          <w:p w:rsidR="00CE043B" w:rsidRPr="00BF0050" w:rsidRDefault="00CE043B" w:rsidP="00B460B2">
            <w:pPr>
              <w:spacing w:before="40" w:after="40" w:line="240" w:lineRule="auto"/>
              <w:ind w:firstLine="0"/>
              <w:jc w:val="center"/>
            </w:pPr>
            <w:r w:rsidRPr="00BF0050">
              <w:t>1,2</w:t>
            </w:r>
          </w:p>
        </w:tc>
      </w:tr>
      <w:tr w:rsidR="00CE043B" w:rsidRPr="00BF0050" w:rsidTr="000D5110">
        <w:trPr>
          <w:jc w:val="center"/>
        </w:trPr>
        <w:tc>
          <w:tcPr>
            <w:tcW w:w="5020" w:type="dxa"/>
            <w:tcBorders>
              <w:top w:val="single" w:sz="4" w:space="0" w:color="auto"/>
              <w:right w:val="single" w:sz="4" w:space="0" w:color="auto"/>
            </w:tcBorders>
            <w:vAlign w:val="center"/>
          </w:tcPr>
          <w:p w:rsidR="00CE043B" w:rsidRPr="00BF0050" w:rsidRDefault="00CE043B" w:rsidP="000D5110">
            <w:pPr>
              <w:spacing w:line="300" w:lineRule="atLeast"/>
              <w:ind w:left="113" w:firstLine="0"/>
              <w:jc w:val="both"/>
              <w:rPr>
                <w:b/>
              </w:rPr>
            </w:pPr>
            <w:r w:rsidRPr="00BF0050">
              <w:rPr>
                <w:b/>
              </w:rPr>
              <w:t>Инфляция (ИПЦ )</w:t>
            </w:r>
          </w:p>
        </w:tc>
        <w:tc>
          <w:tcPr>
            <w:tcW w:w="1240" w:type="dxa"/>
            <w:tcBorders>
              <w:top w:val="single" w:sz="4" w:space="0" w:color="auto"/>
              <w:left w:val="single" w:sz="4" w:space="0" w:color="auto"/>
              <w:right w:val="nil"/>
            </w:tcBorders>
            <w:vAlign w:val="center"/>
          </w:tcPr>
          <w:p w:rsidR="00CE043B" w:rsidRPr="00BF0050" w:rsidRDefault="00CE043B" w:rsidP="00460BCB">
            <w:pPr>
              <w:spacing w:line="240" w:lineRule="auto"/>
              <w:ind w:firstLine="0"/>
              <w:jc w:val="center"/>
            </w:pPr>
            <w:r w:rsidRPr="00BF0050">
              <w:t>11,4</w:t>
            </w:r>
          </w:p>
        </w:tc>
        <w:tc>
          <w:tcPr>
            <w:tcW w:w="1240" w:type="dxa"/>
            <w:tcBorders>
              <w:top w:val="single" w:sz="4" w:space="0" w:color="auto"/>
              <w:left w:val="nil"/>
              <w:right w:val="nil"/>
            </w:tcBorders>
            <w:vAlign w:val="center"/>
          </w:tcPr>
          <w:p w:rsidR="00CE043B" w:rsidRPr="00BF0050" w:rsidRDefault="00CE043B" w:rsidP="00460BCB">
            <w:pPr>
              <w:spacing w:line="240" w:lineRule="auto"/>
              <w:ind w:firstLine="0"/>
              <w:jc w:val="center"/>
            </w:pPr>
            <w:r w:rsidRPr="00BF0050">
              <w:t>12,9</w:t>
            </w:r>
          </w:p>
        </w:tc>
        <w:tc>
          <w:tcPr>
            <w:tcW w:w="1240" w:type="dxa"/>
            <w:tcBorders>
              <w:top w:val="single" w:sz="4" w:space="0" w:color="auto"/>
              <w:left w:val="nil"/>
              <w:right w:val="nil"/>
            </w:tcBorders>
            <w:vAlign w:val="center"/>
          </w:tcPr>
          <w:p w:rsidR="00CE043B" w:rsidRPr="00BF0050" w:rsidRDefault="00CE043B" w:rsidP="00460BCB">
            <w:pPr>
              <w:spacing w:line="300" w:lineRule="atLeast"/>
              <w:ind w:firstLine="0"/>
              <w:jc w:val="center"/>
            </w:pPr>
            <w:r w:rsidRPr="00BF0050">
              <w:t>6,5</w:t>
            </w:r>
          </w:p>
        </w:tc>
        <w:tc>
          <w:tcPr>
            <w:tcW w:w="1411" w:type="dxa"/>
            <w:tcBorders>
              <w:top w:val="single" w:sz="4" w:space="0" w:color="auto"/>
              <w:left w:val="nil"/>
            </w:tcBorders>
            <w:vAlign w:val="center"/>
          </w:tcPr>
          <w:p w:rsidR="00CE043B" w:rsidRPr="00BF0050" w:rsidRDefault="00CE043B" w:rsidP="00460BCB">
            <w:pPr>
              <w:spacing w:line="300" w:lineRule="atLeast"/>
              <w:ind w:firstLine="0"/>
              <w:jc w:val="center"/>
            </w:pPr>
            <w:r w:rsidRPr="00BF0050">
              <w:t>4,9</w:t>
            </w:r>
          </w:p>
        </w:tc>
      </w:tr>
    </w:tbl>
    <w:p w:rsidR="00CE043B" w:rsidRPr="00BF0050" w:rsidRDefault="00CE043B" w:rsidP="000D5110">
      <w:pPr>
        <w:spacing w:before="360" w:after="0"/>
        <w:jc w:val="both"/>
        <w:rPr>
          <w:rFonts w:cstheme="minorBidi"/>
          <w:sz w:val="26"/>
          <w:szCs w:val="26"/>
        </w:rPr>
      </w:pPr>
      <w:r w:rsidRPr="00BF0050">
        <w:rPr>
          <w:sz w:val="26"/>
          <w:szCs w:val="26"/>
        </w:rPr>
        <w:t>В 2018 – 2019 гг. инфляция снизится примерно до 4,5 % и 4</w:t>
      </w:r>
      <w:r w:rsidR="00D22F0E" w:rsidRPr="00BF0050">
        <w:rPr>
          <w:sz w:val="26"/>
          <w:szCs w:val="26"/>
        </w:rPr>
        <w:t>,0</w:t>
      </w:r>
      <w:r w:rsidRPr="00BF0050">
        <w:rPr>
          <w:sz w:val="26"/>
          <w:szCs w:val="26"/>
        </w:rPr>
        <w:t xml:space="preserve"> % в условиях постепенного повышения реальных доходов и роста потребления населением. </w:t>
      </w:r>
      <w:r w:rsidRPr="00BF0050">
        <w:rPr>
          <w:rFonts w:cstheme="minorBidi"/>
          <w:sz w:val="26"/>
          <w:szCs w:val="26"/>
        </w:rPr>
        <w:t xml:space="preserve">По мере снижения инфляции денежная политика в этот период станет более умеренной, что будет способствовать росту производства и  </w:t>
      </w:r>
      <w:r w:rsidRPr="00BF0050">
        <w:rPr>
          <w:sz w:val="26"/>
          <w:szCs w:val="26"/>
        </w:rPr>
        <w:t>предложения потребительских товаров.</w:t>
      </w:r>
    </w:p>
    <w:p w:rsidR="00256C01" w:rsidRPr="00BF0050" w:rsidRDefault="00CE043B" w:rsidP="00B460B2">
      <w:pPr>
        <w:spacing w:before="0" w:after="0"/>
        <w:jc w:val="both"/>
        <w:rPr>
          <w:sz w:val="26"/>
          <w:szCs w:val="26"/>
        </w:rPr>
      </w:pPr>
      <w:r w:rsidRPr="00BF0050">
        <w:rPr>
          <w:sz w:val="26"/>
          <w:szCs w:val="26"/>
        </w:rPr>
        <w:t>В течение всего прогнозного периода будет продолжена политика сдержанного роста регулируемых тарифов в инфраструктурном секторе, особенно на коммунальные услуги. Ежегодный рост стоимости коммунальных услуг не превысит инфляцию текущего года, что обеспечит ежегодный вклад данного фактора в инфляцию около  0,3</w:t>
      </w:r>
      <w:r w:rsidR="00B13D70" w:rsidRPr="00BF0050">
        <w:rPr>
          <w:sz w:val="26"/>
          <w:szCs w:val="26"/>
        </w:rPr>
        <w:t> </w:t>
      </w:r>
      <w:r w:rsidRPr="00BF0050">
        <w:rPr>
          <w:sz w:val="26"/>
          <w:szCs w:val="26"/>
        </w:rPr>
        <w:t xml:space="preserve">проц. пункта. </w:t>
      </w:r>
    </w:p>
    <w:p w:rsidR="00256C01" w:rsidRPr="00BF0050" w:rsidRDefault="00256C01">
      <w:pPr>
        <w:spacing w:before="0" w:after="0" w:line="240" w:lineRule="auto"/>
        <w:ind w:firstLine="0"/>
        <w:rPr>
          <w:sz w:val="26"/>
          <w:szCs w:val="26"/>
        </w:rPr>
      </w:pPr>
      <w:r w:rsidRPr="00BF0050">
        <w:rPr>
          <w:sz w:val="26"/>
          <w:szCs w:val="26"/>
        </w:rPr>
        <w:br w:type="page"/>
      </w:r>
    </w:p>
    <w:p w:rsidR="00192260" w:rsidRPr="00BF0050" w:rsidRDefault="00391D6D" w:rsidP="005458C8">
      <w:pPr>
        <w:pStyle w:val="1"/>
        <w:numPr>
          <w:ilvl w:val="0"/>
          <w:numId w:val="3"/>
        </w:numPr>
        <w:spacing w:before="240" w:after="240" w:line="360" w:lineRule="exact"/>
        <w:ind w:left="1066" w:hanging="357"/>
        <w:jc w:val="center"/>
        <w:rPr>
          <w:rFonts w:ascii="Times New Roman" w:hAnsi="Times New Roman"/>
          <w:color w:val="auto"/>
          <w:sz w:val="26"/>
          <w:szCs w:val="26"/>
        </w:rPr>
      </w:pPr>
      <w:bookmarkStart w:id="55" w:name="_Toc447812946"/>
      <w:r w:rsidRPr="00BF0050">
        <w:rPr>
          <w:rFonts w:ascii="Times New Roman" w:hAnsi="Times New Roman"/>
          <w:color w:val="auto"/>
          <w:sz w:val="26"/>
          <w:szCs w:val="26"/>
        </w:rPr>
        <w:lastRenderedPageBreak/>
        <w:t>Т</w:t>
      </w:r>
      <w:r w:rsidR="004C5CAB" w:rsidRPr="00BF0050">
        <w:rPr>
          <w:rFonts w:ascii="Times New Roman" w:hAnsi="Times New Roman"/>
          <w:color w:val="auto"/>
          <w:sz w:val="26"/>
          <w:szCs w:val="26"/>
        </w:rPr>
        <w:t>арифы на товары (услуги) инфраструктурных компаний</w:t>
      </w:r>
      <w:bookmarkEnd w:id="55"/>
      <w:r w:rsidR="004C5CAB" w:rsidRPr="00BF0050">
        <w:rPr>
          <w:rFonts w:ascii="Times New Roman" w:hAnsi="Times New Roman"/>
          <w:color w:val="auto"/>
          <w:sz w:val="26"/>
          <w:szCs w:val="26"/>
        </w:rPr>
        <w:t xml:space="preserve"> </w:t>
      </w:r>
    </w:p>
    <w:p w:rsidR="003A19CB" w:rsidRPr="00BF0050" w:rsidRDefault="003A19CB" w:rsidP="0019491B">
      <w:pPr>
        <w:spacing w:before="0" w:after="0"/>
        <w:jc w:val="both"/>
        <w:rPr>
          <w:b/>
          <w:sz w:val="26"/>
          <w:szCs w:val="26"/>
        </w:rPr>
      </w:pPr>
      <w:r w:rsidRPr="00BF0050">
        <w:rPr>
          <w:b/>
          <w:sz w:val="26"/>
          <w:szCs w:val="26"/>
        </w:rPr>
        <w:t>Газ</w:t>
      </w:r>
    </w:p>
    <w:p w:rsidR="003A19CB" w:rsidRPr="00BF0050" w:rsidRDefault="003A19CB" w:rsidP="0019491B">
      <w:pPr>
        <w:spacing w:before="0" w:after="0"/>
        <w:jc w:val="both"/>
        <w:rPr>
          <w:sz w:val="26"/>
          <w:szCs w:val="26"/>
        </w:rPr>
      </w:pPr>
      <w:r w:rsidRPr="00BF0050">
        <w:rPr>
          <w:sz w:val="26"/>
          <w:szCs w:val="26"/>
        </w:rPr>
        <w:t>Цена на газ является одним из ключевых факторов, определяющим рост цен на электроэнергию, так как доля газа в конечной цене на электроэнергию в прогнозный период будет составлять примерно 30 % с незначительными колебаниями от года к году.</w:t>
      </w:r>
    </w:p>
    <w:p w:rsidR="003A19CB" w:rsidRPr="00BF0050" w:rsidRDefault="003A19CB" w:rsidP="0019491B">
      <w:pPr>
        <w:spacing w:before="0" w:after="0"/>
        <w:jc w:val="both"/>
        <w:rPr>
          <w:sz w:val="26"/>
          <w:szCs w:val="26"/>
        </w:rPr>
      </w:pPr>
      <w:r w:rsidRPr="00BF0050">
        <w:rPr>
          <w:sz w:val="26"/>
          <w:szCs w:val="26"/>
        </w:rPr>
        <w:t>В 2016 году индексация цен на газ для всех категорий потребителей составит 2</w:t>
      </w:r>
      <w:r w:rsidR="00256C01" w:rsidRPr="00BF0050">
        <w:rPr>
          <w:sz w:val="26"/>
          <w:szCs w:val="26"/>
        </w:rPr>
        <w:t> </w:t>
      </w:r>
      <w:r w:rsidRPr="00BF0050">
        <w:rPr>
          <w:sz w:val="26"/>
          <w:szCs w:val="26"/>
        </w:rPr>
        <w:t>% (в июле). В период 2017</w:t>
      </w:r>
      <w:r w:rsidR="00256C01" w:rsidRPr="00BF0050">
        <w:rPr>
          <w:sz w:val="26"/>
          <w:szCs w:val="26"/>
        </w:rPr>
        <w:t> </w:t>
      </w:r>
      <w:r w:rsidRPr="00BF0050">
        <w:rPr>
          <w:sz w:val="26"/>
          <w:szCs w:val="26"/>
        </w:rPr>
        <w:t>–</w:t>
      </w:r>
      <w:r w:rsidR="00256C01" w:rsidRPr="00BF0050">
        <w:rPr>
          <w:sz w:val="26"/>
          <w:szCs w:val="26"/>
        </w:rPr>
        <w:t> </w:t>
      </w:r>
      <w:r w:rsidRPr="00BF0050">
        <w:rPr>
          <w:sz w:val="26"/>
          <w:szCs w:val="26"/>
        </w:rPr>
        <w:t>2019 гг. оптовые цены на газ будут проиндексированы: для всех категорий потребителей, исключая население, на 2</w:t>
      </w:r>
      <w:r w:rsidR="00256C01" w:rsidRPr="00BF0050">
        <w:rPr>
          <w:sz w:val="26"/>
          <w:szCs w:val="26"/>
        </w:rPr>
        <w:t> </w:t>
      </w:r>
      <w:r w:rsidRPr="00BF0050">
        <w:rPr>
          <w:sz w:val="26"/>
          <w:szCs w:val="26"/>
        </w:rPr>
        <w:t>% ежегодно; для населения –  по  3</w:t>
      </w:r>
      <w:r w:rsidR="00256C01" w:rsidRPr="00BF0050">
        <w:rPr>
          <w:sz w:val="26"/>
          <w:szCs w:val="26"/>
        </w:rPr>
        <w:t> </w:t>
      </w:r>
      <w:r w:rsidRPr="00BF0050">
        <w:rPr>
          <w:sz w:val="26"/>
          <w:szCs w:val="26"/>
        </w:rPr>
        <w:t>% ежегодно.</w:t>
      </w:r>
    </w:p>
    <w:p w:rsidR="003A19CB" w:rsidRPr="00BF0050" w:rsidRDefault="003A19CB" w:rsidP="0019491B">
      <w:pPr>
        <w:spacing w:before="0" w:after="0"/>
        <w:jc w:val="both"/>
        <w:rPr>
          <w:sz w:val="26"/>
          <w:szCs w:val="26"/>
        </w:rPr>
      </w:pPr>
      <w:r w:rsidRPr="00BF0050">
        <w:rPr>
          <w:sz w:val="26"/>
          <w:szCs w:val="26"/>
        </w:rPr>
        <w:t xml:space="preserve">Индексация тарифов на транспортировку газа по магистральным газопроводам будет осуществлена в тех же размерах, что и для оптовых цен на газ. При этом в прогнозный период будут внесены изменения в Методику расчета тарифов на услуги по транспортировке газа по магистральным газопроводам, позволяющие более точно осуществить распределение затрат на транспортировку газа на экспорт и внутренний рынок. </w:t>
      </w:r>
    </w:p>
    <w:p w:rsidR="003A19CB" w:rsidRPr="00BF0050" w:rsidRDefault="003A19CB" w:rsidP="0019491B">
      <w:pPr>
        <w:spacing w:before="0" w:after="0"/>
        <w:jc w:val="both"/>
        <w:rPr>
          <w:sz w:val="26"/>
          <w:szCs w:val="26"/>
        </w:rPr>
      </w:pPr>
      <w:r w:rsidRPr="00BF0050">
        <w:rPr>
          <w:sz w:val="26"/>
          <w:szCs w:val="26"/>
        </w:rPr>
        <w:t>В прогнозный период в целях стимулирования роста потребления газа в Российской Федерации целесообразно разработать механизм расширения пропускной способности участков Единой системы газоснабжения, предусматривающий первоочередной порядок таких инвестиций со стороны собственника Единой системы газоснабжения.</w:t>
      </w:r>
    </w:p>
    <w:p w:rsidR="003A19CB" w:rsidRPr="00BF0050" w:rsidRDefault="003A19CB" w:rsidP="0019491B">
      <w:pPr>
        <w:spacing w:before="0" w:after="0"/>
        <w:jc w:val="both"/>
        <w:rPr>
          <w:sz w:val="26"/>
          <w:szCs w:val="26"/>
        </w:rPr>
      </w:pPr>
      <w:r w:rsidRPr="00BF0050">
        <w:rPr>
          <w:sz w:val="26"/>
          <w:szCs w:val="26"/>
        </w:rPr>
        <w:t xml:space="preserve">Дополнительно в целях совершенствования тарифных подходов к определению тарифов на транспортировку газа по газораспределительным сетям и размера платы за снабженческо-сбытовые услуги предполагается провести работу по совершенствованию действующих механизмов регулирования тарифа на транспортировку газа по газораспределительным сетям и размера платы за снабженческо-сбытовые услуги с целью выработки подходов к регулированию указанных тарифов с учетом необходимости обеспечения финансирования инвестиционной деятельности газораспределительных организаций при условии </w:t>
      </w:r>
      <w:proofErr w:type="spellStart"/>
      <w:r w:rsidRPr="00BF0050">
        <w:rPr>
          <w:sz w:val="26"/>
          <w:szCs w:val="26"/>
        </w:rPr>
        <w:t>непревышения</w:t>
      </w:r>
      <w:proofErr w:type="spellEnd"/>
      <w:r w:rsidRPr="00BF0050">
        <w:rPr>
          <w:sz w:val="26"/>
          <w:szCs w:val="26"/>
        </w:rPr>
        <w:t xml:space="preserve"> роста конечных цен над параметрами прогноза социально-экономического развития Российской Федерации.</w:t>
      </w:r>
    </w:p>
    <w:p w:rsidR="003A19CB" w:rsidRPr="00BF0050" w:rsidRDefault="003A19CB" w:rsidP="0019491B">
      <w:pPr>
        <w:jc w:val="both"/>
        <w:rPr>
          <w:b/>
          <w:sz w:val="26"/>
          <w:szCs w:val="26"/>
        </w:rPr>
      </w:pPr>
      <w:r w:rsidRPr="00BF0050">
        <w:rPr>
          <w:b/>
          <w:sz w:val="26"/>
          <w:szCs w:val="26"/>
        </w:rPr>
        <w:t xml:space="preserve">Электроэнергетика </w:t>
      </w:r>
    </w:p>
    <w:p w:rsidR="003A19CB" w:rsidRPr="00BF0050" w:rsidRDefault="003A19CB" w:rsidP="0019491B">
      <w:pPr>
        <w:shd w:val="clear" w:color="auto" w:fill="FFFFFF" w:themeFill="background1"/>
        <w:spacing w:before="0" w:after="0"/>
        <w:jc w:val="both"/>
        <w:rPr>
          <w:sz w:val="26"/>
          <w:szCs w:val="26"/>
        </w:rPr>
      </w:pPr>
      <w:r w:rsidRPr="00BF0050">
        <w:rPr>
          <w:sz w:val="26"/>
          <w:szCs w:val="26"/>
        </w:rPr>
        <w:t>В 2016 году среднегодовой рост конечных цен на электроэнергию для всех категорий потребителей к предыдущему году ожидается в размере 7,5–8,2</w:t>
      </w:r>
      <w:r w:rsidR="00256C01" w:rsidRPr="00BF0050">
        <w:rPr>
          <w:sz w:val="26"/>
          <w:szCs w:val="26"/>
        </w:rPr>
        <w:t> </w:t>
      </w:r>
      <w:r w:rsidRPr="00BF0050">
        <w:rPr>
          <w:sz w:val="26"/>
          <w:szCs w:val="26"/>
        </w:rPr>
        <w:t>%, или примерно на 0,5 проц. пункта ниже, чем прогнозировалось ранее, что обусловлено  снижением спроса со стороны потребителей, а также изменениями в структуре потребления в реальном секторе.</w:t>
      </w:r>
    </w:p>
    <w:p w:rsidR="003A19CB" w:rsidRPr="00BF0050" w:rsidRDefault="003A19CB" w:rsidP="0019491B">
      <w:pPr>
        <w:shd w:val="clear" w:color="auto" w:fill="FFFFFF" w:themeFill="background1"/>
        <w:spacing w:before="0" w:after="0"/>
        <w:jc w:val="both"/>
        <w:rPr>
          <w:sz w:val="26"/>
          <w:szCs w:val="26"/>
        </w:rPr>
      </w:pPr>
      <w:r w:rsidRPr="00BF0050">
        <w:rPr>
          <w:sz w:val="26"/>
          <w:szCs w:val="26"/>
        </w:rPr>
        <w:t>По предварительной оценке, в 2017 году конечные цены на электроэнергию на розничном рынке вырастут для всех категорий потребителей на 7,1</w:t>
      </w:r>
      <w:r w:rsidR="00256C01" w:rsidRPr="00BF0050">
        <w:rPr>
          <w:sz w:val="26"/>
          <w:szCs w:val="26"/>
        </w:rPr>
        <w:t> </w:t>
      </w:r>
      <w:r w:rsidRPr="00BF0050">
        <w:rPr>
          <w:sz w:val="26"/>
          <w:szCs w:val="26"/>
        </w:rPr>
        <w:t xml:space="preserve">% в среднем за год, </w:t>
      </w:r>
      <w:r w:rsidRPr="00BF0050">
        <w:rPr>
          <w:sz w:val="26"/>
          <w:szCs w:val="26"/>
        </w:rPr>
        <w:lastRenderedPageBreak/>
        <w:t>в 2018 году – на 5,4–5,9</w:t>
      </w:r>
      <w:r w:rsidR="00256C01" w:rsidRPr="00BF0050">
        <w:rPr>
          <w:sz w:val="26"/>
          <w:szCs w:val="26"/>
        </w:rPr>
        <w:t> </w:t>
      </w:r>
      <w:r w:rsidR="00D22F0E" w:rsidRPr="00BF0050">
        <w:rPr>
          <w:sz w:val="26"/>
          <w:szCs w:val="26"/>
        </w:rPr>
        <w:t>%</w:t>
      </w:r>
      <w:r w:rsidRPr="00BF0050">
        <w:rPr>
          <w:sz w:val="26"/>
          <w:szCs w:val="26"/>
        </w:rPr>
        <w:t xml:space="preserve">, в 2019 году рост цен на электроэнергию составит            </w:t>
      </w:r>
      <w:r w:rsidR="00D22F0E" w:rsidRPr="00BF0050">
        <w:rPr>
          <w:sz w:val="26"/>
          <w:szCs w:val="26"/>
        </w:rPr>
        <w:t xml:space="preserve">     </w:t>
      </w:r>
      <w:r w:rsidRPr="00BF0050">
        <w:rPr>
          <w:sz w:val="26"/>
          <w:szCs w:val="26"/>
        </w:rPr>
        <w:t xml:space="preserve"> 5,1–5,6 процента. </w:t>
      </w:r>
    </w:p>
    <w:p w:rsidR="003A19CB" w:rsidRPr="00BF0050" w:rsidRDefault="003A19CB" w:rsidP="0019491B">
      <w:pPr>
        <w:shd w:val="clear" w:color="auto" w:fill="FFFFFF" w:themeFill="background1"/>
        <w:spacing w:before="0" w:after="0"/>
        <w:jc w:val="both"/>
        <w:rPr>
          <w:sz w:val="26"/>
          <w:szCs w:val="26"/>
        </w:rPr>
      </w:pPr>
      <w:r w:rsidRPr="00BF0050">
        <w:rPr>
          <w:sz w:val="26"/>
          <w:szCs w:val="26"/>
        </w:rPr>
        <w:t>Рост регулируемых тарифов сетевых организаций для потребителей кроме населения (прочих) в среднем за 2017 год составит 6,3 % (индексация в июле на 5,0 %),   в</w:t>
      </w:r>
      <w:r w:rsidR="00F73328" w:rsidRPr="00BF0050">
        <w:t> </w:t>
      </w:r>
      <w:r w:rsidRPr="00BF0050">
        <w:rPr>
          <w:sz w:val="26"/>
          <w:szCs w:val="26"/>
        </w:rPr>
        <w:t>2018 году – 4,5 % (4,0 %), в 2019 году – 4,0 % (4,0 процента). При этом размер индексации тарифов для отдельных сетевых организаций может быть дифференцирован с</w:t>
      </w:r>
      <w:r w:rsidR="00F73328" w:rsidRPr="00BF0050">
        <w:rPr>
          <w:sz w:val="26"/>
          <w:szCs w:val="26"/>
        </w:rPr>
        <w:t> </w:t>
      </w:r>
      <w:r w:rsidRPr="00BF0050">
        <w:rPr>
          <w:sz w:val="26"/>
          <w:szCs w:val="26"/>
        </w:rPr>
        <w:t xml:space="preserve">целью обеспечения их безубыточности. В целях снижения объема перекрестного субсидирования в электросетевом комплексе размер индексации тарифов сетевых организаций для населения </w:t>
      </w:r>
      <w:r w:rsidR="00F73328" w:rsidRPr="00BF0050">
        <w:rPr>
          <w:sz w:val="26"/>
          <w:szCs w:val="26"/>
        </w:rPr>
        <w:t>составит</w:t>
      </w:r>
      <w:r w:rsidR="00256C01" w:rsidRPr="00BF0050">
        <w:rPr>
          <w:sz w:val="26"/>
          <w:szCs w:val="26"/>
        </w:rPr>
        <w:t>:</w:t>
      </w:r>
      <w:r w:rsidR="00F73328" w:rsidRPr="00BF0050">
        <w:rPr>
          <w:sz w:val="26"/>
          <w:szCs w:val="26"/>
        </w:rPr>
        <w:t xml:space="preserve"> </w:t>
      </w:r>
      <w:r w:rsidRPr="00BF0050">
        <w:rPr>
          <w:sz w:val="26"/>
          <w:szCs w:val="26"/>
        </w:rPr>
        <w:t xml:space="preserve">в 2017 году </w:t>
      </w:r>
      <w:r w:rsidR="00256C01" w:rsidRPr="00BF0050">
        <w:rPr>
          <w:sz w:val="26"/>
          <w:szCs w:val="26"/>
        </w:rPr>
        <w:t>–</w:t>
      </w:r>
      <w:r w:rsidRPr="00BF0050">
        <w:rPr>
          <w:sz w:val="26"/>
          <w:szCs w:val="26"/>
        </w:rPr>
        <w:t xml:space="preserve"> 7,0 %, в 2018 году – 6,0 %, в 2019 году – 6,0 процента.  </w:t>
      </w:r>
    </w:p>
    <w:p w:rsidR="003A19CB" w:rsidRPr="00BF0050" w:rsidRDefault="003A19CB" w:rsidP="0019491B">
      <w:pPr>
        <w:shd w:val="clear" w:color="auto" w:fill="FFFFFF" w:themeFill="background1"/>
        <w:spacing w:before="0" w:after="0"/>
        <w:jc w:val="both"/>
        <w:rPr>
          <w:sz w:val="26"/>
          <w:szCs w:val="26"/>
        </w:rPr>
      </w:pPr>
      <w:r w:rsidRPr="00BF0050">
        <w:rPr>
          <w:sz w:val="26"/>
          <w:szCs w:val="26"/>
        </w:rPr>
        <w:t>Долгосрочные параметры регулирования территориальных сетевых организаций по методу доходности инвестированного капитала в прогнозн</w:t>
      </w:r>
      <w:r w:rsidR="00F73328" w:rsidRPr="00BF0050">
        <w:rPr>
          <w:sz w:val="26"/>
          <w:szCs w:val="26"/>
        </w:rPr>
        <w:t>ый</w:t>
      </w:r>
      <w:r w:rsidRPr="00BF0050">
        <w:rPr>
          <w:sz w:val="26"/>
          <w:szCs w:val="26"/>
        </w:rPr>
        <w:t xml:space="preserve"> период будут сохранены. При необходимости будут продлены сроки долгосрочного периода регулирования. Для ПАО «ФСК ЕЭС» продолжат действие долгосрочные параметры тарифов на период </w:t>
      </w:r>
      <w:r w:rsidR="00F73328" w:rsidRPr="00BF0050">
        <w:rPr>
          <w:sz w:val="26"/>
          <w:szCs w:val="26"/>
        </w:rPr>
        <w:t xml:space="preserve">   </w:t>
      </w:r>
      <w:r w:rsidRPr="00BF0050">
        <w:rPr>
          <w:sz w:val="26"/>
          <w:szCs w:val="26"/>
        </w:rPr>
        <w:t>2015</w:t>
      </w:r>
      <w:r w:rsidR="00564254" w:rsidRPr="00BF0050">
        <w:rPr>
          <w:sz w:val="26"/>
          <w:szCs w:val="26"/>
        </w:rPr>
        <w:t> – </w:t>
      </w:r>
      <w:r w:rsidRPr="00BF0050">
        <w:rPr>
          <w:sz w:val="26"/>
          <w:szCs w:val="26"/>
        </w:rPr>
        <w:t xml:space="preserve">2019 гг. (второй регуляторный период), предусматривающие рост тарифа на уровне среднего по Российской Федерации темпа индексации тарифа на услуги по передаче электроэнергии. </w:t>
      </w:r>
    </w:p>
    <w:p w:rsidR="003A19CB" w:rsidRPr="00BF0050" w:rsidRDefault="003A19CB" w:rsidP="0019491B">
      <w:pPr>
        <w:shd w:val="clear" w:color="auto" w:fill="FFFFFF" w:themeFill="background1"/>
        <w:spacing w:before="0" w:after="0"/>
        <w:jc w:val="both"/>
        <w:rPr>
          <w:sz w:val="26"/>
          <w:szCs w:val="26"/>
        </w:rPr>
      </w:pPr>
      <w:r w:rsidRPr="00BF0050">
        <w:rPr>
          <w:sz w:val="26"/>
          <w:szCs w:val="26"/>
        </w:rPr>
        <w:t>Кроме того, будет продолжена работа по повышению доступности технологического присоединения к электрическим сетям в рамках реализации распоряжения Правительства Российской Федерации от 30 июня 2012 г. № 1144-р.</w:t>
      </w:r>
    </w:p>
    <w:p w:rsidR="003A19CB" w:rsidRPr="00BF0050" w:rsidRDefault="003A19CB" w:rsidP="0019491B">
      <w:pPr>
        <w:shd w:val="clear" w:color="auto" w:fill="FFFFFF" w:themeFill="background1"/>
        <w:spacing w:before="0" w:after="0"/>
        <w:jc w:val="both"/>
        <w:rPr>
          <w:sz w:val="26"/>
          <w:szCs w:val="26"/>
        </w:rPr>
      </w:pPr>
      <w:r w:rsidRPr="00BF0050">
        <w:rPr>
          <w:sz w:val="26"/>
          <w:szCs w:val="26"/>
        </w:rPr>
        <w:t>На оптовом рынке прогнозируется</w:t>
      </w:r>
      <w:r w:rsidR="00F73328" w:rsidRPr="00BF0050">
        <w:rPr>
          <w:sz w:val="26"/>
          <w:szCs w:val="26"/>
        </w:rPr>
        <w:t xml:space="preserve"> рост цен</w:t>
      </w:r>
      <w:r w:rsidRPr="00BF0050">
        <w:rPr>
          <w:sz w:val="26"/>
          <w:szCs w:val="26"/>
        </w:rPr>
        <w:t xml:space="preserve">: в 2017 году </w:t>
      </w:r>
      <w:r w:rsidR="00F73328" w:rsidRPr="00BF0050">
        <w:rPr>
          <w:sz w:val="26"/>
          <w:szCs w:val="26"/>
        </w:rPr>
        <w:t>–</w:t>
      </w:r>
      <w:r w:rsidRPr="00BF0050">
        <w:rPr>
          <w:sz w:val="26"/>
          <w:szCs w:val="26"/>
        </w:rPr>
        <w:t xml:space="preserve"> на уровне 7,5 %, </w:t>
      </w:r>
      <w:r w:rsidR="00F73328" w:rsidRPr="00BF0050">
        <w:rPr>
          <w:sz w:val="26"/>
          <w:szCs w:val="26"/>
        </w:rPr>
        <w:t xml:space="preserve">              </w:t>
      </w:r>
      <w:r w:rsidRPr="00BF0050">
        <w:rPr>
          <w:sz w:val="26"/>
          <w:szCs w:val="26"/>
        </w:rPr>
        <w:t>в 2018 году – 5,5</w:t>
      </w:r>
      <w:r w:rsidR="00F73328" w:rsidRPr="00BF0050">
        <w:rPr>
          <w:sz w:val="26"/>
          <w:szCs w:val="26"/>
        </w:rPr>
        <w:t>–</w:t>
      </w:r>
      <w:r w:rsidRPr="00BF0050">
        <w:rPr>
          <w:sz w:val="26"/>
          <w:szCs w:val="26"/>
        </w:rPr>
        <w:t>6,5 %, в 2019 году – 5,5</w:t>
      </w:r>
      <w:r w:rsidR="00F73328" w:rsidRPr="00BF0050">
        <w:rPr>
          <w:sz w:val="26"/>
          <w:szCs w:val="26"/>
        </w:rPr>
        <w:t>–</w:t>
      </w:r>
      <w:r w:rsidRPr="00BF0050">
        <w:rPr>
          <w:sz w:val="26"/>
          <w:szCs w:val="26"/>
        </w:rPr>
        <w:t>6,5 процента. Превышение рост</w:t>
      </w:r>
      <w:r w:rsidR="00D22F0E" w:rsidRPr="00BF0050">
        <w:rPr>
          <w:sz w:val="26"/>
          <w:szCs w:val="26"/>
        </w:rPr>
        <w:t>а</w:t>
      </w:r>
      <w:r w:rsidRPr="00BF0050">
        <w:rPr>
          <w:sz w:val="26"/>
          <w:szCs w:val="26"/>
        </w:rPr>
        <w:t xml:space="preserve"> цен на оптовом рынке уровня инфляции в 2017 году в основном обусловлено продолжением ввода новой мощности по договорам о предоставлении мощности.</w:t>
      </w:r>
    </w:p>
    <w:p w:rsidR="003A19CB" w:rsidRPr="00BF0050" w:rsidRDefault="003A19CB" w:rsidP="00B460B2">
      <w:pPr>
        <w:widowControl w:val="0"/>
        <w:ind w:firstLine="720"/>
        <w:rPr>
          <w:b/>
          <w:bCs/>
          <w:sz w:val="26"/>
          <w:szCs w:val="26"/>
        </w:rPr>
      </w:pPr>
      <w:r w:rsidRPr="00BF0050">
        <w:rPr>
          <w:b/>
          <w:bCs/>
          <w:sz w:val="26"/>
          <w:szCs w:val="26"/>
        </w:rPr>
        <w:t>Жилищно-коммунальное хозяйство</w:t>
      </w:r>
    </w:p>
    <w:p w:rsidR="003A19CB" w:rsidRPr="00BF0050" w:rsidRDefault="003A19CB" w:rsidP="0019491B">
      <w:pPr>
        <w:spacing w:before="0" w:after="0"/>
        <w:jc w:val="both"/>
        <w:rPr>
          <w:sz w:val="26"/>
          <w:szCs w:val="26"/>
        </w:rPr>
      </w:pPr>
      <w:r w:rsidRPr="00BF0050">
        <w:rPr>
          <w:sz w:val="26"/>
          <w:szCs w:val="26"/>
        </w:rPr>
        <w:t>Предельные индексы изменения платы граждан</w:t>
      </w:r>
      <w:r w:rsidR="00564254" w:rsidRPr="00BF0050">
        <w:rPr>
          <w:sz w:val="26"/>
          <w:szCs w:val="26"/>
        </w:rPr>
        <w:t>ами</w:t>
      </w:r>
      <w:r w:rsidRPr="00BF0050">
        <w:rPr>
          <w:sz w:val="26"/>
          <w:szCs w:val="26"/>
        </w:rPr>
        <w:t xml:space="preserve"> за коммунальные услуги (без учета услуг по вывозу и утилизации </w:t>
      </w:r>
      <w:r w:rsidR="00F35E13" w:rsidRPr="00BF0050">
        <w:rPr>
          <w:sz w:val="26"/>
          <w:szCs w:val="26"/>
        </w:rPr>
        <w:t>бытовых отходов</w:t>
      </w:r>
      <w:r w:rsidRPr="00BF0050">
        <w:rPr>
          <w:sz w:val="26"/>
          <w:szCs w:val="26"/>
        </w:rPr>
        <w:t xml:space="preserve">, входящих в состав коммунальных услуг </w:t>
      </w:r>
      <w:r w:rsidR="00564254" w:rsidRPr="00BF0050">
        <w:rPr>
          <w:sz w:val="26"/>
          <w:szCs w:val="26"/>
        </w:rPr>
        <w:t>с </w:t>
      </w:r>
      <w:r w:rsidRPr="00BF0050">
        <w:rPr>
          <w:sz w:val="26"/>
          <w:szCs w:val="26"/>
        </w:rPr>
        <w:t>01.01.2017</w:t>
      </w:r>
      <w:r w:rsidR="00F35E13" w:rsidRPr="00BF0050">
        <w:rPr>
          <w:sz w:val="26"/>
          <w:szCs w:val="26"/>
        </w:rPr>
        <w:t xml:space="preserve"> г.</w:t>
      </w:r>
      <w:r w:rsidRPr="00BF0050">
        <w:rPr>
          <w:sz w:val="26"/>
          <w:szCs w:val="26"/>
        </w:rPr>
        <w:t>) составят: с июля 2017 г</w:t>
      </w:r>
      <w:r w:rsidR="00F73328" w:rsidRPr="00BF0050">
        <w:rPr>
          <w:sz w:val="26"/>
          <w:szCs w:val="26"/>
        </w:rPr>
        <w:t>.</w:t>
      </w:r>
      <w:r w:rsidRPr="00BF0050">
        <w:rPr>
          <w:sz w:val="26"/>
          <w:szCs w:val="26"/>
        </w:rPr>
        <w:t xml:space="preserve"> – 4,8</w:t>
      </w:r>
      <w:r w:rsidR="00F73328" w:rsidRPr="00BF0050">
        <w:rPr>
          <w:sz w:val="26"/>
          <w:szCs w:val="26"/>
        </w:rPr>
        <w:t> </w:t>
      </w:r>
      <w:r w:rsidRPr="00BF0050">
        <w:rPr>
          <w:sz w:val="26"/>
          <w:szCs w:val="26"/>
        </w:rPr>
        <w:t>%, с июля 2018 г</w:t>
      </w:r>
      <w:r w:rsidR="00F73328" w:rsidRPr="00BF0050">
        <w:rPr>
          <w:sz w:val="26"/>
          <w:szCs w:val="26"/>
        </w:rPr>
        <w:t>.</w:t>
      </w:r>
      <w:r w:rsidRPr="00BF0050">
        <w:rPr>
          <w:sz w:val="26"/>
          <w:szCs w:val="26"/>
        </w:rPr>
        <w:t xml:space="preserve"> – 4,3</w:t>
      </w:r>
      <w:r w:rsidR="00F73328" w:rsidRPr="00BF0050">
        <w:rPr>
          <w:sz w:val="26"/>
          <w:szCs w:val="26"/>
        </w:rPr>
        <w:t> </w:t>
      </w:r>
      <w:r w:rsidRPr="00BF0050">
        <w:rPr>
          <w:sz w:val="26"/>
          <w:szCs w:val="26"/>
        </w:rPr>
        <w:t>%, с июля 2019</w:t>
      </w:r>
      <w:r w:rsidR="002A051C" w:rsidRPr="00BF0050">
        <w:rPr>
          <w:sz w:val="26"/>
          <w:szCs w:val="26"/>
        </w:rPr>
        <w:t> </w:t>
      </w:r>
      <w:r w:rsidR="00F73328" w:rsidRPr="00BF0050">
        <w:rPr>
          <w:sz w:val="26"/>
          <w:szCs w:val="26"/>
        </w:rPr>
        <w:t xml:space="preserve">г. </w:t>
      </w:r>
      <w:r w:rsidRPr="00BF0050">
        <w:rPr>
          <w:sz w:val="26"/>
          <w:szCs w:val="26"/>
        </w:rPr>
        <w:t>– 4</w:t>
      </w:r>
      <w:r w:rsidR="00F73328" w:rsidRPr="00BF0050">
        <w:rPr>
          <w:sz w:val="26"/>
          <w:szCs w:val="26"/>
        </w:rPr>
        <w:t>,</w:t>
      </w:r>
      <w:r w:rsidR="00FD37E6" w:rsidRPr="00BF0050">
        <w:rPr>
          <w:sz w:val="26"/>
          <w:szCs w:val="26"/>
        </w:rPr>
        <w:t>0 </w:t>
      </w:r>
      <w:r w:rsidRPr="00BF0050">
        <w:rPr>
          <w:sz w:val="26"/>
          <w:szCs w:val="26"/>
        </w:rPr>
        <w:t>процента.</w:t>
      </w:r>
    </w:p>
    <w:p w:rsidR="003A19CB" w:rsidRPr="00BF0050" w:rsidRDefault="003A19CB" w:rsidP="0019491B">
      <w:pPr>
        <w:widowControl w:val="0"/>
        <w:spacing w:before="0" w:after="0"/>
        <w:jc w:val="both"/>
        <w:rPr>
          <w:sz w:val="26"/>
          <w:szCs w:val="26"/>
        </w:rPr>
      </w:pPr>
      <w:r w:rsidRPr="00BF0050">
        <w:rPr>
          <w:sz w:val="26"/>
          <w:szCs w:val="26"/>
        </w:rPr>
        <w:t>Тарифы на тепловую энергию будут проиндексированы с июля 2017 г</w:t>
      </w:r>
      <w:r w:rsidR="00F73328" w:rsidRPr="00BF0050">
        <w:rPr>
          <w:sz w:val="26"/>
          <w:szCs w:val="26"/>
        </w:rPr>
        <w:t>.</w:t>
      </w:r>
      <w:r w:rsidRPr="00BF0050">
        <w:rPr>
          <w:sz w:val="26"/>
          <w:szCs w:val="26"/>
        </w:rPr>
        <w:t xml:space="preserve"> на 4,1</w:t>
      </w:r>
      <w:r w:rsidR="00F73328" w:rsidRPr="00BF0050">
        <w:rPr>
          <w:sz w:val="26"/>
          <w:szCs w:val="26"/>
        </w:rPr>
        <w:t> </w:t>
      </w:r>
      <w:r w:rsidRPr="00BF0050">
        <w:rPr>
          <w:sz w:val="26"/>
          <w:szCs w:val="26"/>
        </w:rPr>
        <w:t>%, с</w:t>
      </w:r>
      <w:r w:rsidR="00F73328" w:rsidRPr="00BF0050">
        <w:rPr>
          <w:sz w:val="26"/>
          <w:szCs w:val="26"/>
        </w:rPr>
        <w:t> </w:t>
      </w:r>
      <w:r w:rsidRPr="00BF0050">
        <w:rPr>
          <w:sz w:val="26"/>
          <w:szCs w:val="26"/>
        </w:rPr>
        <w:t>июля 2018 г</w:t>
      </w:r>
      <w:r w:rsidR="00F73328" w:rsidRPr="00BF0050">
        <w:rPr>
          <w:sz w:val="26"/>
          <w:szCs w:val="26"/>
        </w:rPr>
        <w:t xml:space="preserve">. – </w:t>
      </w:r>
      <w:r w:rsidRPr="00BF0050">
        <w:rPr>
          <w:sz w:val="26"/>
          <w:szCs w:val="26"/>
        </w:rPr>
        <w:t xml:space="preserve"> на 3,9</w:t>
      </w:r>
      <w:r w:rsidR="00F73328" w:rsidRPr="00BF0050">
        <w:rPr>
          <w:sz w:val="26"/>
          <w:szCs w:val="26"/>
        </w:rPr>
        <w:t xml:space="preserve"> </w:t>
      </w:r>
      <w:r w:rsidRPr="00BF0050">
        <w:rPr>
          <w:sz w:val="26"/>
          <w:szCs w:val="26"/>
        </w:rPr>
        <w:t>% и с июля 2019 г</w:t>
      </w:r>
      <w:r w:rsidR="00F73328" w:rsidRPr="00BF0050">
        <w:rPr>
          <w:sz w:val="26"/>
          <w:szCs w:val="26"/>
        </w:rPr>
        <w:t>. –</w:t>
      </w:r>
      <w:r w:rsidRPr="00BF0050">
        <w:rPr>
          <w:sz w:val="26"/>
          <w:szCs w:val="26"/>
        </w:rPr>
        <w:t xml:space="preserve"> на 3,7 процента. Тарифы на водоснабжени</w:t>
      </w:r>
      <w:r w:rsidR="00F73328" w:rsidRPr="00BF0050">
        <w:rPr>
          <w:sz w:val="26"/>
          <w:szCs w:val="26"/>
        </w:rPr>
        <w:t>е</w:t>
      </w:r>
      <w:r w:rsidRPr="00BF0050">
        <w:rPr>
          <w:sz w:val="26"/>
          <w:szCs w:val="26"/>
        </w:rPr>
        <w:t xml:space="preserve"> в</w:t>
      </w:r>
      <w:r w:rsidR="00F73328" w:rsidRPr="00BF0050">
        <w:rPr>
          <w:sz w:val="26"/>
          <w:szCs w:val="26"/>
        </w:rPr>
        <w:t> </w:t>
      </w:r>
      <w:r w:rsidRPr="00BF0050">
        <w:rPr>
          <w:sz w:val="26"/>
          <w:szCs w:val="26"/>
        </w:rPr>
        <w:t>данный период будут проиндексированы на 6,2</w:t>
      </w:r>
      <w:r w:rsidR="00F73328" w:rsidRPr="00BF0050">
        <w:rPr>
          <w:sz w:val="26"/>
          <w:szCs w:val="26"/>
        </w:rPr>
        <w:t> </w:t>
      </w:r>
      <w:r w:rsidRPr="00BF0050">
        <w:rPr>
          <w:sz w:val="26"/>
          <w:szCs w:val="26"/>
        </w:rPr>
        <w:t>%, 6</w:t>
      </w:r>
      <w:r w:rsidR="00F73328" w:rsidRPr="00BF0050">
        <w:rPr>
          <w:sz w:val="26"/>
          <w:szCs w:val="26"/>
        </w:rPr>
        <w:t>,0 </w:t>
      </w:r>
      <w:r w:rsidRPr="00BF0050">
        <w:rPr>
          <w:sz w:val="26"/>
          <w:szCs w:val="26"/>
        </w:rPr>
        <w:t>% и 4,7</w:t>
      </w:r>
      <w:r w:rsidR="00F73328" w:rsidRPr="00BF0050">
        <w:rPr>
          <w:sz w:val="26"/>
          <w:szCs w:val="26"/>
        </w:rPr>
        <w:t xml:space="preserve"> </w:t>
      </w:r>
      <w:r w:rsidRPr="00BF0050">
        <w:rPr>
          <w:sz w:val="26"/>
          <w:szCs w:val="26"/>
        </w:rPr>
        <w:t>% соответственно. Ключевыми факторами изменения стоимости коммунальных услуг служат индексация  цен на газ и рост цен на электроэнергию, которые</w:t>
      </w:r>
      <w:r w:rsidR="00564254" w:rsidRPr="00BF0050">
        <w:rPr>
          <w:sz w:val="26"/>
          <w:szCs w:val="26"/>
        </w:rPr>
        <w:t>,</w:t>
      </w:r>
      <w:r w:rsidRPr="00BF0050">
        <w:rPr>
          <w:sz w:val="26"/>
          <w:szCs w:val="26"/>
        </w:rPr>
        <w:t xml:space="preserve"> в свою очередь</w:t>
      </w:r>
      <w:r w:rsidR="00564254" w:rsidRPr="00BF0050">
        <w:rPr>
          <w:sz w:val="26"/>
          <w:szCs w:val="26"/>
        </w:rPr>
        <w:t>,</w:t>
      </w:r>
      <w:r w:rsidRPr="00BF0050">
        <w:rPr>
          <w:sz w:val="26"/>
          <w:szCs w:val="26"/>
        </w:rPr>
        <w:t xml:space="preserve"> являются входящими издержками организаций теплоснабжения и водоснабжения. До конца 2016 года закончится формирование нормативно-правовой основы для поэтапного перехода на новый метод регулирования рынка тепловой энергии на основе предельного уровня цены (альтернативной котельной).</w:t>
      </w:r>
    </w:p>
    <w:p w:rsidR="00564254" w:rsidRPr="00BF0050" w:rsidRDefault="00564254">
      <w:pPr>
        <w:spacing w:before="0" w:after="0" w:line="240" w:lineRule="auto"/>
        <w:ind w:firstLine="0"/>
        <w:rPr>
          <w:b/>
          <w:bCs/>
          <w:sz w:val="26"/>
          <w:szCs w:val="26"/>
        </w:rPr>
      </w:pPr>
      <w:r w:rsidRPr="00BF0050">
        <w:rPr>
          <w:b/>
          <w:bCs/>
          <w:sz w:val="26"/>
          <w:szCs w:val="26"/>
        </w:rPr>
        <w:br w:type="page"/>
      </w:r>
    </w:p>
    <w:p w:rsidR="003A19CB" w:rsidRPr="00BF0050" w:rsidRDefault="003A19CB" w:rsidP="00B460B2">
      <w:pPr>
        <w:ind w:firstLine="720"/>
        <w:jc w:val="both"/>
        <w:rPr>
          <w:bCs/>
          <w:sz w:val="26"/>
          <w:szCs w:val="26"/>
        </w:rPr>
      </w:pPr>
      <w:r w:rsidRPr="00BF0050">
        <w:rPr>
          <w:b/>
          <w:bCs/>
          <w:sz w:val="26"/>
          <w:szCs w:val="26"/>
        </w:rPr>
        <w:lastRenderedPageBreak/>
        <w:t>Железнодорожные перевозки</w:t>
      </w:r>
      <w:r w:rsidRPr="00BF0050">
        <w:rPr>
          <w:bCs/>
          <w:sz w:val="26"/>
          <w:szCs w:val="26"/>
        </w:rPr>
        <w:t xml:space="preserve"> </w:t>
      </w:r>
    </w:p>
    <w:p w:rsidR="003A19CB" w:rsidRPr="00BF0050" w:rsidRDefault="003A19CB" w:rsidP="0019491B">
      <w:pPr>
        <w:spacing w:before="0" w:after="0"/>
        <w:ind w:firstLine="720"/>
        <w:jc w:val="both"/>
        <w:rPr>
          <w:sz w:val="26"/>
          <w:szCs w:val="26"/>
        </w:rPr>
      </w:pPr>
      <w:r w:rsidRPr="00BF0050">
        <w:rPr>
          <w:sz w:val="26"/>
          <w:szCs w:val="26"/>
        </w:rPr>
        <w:t xml:space="preserve">С 2014 года был осуществлен переход на долгосрочное тарифное регулирование грузовых железнодорожных перевозок методом доходности на инвестированный капитал. </w:t>
      </w:r>
    </w:p>
    <w:p w:rsidR="003A19CB" w:rsidRPr="00BF0050" w:rsidRDefault="003A19CB" w:rsidP="0019491B">
      <w:pPr>
        <w:spacing w:before="0" w:after="0"/>
        <w:ind w:firstLine="720"/>
        <w:jc w:val="both"/>
        <w:rPr>
          <w:sz w:val="26"/>
          <w:szCs w:val="26"/>
        </w:rPr>
      </w:pPr>
      <w:r w:rsidRPr="00BF0050">
        <w:rPr>
          <w:sz w:val="26"/>
          <w:szCs w:val="26"/>
        </w:rPr>
        <w:t>В 2015 году с целью восстановления доходной базы ОАО «РЖД» было принято решение по индексации тарифов на 10 %, с учетом предоставления бюджетных дотаций в  размере 30 млрд. рублей.</w:t>
      </w:r>
    </w:p>
    <w:p w:rsidR="003A19CB" w:rsidRPr="00BF0050" w:rsidRDefault="003A19CB" w:rsidP="0019491B">
      <w:pPr>
        <w:spacing w:before="0" w:after="0"/>
        <w:ind w:firstLine="720"/>
        <w:jc w:val="both"/>
        <w:rPr>
          <w:sz w:val="26"/>
          <w:szCs w:val="26"/>
        </w:rPr>
      </w:pPr>
      <w:r w:rsidRPr="00BF0050">
        <w:rPr>
          <w:sz w:val="26"/>
          <w:szCs w:val="26"/>
        </w:rPr>
        <w:t xml:space="preserve">В 2016 году индексация тарифов составила 9 </w:t>
      </w:r>
      <w:r w:rsidR="00F73328" w:rsidRPr="00BF0050">
        <w:rPr>
          <w:sz w:val="26"/>
          <w:szCs w:val="26"/>
        </w:rPr>
        <w:t>процентов</w:t>
      </w:r>
      <w:r w:rsidRPr="00BF0050">
        <w:rPr>
          <w:sz w:val="26"/>
          <w:szCs w:val="26"/>
        </w:rPr>
        <w:t>. Выделение государственных  субсидий в 2016 году не предусмотрено.</w:t>
      </w:r>
    </w:p>
    <w:p w:rsidR="003A19CB" w:rsidRPr="00BF0050" w:rsidRDefault="003A19CB" w:rsidP="0019491B">
      <w:pPr>
        <w:spacing w:before="0" w:after="0"/>
        <w:ind w:firstLine="720"/>
        <w:jc w:val="both"/>
        <w:rPr>
          <w:sz w:val="26"/>
          <w:szCs w:val="26"/>
        </w:rPr>
      </w:pPr>
      <w:r w:rsidRPr="00BF0050">
        <w:rPr>
          <w:sz w:val="26"/>
          <w:szCs w:val="26"/>
        </w:rPr>
        <w:t>В целях недопущения избыточного роста транспортных издержек экономики в  2017</w:t>
      </w:r>
      <w:r w:rsidR="00564254" w:rsidRPr="00BF0050">
        <w:rPr>
          <w:sz w:val="26"/>
          <w:szCs w:val="26"/>
        </w:rPr>
        <w:t> </w:t>
      </w:r>
      <w:r w:rsidRPr="00BF0050">
        <w:rPr>
          <w:sz w:val="26"/>
          <w:szCs w:val="26"/>
        </w:rPr>
        <w:t>–</w:t>
      </w:r>
      <w:r w:rsidR="00564254" w:rsidRPr="00BF0050">
        <w:rPr>
          <w:sz w:val="26"/>
          <w:szCs w:val="26"/>
        </w:rPr>
        <w:t> </w:t>
      </w:r>
      <w:r w:rsidRPr="00BF0050">
        <w:rPr>
          <w:sz w:val="26"/>
          <w:szCs w:val="26"/>
        </w:rPr>
        <w:t>2019 гг. будет осуществлено сдерживание темпов роста тарифов на грузовые перевозки, для чего в настоящее время разрабатываются системные меры по оптимизации издержек и повышению эффективности ОАО «РЖД». В таких условиях параметры индексации цен на грузовые перевозки составят 4,5 %, 4,5 % и 4,2% соответственно.</w:t>
      </w:r>
    </w:p>
    <w:p w:rsidR="003A19CB" w:rsidRPr="00BF0050" w:rsidRDefault="003A19CB" w:rsidP="0019491B">
      <w:pPr>
        <w:spacing w:before="0" w:after="0"/>
        <w:ind w:firstLine="720"/>
        <w:jc w:val="both"/>
        <w:rPr>
          <w:sz w:val="26"/>
          <w:szCs w:val="26"/>
        </w:rPr>
      </w:pPr>
      <w:r w:rsidRPr="00BF0050">
        <w:rPr>
          <w:sz w:val="26"/>
          <w:szCs w:val="26"/>
        </w:rPr>
        <w:t>С целью стимулирования грузоотправителей ОАО «РЖД» будет продолжена практика применения механизма ценового коридора.</w:t>
      </w:r>
    </w:p>
    <w:p w:rsidR="003A19CB" w:rsidRPr="00BF0050" w:rsidRDefault="003A19CB" w:rsidP="0019491B">
      <w:pPr>
        <w:spacing w:before="0" w:after="0"/>
        <w:jc w:val="both"/>
        <w:rPr>
          <w:sz w:val="26"/>
          <w:szCs w:val="26"/>
        </w:rPr>
      </w:pPr>
      <w:r w:rsidRPr="00BF0050">
        <w:rPr>
          <w:sz w:val="26"/>
          <w:szCs w:val="26"/>
        </w:rPr>
        <w:t>В отношении цен на услуги по предоставлению грузовых вагонов для железнодорожных перевозок, которые не регулируются государством, необходимо отметить, что</w:t>
      </w:r>
      <w:r w:rsidR="00F35E13" w:rsidRPr="00BF0050">
        <w:rPr>
          <w:sz w:val="26"/>
          <w:szCs w:val="26"/>
        </w:rPr>
        <w:t>,</w:t>
      </w:r>
      <w:r w:rsidRPr="00BF0050">
        <w:rPr>
          <w:sz w:val="26"/>
          <w:szCs w:val="26"/>
        </w:rPr>
        <w:t xml:space="preserve"> начиная с 2013 года</w:t>
      </w:r>
      <w:r w:rsidR="00F35E13" w:rsidRPr="00BF0050">
        <w:rPr>
          <w:sz w:val="26"/>
          <w:szCs w:val="26"/>
        </w:rPr>
        <w:t>,</w:t>
      </w:r>
      <w:r w:rsidRPr="00BF0050">
        <w:rPr>
          <w:sz w:val="26"/>
          <w:szCs w:val="26"/>
        </w:rPr>
        <w:t xml:space="preserve"> отмечалось снижение ставок. В 2016 году ставка за пользование полувагоном составляет 550– 650 рублей за вагон в сутки, что соответствует среднегодовому уровню 2014 года.  </w:t>
      </w:r>
    </w:p>
    <w:p w:rsidR="003A19CB" w:rsidRPr="00BF0050" w:rsidRDefault="003A19CB" w:rsidP="0019491B">
      <w:pPr>
        <w:spacing w:before="0" w:after="0"/>
        <w:jc w:val="both"/>
        <w:rPr>
          <w:sz w:val="26"/>
          <w:szCs w:val="26"/>
        </w:rPr>
      </w:pPr>
      <w:r w:rsidRPr="00BF0050">
        <w:rPr>
          <w:sz w:val="26"/>
          <w:szCs w:val="26"/>
        </w:rPr>
        <w:t>В 2017</w:t>
      </w:r>
      <w:r w:rsidR="00F73328" w:rsidRPr="00BF0050">
        <w:rPr>
          <w:sz w:val="26"/>
          <w:szCs w:val="26"/>
        </w:rPr>
        <w:t xml:space="preserve"> – </w:t>
      </w:r>
      <w:r w:rsidRPr="00BF0050">
        <w:rPr>
          <w:sz w:val="26"/>
          <w:szCs w:val="26"/>
        </w:rPr>
        <w:t>2019 гг. ожидается умеренный рост цен на услуги по предоставлению грузовых вагонов для железнодорожных перевозок. При этом с целью недопущения нерыночных способов воздействия на соответствующие цены будет усилен антимонопольный контроль.</w:t>
      </w:r>
    </w:p>
    <w:p w:rsidR="003A19CB" w:rsidRPr="00BF0050" w:rsidRDefault="003A19CB" w:rsidP="0019491B">
      <w:pPr>
        <w:spacing w:before="0" w:after="0"/>
        <w:jc w:val="both"/>
        <w:rPr>
          <w:sz w:val="26"/>
          <w:szCs w:val="26"/>
        </w:rPr>
      </w:pPr>
      <w:r w:rsidRPr="00BF0050">
        <w:rPr>
          <w:sz w:val="26"/>
          <w:szCs w:val="26"/>
        </w:rPr>
        <w:t>Для повышения доступности услуг железнодорожного транспорта будут предприняты меры по повышению прозрачности и доступности перевозочной статистики и соответствующих информационных систем, в том числе для целей запуска электронной торговой площадки, обеспечивающей удаленный доступ малых и средних грузоотправителей к заказу услуг по перевозке грузов</w:t>
      </w:r>
      <w:r w:rsidR="00564254" w:rsidRPr="00BF0050">
        <w:rPr>
          <w:sz w:val="26"/>
          <w:szCs w:val="26"/>
        </w:rPr>
        <w:t>.</w:t>
      </w:r>
    </w:p>
    <w:p w:rsidR="003A19CB" w:rsidRPr="00BF0050" w:rsidRDefault="003A19CB" w:rsidP="0019491B">
      <w:pPr>
        <w:spacing w:before="0" w:after="0"/>
        <w:jc w:val="both"/>
      </w:pPr>
      <w:r w:rsidRPr="00BF0050">
        <w:rPr>
          <w:sz w:val="26"/>
          <w:szCs w:val="26"/>
        </w:rPr>
        <w:t xml:space="preserve">Повышение тарифов на пассажирские перевозки в регулируемом секторе                     </w:t>
      </w:r>
      <w:r w:rsidR="00F73328" w:rsidRPr="00BF0050">
        <w:rPr>
          <w:sz w:val="26"/>
          <w:szCs w:val="26"/>
        </w:rPr>
        <w:t xml:space="preserve">в </w:t>
      </w:r>
      <w:r w:rsidRPr="00BF0050">
        <w:rPr>
          <w:sz w:val="26"/>
          <w:szCs w:val="26"/>
        </w:rPr>
        <w:t>2015</w:t>
      </w:r>
      <w:r w:rsidR="00564254" w:rsidRPr="00BF0050">
        <w:rPr>
          <w:sz w:val="26"/>
          <w:szCs w:val="26"/>
        </w:rPr>
        <w:t> </w:t>
      </w:r>
      <w:r w:rsidRPr="00BF0050">
        <w:rPr>
          <w:sz w:val="26"/>
          <w:szCs w:val="26"/>
        </w:rPr>
        <w:t>–</w:t>
      </w:r>
      <w:r w:rsidR="00564254" w:rsidRPr="00BF0050">
        <w:rPr>
          <w:sz w:val="26"/>
          <w:szCs w:val="26"/>
        </w:rPr>
        <w:t> </w:t>
      </w:r>
      <w:r w:rsidRPr="00BF0050">
        <w:rPr>
          <w:sz w:val="26"/>
          <w:szCs w:val="26"/>
        </w:rPr>
        <w:t>2017 гг. будет соответствовать темпам рост</w:t>
      </w:r>
      <w:r w:rsidR="00F73328" w:rsidRPr="00BF0050">
        <w:rPr>
          <w:sz w:val="26"/>
          <w:szCs w:val="26"/>
        </w:rPr>
        <w:t>а</w:t>
      </w:r>
      <w:r w:rsidRPr="00BF0050">
        <w:rPr>
          <w:sz w:val="26"/>
          <w:szCs w:val="26"/>
        </w:rPr>
        <w:t xml:space="preserve"> цен на грузовые перевозки. Это объясняется тем, что темпы роста тарифов на услуги инфраструктуры для пассажирских перевозок соответствуют темпам роста тарифов на грузовые перевозки.</w:t>
      </w:r>
    </w:p>
    <w:p w:rsidR="003A19CB" w:rsidRPr="00BF0050" w:rsidRDefault="003A19CB" w:rsidP="0019491B">
      <w:pPr>
        <w:spacing w:before="0" w:after="0"/>
        <w:jc w:val="both"/>
        <w:rPr>
          <w:sz w:val="26"/>
          <w:szCs w:val="26"/>
        </w:rPr>
      </w:pPr>
      <w:r w:rsidRPr="00BF0050">
        <w:rPr>
          <w:sz w:val="26"/>
          <w:szCs w:val="26"/>
        </w:rPr>
        <w:t xml:space="preserve">Будет изменен подход к государственному субсидированию пассажирского комплекса в дальнем следовании путем перехода к модели государственного заказа перевозок, имеющих социальное значение, и либерализации коммерческих. </w:t>
      </w:r>
    </w:p>
    <w:p w:rsidR="00F73328" w:rsidRPr="00BF0050" w:rsidRDefault="003A19CB" w:rsidP="00B460B2">
      <w:pPr>
        <w:spacing w:before="0" w:after="0"/>
        <w:jc w:val="both"/>
        <w:rPr>
          <w:sz w:val="26"/>
          <w:szCs w:val="26"/>
        </w:rPr>
      </w:pPr>
      <w:r w:rsidRPr="00BF0050">
        <w:rPr>
          <w:sz w:val="26"/>
          <w:szCs w:val="26"/>
        </w:rPr>
        <w:lastRenderedPageBreak/>
        <w:t>Реализация данного подхода будет сопровождаться оптимизацией маршрутной сети, выработкой стандарта транспортного обслуживания и созданием стимулирующей к улучшению качества работы перевозчика тарифной систем</w:t>
      </w:r>
      <w:r w:rsidR="001C2006" w:rsidRPr="00BF0050">
        <w:rPr>
          <w:sz w:val="26"/>
          <w:szCs w:val="26"/>
        </w:rPr>
        <w:t>ы</w:t>
      </w:r>
      <w:r w:rsidRPr="00BF0050">
        <w:rPr>
          <w:sz w:val="26"/>
          <w:szCs w:val="26"/>
        </w:rPr>
        <w:t>.</w:t>
      </w:r>
    </w:p>
    <w:p w:rsidR="00CF0FFD" w:rsidRPr="00BF0050" w:rsidRDefault="00CF0FFD" w:rsidP="00CC0A8C">
      <w:pPr>
        <w:pStyle w:val="1"/>
        <w:numPr>
          <w:ilvl w:val="0"/>
          <w:numId w:val="3"/>
        </w:numPr>
        <w:spacing w:before="240" w:after="240" w:line="360" w:lineRule="exact"/>
        <w:ind w:left="0" w:firstLine="0"/>
        <w:jc w:val="center"/>
        <w:rPr>
          <w:rFonts w:ascii="Times New Roman" w:hAnsi="Times New Roman"/>
          <w:color w:val="auto"/>
          <w:sz w:val="26"/>
          <w:szCs w:val="26"/>
        </w:rPr>
      </w:pPr>
      <w:bookmarkStart w:id="56" w:name="_Toc447721552"/>
      <w:bookmarkStart w:id="57" w:name="_Toc447812947"/>
      <w:bookmarkEnd w:id="56"/>
      <w:r w:rsidRPr="00BF0050">
        <w:rPr>
          <w:rFonts w:ascii="Times New Roman" w:hAnsi="Times New Roman"/>
          <w:color w:val="auto"/>
          <w:sz w:val="26"/>
          <w:szCs w:val="26"/>
        </w:rPr>
        <w:t>Риски базового сценария прогноза</w:t>
      </w:r>
      <w:bookmarkEnd w:id="57"/>
    </w:p>
    <w:p w:rsidR="0086186C" w:rsidRPr="00BF0050" w:rsidRDefault="0086186C" w:rsidP="005458C8">
      <w:pPr>
        <w:jc w:val="both"/>
        <w:rPr>
          <w:b/>
          <w:bCs/>
          <w:color w:val="000000" w:themeColor="text1"/>
          <w:sz w:val="26"/>
          <w:szCs w:val="26"/>
        </w:rPr>
      </w:pPr>
      <w:r w:rsidRPr="00BF0050">
        <w:rPr>
          <w:b/>
          <w:bCs/>
          <w:color w:val="000000" w:themeColor="text1"/>
          <w:sz w:val="26"/>
          <w:szCs w:val="26"/>
        </w:rPr>
        <w:t xml:space="preserve">Риски недостижения целевых параметров по инфляции </w:t>
      </w:r>
    </w:p>
    <w:p w:rsidR="007F4861" w:rsidRPr="00BF0050" w:rsidRDefault="007F4861" w:rsidP="007F4861">
      <w:pPr>
        <w:spacing w:before="0" w:after="0"/>
        <w:jc w:val="both"/>
        <w:rPr>
          <w:bCs/>
          <w:color w:val="000000" w:themeColor="text1"/>
          <w:sz w:val="26"/>
          <w:szCs w:val="26"/>
        </w:rPr>
      </w:pPr>
      <w:r w:rsidRPr="00BF0050">
        <w:rPr>
          <w:bCs/>
          <w:color w:val="000000" w:themeColor="text1"/>
          <w:sz w:val="26"/>
          <w:szCs w:val="26"/>
        </w:rPr>
        <w:t>Основные риски превышения прогнозируемого уровня инфляции будут определяться более низкими ценами на нефть по сравнению с базовым сценарием. Данная ситуация предполагает возобновление ослабления курса рубля</w:t>
      </w:r>
      <w:r w:rsidR="00C56EAF" w:rsidRPr="00BF0050">
        <w:rPr>
          <w:bCs/>
          <w:color w:val="000000" w:themeColor="text1"/>
          <w:sz w:val="26"/>
          <w:szCs w:val="26"/>
        </w:rPr>
        <w:t xml:space="preserve"> и</w:t>
      </w:r>
      <w:r w:rsidRPr="00BF0050">
        <w:rPr>
          <w:bCs/>
          <w:color w:val="000000" w:themeColor="text1"/>
          <w:sz w:val="26"/>
          <w:szCs w:val="26"/>
        </w:rPr>
        <w:t xml:space="preserve"> волатильность его изменения. </w:t>
      </w:r>
    </w:p>
    <w:p w:rsidR="0086186C" w:rsidRPr="00BF0050" w:rsidRDefault="0086186C" w:rsidP="00B7719A">
      <w:pPr>
        <w:jc w:val="both"/>
        <w:rPr>
          <w:b/>
          <w:bCs/>
          <w:color w:val="000000" w:themeColor="text1"/>
          <w:sz w:val="26"/>
          <w:szCs w:val="26"/>
        </w:rPr>
      </w:pPr>
      <w:r w:rsidRPr="00BF0050">
        <w:rPr>
          <w:b/>
          <w:bCs/>
          <w:color w:val="000000" w:themeColor="text1"/>
          <w:sz w:val="26"/>
          <w:szCs w:val="26"/>
        </w:rPr>
        <w:t xml:space="preserve">Риски по демографии и трудовым ресурсам </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t>Сокращение численности населения в трудоспособном возрасте остается одним из рисков социально-экономического развития как в среднесрочном, так и в долгосрочном периоде. Тенденция сокращения численности населения в трудоспособном возрасте сохранится вплоть до 2026 года. Потери самой востребованной и производительной категории трудовых ресурсов могут составить 3,6 млн. человек к  2019 году и 5,9 млн. человек к 2026 году. В процентном отношении к среднегодовой численности занятых в</w:t>
      </w:r>
      <w:r w:rsidR="00AA2779" w:rsidRPr="00BF0050">
        <w:rPr>
          <w:bCs/>
          <w:color w:val="000000" w:themeColor="text1"/>
          <w:sz w:val="26"/>
          <w:szCs w:val="26"/>
        </w:rPr>
        <w:t> </w:t>
      </w:r>
      <w:r w:rsidRPr="00BF0050">
        <w:rPr>
          <w:bCs/>
          <w:color w:val="000000" w:themeColor="text1"/>
          <w:sz w:val="26"/>
          <w:szCs w:val="26"/>
        </w:rPr>
        <w:t xml:space="preserve">2015 году эти потери составят 5,2 и 8,6 % соответственно. </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t xml:space="preserve">Частично дефицит трудовых ресурсов может быть компенсирован за счет повышения экономической активности. Однако это направление имеет очень ограниченный потенциал: в средних возрастах (30–49 лет) коэффициенты экономический активности практически не меняются, </w:t>
      </w:r>
      <w:r w:rsidR="00180A64" w:rsidRPr="00BF0050">
        <w:rPr>
          <w:bCs/>
          <w:color w:val="000000" w:themeColor="text1"/>
          <w:sz w:val="26"/>
          <w:szCs w:val="26"/>
        </w:rPr>
        <w:t>так как</w:t>
      </w:r>
      <w:r w:rsidRPr="00BF0050">
        <w:rPr>
          <w:bCs/>
          <w:color w:val="000000" w:themeColor="text1"/>
          <w:sz w:val="26"/>
          <w:szCs w:val="26"/>
        </w:rPr>
        <w:t xml:space="preserve"> у российского населения </w:t>
      </w:r>
      <w:r w:rsidR="00564254" w:rsidRPr="00BF0050">
        <w:rPr>
          <w:bCs/>
          <w:color w:val="000000" w:themeColor="text1"/>
          <w:sz w:val="26"/>
          <w:szCs w:val="26"/>
        </w:rPr>
        <w:t xml:space="preserve">они </w:t>
      </w:r>
      <w:r w:rsidR="00180A64" w:rsidRPr="00BF0050">
        <w:rPr>
          <w:bCs/>
          <w:color w:val="000000" w:themeColor="text1"/>
          <w:sz w:val="26"/>
          <w:szCs w:val="26"/>
        </w:rPr>
        <w:t xml:space="preserve">уже сейчас </w:t>
      </w:r>
      <w:r w:rsidRPr="00BF0050">
        <w:rPr>
          <w:bCs/>
          <w:color w:val="000000" w:themeColor="text1"/>
          <w:sz w:val="26"/>
          <w:szCs w:val="26"/>
        </w:rPr>
        <w:t xml:space="preserve">близки к </w:t>
      </w:r>
      <w:proofErr w:type="gramStart"/>
      <w:r w:rsidRPr="00BF0050">
        <w:rPr>
          <w:bCs/>
          <w:color w:val="000000" w:themeColor="text1"/>
          <w:sz w:val="26"/>
          <w:szCs w:val="26"/>
        </w:rPr>
        <w:t>максимальным</w:t>
      </w:r>
      <w:proofErr w:type="gramEnd"/>
      <w:r w:rsidRPr="00BF0050">
        <w:rPr>
          <w:bCs/>
          <w:color w:val="000000" w:themeColor="text1"/>
          <w:sz w:val="26"/>
          <w:szCs w:val="26"/>
        </w:rPr>
        <w:t xml:space="preserve">. </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t>Еще одним риском ухудшения демографической структуры является рост численности населения старше трудоспособного возраста, а значит и демографической нагрузки. Пик роста демографической нагрузки приходится на 2026 год. Количество нетрудоспособных граждан на 1000 лиц трудоспособного возраста может вырасти к</w:t>
      </w:r>
      <w:r w:rsidR="00180A64" w:rsidRPr="00BF0050">
        <w:rPr>
          <w:bCs/>
          <w:color w:val="000000" w:themeColor="text1"/>
          <w:sz w:val="26"/>
          <w:szCs w:val="26"/>
        </w:rPr>
        <w:t> </w:t>
      </w:r>
      <w:r w:rsidRPr="00BF0050">
        <w:rPr>
          <w:bCs/>
          <w:color w:val="000000" w:themeColor="text1"/>
          <w:sz w:val="26"/>
          <w:szCs w:val="26"/>
        </w:rPr>
        <w:t xml:space="preserve">этому периоду на 146 человек или на 20,1 %, что увеличит нагрузку на социальный сектор экономики и прежде всего в области здравоохранения и пенсионного обеспечения. </w:t>
      </w:r>
    </w:p>
    <w:p w:rsidR="0086186C" w:rsidRPr="00BF0050" w:rsidRDefault="0086186C" w:rsidP="005458C8">
      <w:pPr>
        <w:jc w:val="both"/>
        <w:rPr>
          <w:b/>
          <w:bCs/>
          <w:color w:val="000000" w:themeColor="text1"/>
          <w:sz w:val="26"/>
          <w:szCs w:val="26"/>
        </w:rPr>
      </w:pPr>
      <w:r w:rsidRPr="00BF0050">
        <w:rPr>
          <w:b/>
          <w:bCs/>
          <w:color w:val="000000" w:themeColor="text1"/>
          <w:sz w:val="26"/>
          <w:szCs w:val="26"/>
        </w:rPr>
        <w:t>Риски повышения волатильности внутреннего финансового рынка и</w:t>
      </w:r>
      <w:r w:rsidR="00180A64" w:rsidRPr="00BF0050">
        <w:rPr>
          <w:b/>
          <w:bCs/>
          <w:color w:val="000000" w:themeColor="text1"/>
          <w:sz w:val="26"/>
          <w:szCs w:val="26"/>
        </w:rPr>
        <w:t> </w:t>
      </w:r>
      <w:r w:rsidRPr="00BF0050">
        <w:rPr>
          <w:b/>
          <w:bCs/>
          <w:color w:val="000000" w:themeColor="text1"/>
          <w:sz w:val="26"/>
          <w:szCs w:val="26"/>
        </w:rPr>
        <w:t xml:space="preserve">ограничений внутреннего кредитования </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t>В случае повышения ставки ФРС США (</w:t>
      </w:r>
      <w:proofErr w:type="spellStart"/>
      <w:r w:rsidRPr="00BF0050">
        <w:rPr>
          <w:bCs/>
          <w:color w:val="000000" w:themeColor="text1"/>
          <w:sz w:val="26"/>
          <w:szCs w:val="26"/>
        </w:rPr>
        <w:t>Federal</w:t>
      </w:r>
      <w:proofErr w:type="spellEnd"/>
      <w:r w:rsidRPr="00BF0050">
        <w:rPr>
          <w:bCs/>
          <w:color w:val="000000" w:themeColor="text1"/>
          <w:sz w:val="26"/>
          <w:szCs w:val="26"/>
        </w:rPr>
        <w:t xml:space="preserve"> </w:t>
      </w:r>
      <w:proofErr w:type="spellStart"/>
      <w:r w:rsidRPr="00BF0050">
        <w:rPr>
          <w:bCs/>
          <w:color w:val="000000" w:themeColor="text1"/>
          <w:sz w:val="26"/>
          <w:szCs w:val="26"/>
        </w:rPr>
        <w:t>Fund</w:t>
      </w:r>
      <w:proofErr w:type="spellEnd"/>
      <w:r w:rsidRPr="00BF0050">
        <w:rPr>
          <w:bCs/>
          <w:color w:val="000000" w:themeColor="text1"/>
          <w:sz w:val="26"/>
          <w:szCs w:val="26"/>
        </w:rPr>
        <w:t xml:space="preserve"> </w:t>
      </w:r>
      <w:proofErr w:type="spellStart"/>
      <w:r w:rsidRPr="00BF0050">
        <w:rPr>
          <w:bCs/>
          <w:color w:val="000000" w:themeColor="text1"/>
          <w:sz w:val="26"/>
          <w:szCs w:val="26"/>
        </w:rPr>
        <w:t>Rate</w:t>
      </w:r>
      <w:proofErr w:type="spellEnd"/>
      <w:r w:rsidRPr="00BF0050">
        <w:rPr>
          <w:bCs/>
          <w:color w:val="000000" w:themeColor="text1"/>
          <w:sz w:val="26"/>
          <w:szCs w:val="26"/>
        </w:rPr>
        <w:t xml:space="preserve">) доллар начнет укрепляться и, как следствие, оказывать понижающее давление на биржевые цены товаров, которые на мировых рынках сырья котируются в долларах </w:t>
      </w:r>
      <w:r w:rsidR="00180A64" w:rsidRPr="00BF0050">
        <w:rPr>
          <w:bCs/>
          <w:color w:val="000000" w:themeColor="text1"/>
          <w:sz w:val="26"/>
          <w:szCs w:val="26"/>
        </w:rPr>
        <w:t xml:space="preserve">США </w:t>
      </w:r>
      <w:r w:rsidRPr="00BF0050">
        <w:rPr>
          <w:bCs/>
          <w:color w:val="000000" w:themeColor="text1"/>
          <w:sz w:val="26"/>
          <w:szCs w:val="26"/>
        </w:rPr>
        <w:t>(нефть, золото), что отразится на объемах и направлениях финансовых потоков между внутренней экономикой и остальным миром. В свою очередь, могут меняться ключевые кросс-курсы валют.</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lastRenderedPageBreak/>
        <w:t xml:space="preserve">Волатильность пары евро/доллар может повысить волатильность внутреннего финансового рынка и риск усиления оттока капитала. Внутренние риски для развития экономики также могут быть связаны с кредитным сжатием. Высокие процентные ставки и низкая доступность кредита ухудшают и ограничивают ресурсную базу производителей, динамику потребительского и инвестиционного спроса. </w:t>
      </w:r>
    </w:p>
    <w:p w:rsidR="0086186C" w:rsidRPr="00BF0050" w:rsidRDefault="0086186C" w:rsidP="00B7719A">
      <w:pPr>
        <w:jc w:val="both"/>
        <w:rPr>
          <w:b/>
          <w:bCs/>
          <w:color w:val="000000" w:themeColor="text1"/>
          <w:sz w:val="26"/>
          <w:szCs w:val="26"/>
        </w:rPr>
      </w:pPr>
      <w:r w:rsidRPr="00BF0050">
        <w:rPr>
          <w:b/>
          <w:bCs/>
          <w:color w:val="000000" w:themeColor="text1"/>
          <w:sz w:val="26"/>
          <w:szCs w:val="26"/>
        </w:rPr>
        <w:t xml:space="preserve">Риски недостижения прогнозируемых параметров (динамики и объемов) внутреннего спроса (потребительского, инвестиционного) и ВВП </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t>Этот риск связан с возможной реализацией одного или нескольких из вышеупомянутых видов рисков. Ограничения могут носить как финансовый, так и</w:t>
      </w:r>
      <w:r w:rsidR="00180A64" w:rsidRPr="00BF0050">
        <w:rPr>
          <w:bCs/>
          <w:color w:val="000000" w:themeColor="text1"/>
          <w:sz w:val="26"/>
          <w:szCs w:val="26"/>
        </w:rPr>
        <w:t> </w:t>
      </w:r>
      <w:r w:rsidRPr="00BF0050">
        <w:rPr>
          <w:bCs/>
          <w:color w:val="000000" w:themeColor="text1"/>
          <w:sz w:val="26"/>
          <w:szCs w:val="26"/>
        </w:rPr>
        <w:t>нефинансовый характер.</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t>С точки зрения финансовых ресурсов возможен риск двух типов. С одной стороны</w:t>
      </w:r>
      <w:r w:rsidR="00B7719A" w:rsidRPr="00BF0050">
        <w:rPr>
          <w:bCs/>
          <w:color w:val="000000" w:themeColor="text1"/>
          <w:sz w:val="26"/>
          <w:szCs w:val="26"/>
        </w:rPr>
        <w:t>,</w:t>
      </w:r>
      <w:r w:rsidRPr="00BF0050">
        <w:rPr>
          <w:bCs/>
          <w:color w:val="000000" w:themeColor="text1"/>
          <w:sz w:val="26"/>
          <w:szCs w:val="26"/>
        </w:rPr>
        <w:t xml:space="preserve"> он может быть связан с их внутренней нехваткой и сложностью привлечения заемных средств. С другой стороны</w:t>
      </w:r>
      <w:r w:rsidR="00180A64" w:rsidRPr="00BF0050">
        <w:rPr>
          <w:bCs/>
          <w:color w:val="000000" w:themeColor="text1"/>
          <w:sz w:val="26"/>
          <w:szCs w:val="26"/>
        </w:rPr>
        <w:t>,</w:t>
      </w:r>
      <w:r w:rsidRPr="00BF0050">
        <w:rPr>
          <w:bCs/>
          <w:color w:val="000000" w:themeColor="text1"/>
          <w:sz w:val="26"/>
          <w:szCs w:val="26"/>
        </w:rPr>
        <w:t xml:space="preserve"> риск заключается в недостаточной эффективности использования финансовых средств или в возможных ограничениях на их инвестирование в определенные отрасли (из-за санкций).</w:t>
      </w:r>
    </w:p>
    <w:p w:rsidR="0086186C" w:rsidRPr="00BF0050" w:rsidRDefault="0086186C" w:rsidP="005458C8">
      <w:pPr>
        <w:spacing w:before="0" w:after="0"/>
        <w:jc w:val="both"/>
        <w:rPr>
          <w:bCs/>
          <w:color w:val="000000" w:themeColor="text1"/>
          <w:sz w:val="26"/>
          <w:szCs w:val="26"/>
        </w:rPr>
      </w:pPr>
      <w:r w:rsidRPr="00BF0050">
        <w:rPr>
          <w:bCs/>
          <w:color w:val="000000" w:themeColor="text1"/>
          <w:sz w:val="26"/>
          <w:szCs w:val="26"/>
        </w:rPr>
        <w:t xml:space="preserve">Риски нефинансового характера связаны </w:t>
      </w:r>
      <w:r w:rsidR="00180A64" w:rsidRPr="00BF0050">
        <w:rPr>
          <w:bCs/>
          <w:color w:val="000000" w:themeColor="text1"/>
          <w:sz w:val="26"/>
          <w:szCs w:val="26"/>
        </w:rPr>
        <w:t xml:space="preserve">с </w:t>
      </w:r>
      <w:r w:rsidRPr="00BF0050">
        <w:rPr>
          <w:bCs/>
          <w:color w:val="000000" w:themeColor="text1"/>
          <w:sz w:val="26"/>
          <w:szCs w:val="26"/>
        </w:rPr>
        <w:t>возможностями модернизации и</w:t>
      </w:r>
      <w:r w:rsidR="00180A64" w:rsidRPr="00BF0050">
        <w:rPr>
          <w:bCs/>
          <w:color w:val="000000" w:themeColor="text1"/>
          <w:sz w:val="26"/>
          <w:szCs w:val="26"/>
        </w:rPr>
        <w:t> </w:t>
      </w:r>
      <w:r w:rsidRPr="00BF0050">
        <w:rPr>
          <w:bCs/>
          <w:color w:val="000000" w:themeColor="text1"/>
          <w:sz w:val="26"/>
          <w:szCs w:val="26"/>
        </w:rPr>
        <w:t xml:space="preserve">достижением предела в загрузке конкурентоспособных производственных мощностей. </w:t>
      </w:r>
    </w:p>
    <w:p w:rsidR="00180A64" w:rsidRPr="00BF0050" w:rsidRDefault="00A0416D" w:rsidP="006E4F82">
      <w:pPr>
        <w:spacing w:before="0" w:after="0"/>
        <w:jc w:val="both"/>
        <w:rPr>
          <w:bCs/>
          <w:color w:val="000000" w:themeColor="text1"/>
          <w:sz w:val="26"/>
          <w:szCs w:val="26"/>
        </w:rPr>
      </w:pPr>
      <w:r w:rsidRPr="00BF0050">
        <w:rPr>
          <w:bCs/>
          <w:color w:val="000000" w:themeColor="text1"/>
          <w:sz w:val="26"/>
          <w:szCs w:val="26"/>
        </w:rPr>
        <w:t>Реализация этих рисков может привести к оттоку капитала и ослаблению курса рубля.</w:t>
      </w:r>
    </w:p>
    <w:p w:rsidR="00CF0FFD" w:rsidRPr="00BF0050" w:rsidRDefault="00CF0FFD" w:rsidP="006E4F82">
      <w:pPr>
        <w:pStyle w:val="1"/>
        <w:numPr>
          <w:ilvl w:val="0"/>
          <w:numId w:val="3"/>
        </w:numPr>
        <w:spacing w:before="120" w:line="360" w:lineRule="auto"/>
        <w:ind w:left="0" w:firstLine="0"/>
        <w:jc w:val="center"/>
        <w:rPr>
          <w:rFonts w:ascii="Times New Roman" w:hAnsi="Times New Roman"/>
          <w:color w:val="auto"/>
          <w:sz w:val="26"/>
          <w:szCs w:val="26"/>
        </w:rPr>
      </w:pPr>
      <w:bookmarkStart w:id="58" w:name="_Toc447812948"/>
      <w:r w:rsidRPr="00BF0050">
        <w:rPr>
          <w:rFonts w:ascii="Times New Roman" w:hAnsi="Times New Roman"/>
          <w:color w:val="auto"/>
          <w:sz w:val="26"/>
          <w:szCs w:val="26"/>
        </w:rPr>
        <w:t xml:space="preserve">Финансовая сбалансированность </w:t>
      </w:r>
      <w:r w:rsidR="00B27CC0" w:rsidRPr="00BF0050">
        <w:rPr>
          <w:rFonts w:ascii="Times New Roman" w:hAnsi="Times New Roman"/>
          <w:color w:val="auto"/>
          <w:sz w:val="26"/>
          <w:szCs w:val="26"/>
        </w:rPr>
        <w:t>экономического роста</w:t>
      </w:r>
      <w:bookmarkEnd w:id="58"/>
    </w:p>
    <w:p w:rsidR="0084686A" w:rsidRPr="00BF0050" w:rsidRDefault="0084686A" w:rsidP="002A52E4">
      <w:pPr>
        <w:spacing w:before="0" w:after="0" w:line="360" w:lineRule="auto"/>
        <w:jc w:val="both"/>
        <w:rPr>
          <w:b/>
          <w:sz w:val="26"/>
        </w:rPr>
      </w:pPr>
      <w:r w:rsidRPr="00BF0050">
        <w:rPr>
          <w:b/>
          <w:sz w:val="26"/>
        </w:rPr>
        <w:t>Состояние платежного баланса и денежной сферы</w:t>
      </w:r>
    </w:p>
    <w:p w:rsidR="00241BD3" w:rsidRPr="00BF0050" w:rsidRDefault="00241BD3" w:rsidP="00241BD3">
      <w:pPr>
        <w:spacing w:before="0" w:after="0"/>
        <w:ind w:firstLine="720"/>
        <w:jc w:val="both"/>
        <w:rPr>
          <w:rFonts w:eastAsia="Calibri"/>
          <w:color w:val="000000"/>
          <w:sz w:val="26"/>
          <w:szCs w:val="26"/>
        </w:rPr>
      </w:pPr>
      <w:r w:rsidRPr="00BF0050">
        <w:rPr>
          <w:rFonts w:eastAsia="Calibri"/>
          <w:color w:val="000000"/>
          <w:sz w:val="26"/>
          <w:szCs w:val="26"/>
        </w:rPr>
        <w:t>Несмотря на негативное воздействие санкционного режима со стороны США и ЕС, поддерживающего жесткое ограничение доступа к мировому рынку капитала для российских компаний, чистый отток капитала будет постепенно сокращаться – с 58 млрд. долл. США в 2015 году до 40–</w:t>
      </w:r>
      <w:r w:rsidR="00E3777A" w:rsidRPr="00BF0050">
        <w:rPr>
          <w:rFonts w:eastAsia="Calibri"/>
          <w:color w:val="000000"/>
          <w:sz w:val="26"/>
          <w:szCs w:val="26"/>
        </w:rPr>
        <w:t>30</w:t>
      </w:r>
      <w:r w:rsidRPr="00BF0050">
        <w:rPr>
          <w:rFonts w:eastAsia="Calibri"/>
          <w:color w:val="000000"/>
          <w:sz w:val="26"/>
          <w:szCs w:val="26"/>
        </w:rPr>
        <w:t>–25–20 млрд. долл. США в 2016 – 2019  годах.</w:t>
      </w:r>
    </w:p>
    <w:p w:rsidR="00241BD3" w:rsidRPr="00BF0050" w:rsidRDefault="00241BD3" w:rsidP="00241BD3">
      <w:pPr>
        <w:spacing w:before="0" w:after="0"/>
        <w:ind w:firstLine="720"/>
        <w:jc w:val="both"/>
        <w:rPr>
          <w:rFonts w:eastAsia="Calibri"/>
          <w:color w:val="000000"/>
          <w:sz w:val="26"/>
          <w:szCs w:val="26"/>
        </w:rPr>
      </w:pPr>
      <w:r w:rsidRPr="00BF0050">
        <w:rPr>
          <w:rFonts w:eastAsia="Calibri"/>
          <w:color w:val="000000"/>
          <w:sz w:val="26"/>
          <w:szCs w:val="26"/>
        </w:rPr>
        <w:t>На фоне снижающегося оттока капитала ожидается улучшение платежного баланса. В результате ежегодного роста физического объема экспорта на 0,</w:t>
      </w:r>
      <w:r w:rsidR="00EB7C21" w:rsidRPr="00BF0050">
        <w:rPr>
          <w:rFonts w:eastAsia="Calibri"/>
          <w:color w:val="000000"/>
          <w:sz w:val="26"/>
          <w:szCs w:val="26"/>
        </w:rPr>
        <w:t>8</w:t>
      </w:r>
      <w:r w:rsidRPr="00BF0050">
        <w:rPr>
          <w:rFonts w:eastAsia="Calibri"/>
          <w:color w:val="000000"/>
          <w:sz w:val="26"/>
          <w:szCs w:val="26"/>
        </w:rPr>
        <w:t>–1,</w:t>
      </w:r>
      <w:r w:rsidR="00EB7C21" w:rsidRPr="00BF0050">
        <w:rPr>
          <w:rFonts w:eastAsia="Calibri"/>
          <w:color w:val="000000"/>
          <w:sz w:val="26"/>
          <w:szCs w:val="26"/>
        </w:rPr>
        <w:t xml:space="preserve">7 </w:t>
      </w:r>
      <w:r w:rsidRPr="00BF0050">
        <w:rPr>
          <w:rFonts w:eastAsia="Calibri"/>
          <w:color w:val="000000"/>
          <w:sz w:val="26"/>
          <w:szCs w:val="26"/>
        </w:rPr>
        <w:t>%  при  опережающем росте  импорта товаров и услуг (с -</w:t>
      </w:r>
      <w:r w:rsidR="00EB7C21" w:rsidRPr="00BF0050">
        <w:rPr>
          <w:rFonts w:eastAsia="Calibri"/>
          <w:color w:val="000000"/>
          <w:sz w:val="26"/>
          <w:szCs w:val="26"/>
        </w:rPr>
        <w:t>3</w:t>
      </w:r>
      <w:r w:rsidRPr="00BF0050">
        <w:rPr>
          <w:rFonts w:eastAsia="Calibri"/>
          <w:color w:val="000000"/>
          <w:sz w:val="26"/>
          <w:szCs w:val="26"/>
        </w:rPr>
        <w:t xml:space="preserve">,3 % в 2016 году до </w:t>
      </w:r>
      <w:r w:rsidR="00EB7C21" w:rsidRPr="00BF0050">
        <w:rPr>
          <w:rFonts w:eastAsia="Calibri"/>
          <w:color w:val="000000"/>
          <w:sz w:val="26"/>
          <w:szCs w:val="26"/>
        </w:rPr>
        <w:t>4</w:t>
      </w:r>
      <w:r w:rsidRPr="00BF0050">
        <w:rPr>
          <w:rFonts w:eastAsia="Calibri"/>
          <w:color w:val="000000"/>
          <w:sz w:val="26"/>
          <w:szCs w:val="26"/>
        </w:rPr>
        <w:t>,</w:t>
      </w:r>
      <w:r w:rsidR="00EB7C21" w:rsidRPr="00BF0050">
        <w:rPr>
          <w:rFonts w:eastAsia="Calibri"/>
          <w:color w:val="000000"/>
          <w:sz w:val="26"/>
          <w:szCs w:val="26"/>
        </w:rPr>
        <w:t>2 </w:t>
      </w:r>
      <w:r w:rsidRPr="00BF0050">
        <w:rPr>
          <w:rFonts w:eastAsia="Calibri"/>
          <w:color w:val="000000"/>
          <w:sz w:val="26"/>
          <w:szCs w:val="26"/>
        </w:rPr>
        <w:t>% в 2018 году и </w:t>
      </w:r>
      <w:r w:rsidR="00EB7C21" w:rsidRPr="00BF0050">
        <w:rPr>
          <w:rFonts w:eastAsia="Calibri"/>
          <w:color w:val="000000"/>
          <w:sz w:val="26"/>
          <w:szCs w:val="26"/>
        </w:rPr>
        <w:t>5</w:t>
      </w:r>
      <w:r w:rsidRPr="00BF0050">
        <w:rPr>
          <w:rFonts w:eastAsia="Calibri"/>
          <w:color w:val="000000"/>
          <w:sz w:val="26"/>
          <w:szCs w:val="26"/>
        </w:rPr>
        <w:t>,</w:t>
      </w:r>
      <w:r w:rsidR="00EB7C21" w:rsidRPr="00BF0050">
        <w:rPr>
          <w:rFonts w:eastAsia="Calibri"/>
          <w:color w:val="000000"/>
          <w:sz w:val="26"/>
          <w:szCs w:val="26"/>
        </w:rPr>
        <w:t>7 </w:t>
      </w:r>
      <w:r w:rsidRPr="00BF0050">
        <w:rPr>
          <w:rFonts w:eastAsia="Calibri"/>
          <w:color w:val="000000"/>
          <w:sz w:val="26"/>
          <w:szCs w:val="26"/>
        </w:rPr>
        <w:t xml:space="preserve">% в 2019 году) профицит счета текущих операций в 2016 году уменьшится до </w:t>
      </w:r>
      <w:r w:rsidR="00EB7C21" w:rsidRPr="00BF0050">
        <w:rPr>
          <w:rFonts w:eastAsia="Calibri"/>
          <w:color w:val="000000"/>
          <w:sz w:val="26"/>
          <w:szCs w:val="26"/>
        </w:rPr>
        <w:t>43 </w:t>
      </w:r>
      <w:r w:rsidRPr="00BF0050">
        <w:rPr>
          <w:rFonts w:eastAsia="Calibri"/>
          <w:color w:val="000000"/>
          <w:sz w:val="26"/>
          <w:szCs w:val="26"/>
        </w:rPr>
        <w:t xml:space="preserve">млрд. долл. США, в 2017 – 2019 гг. может достигнуть </w:t>
      </w:r>
      <w:r w:rsidR="00EB7C21" w:rsidRPr="00BF0050">
        <w:rPr>
          <w:rFonts w:eastAsia="Calibri"/>
          <w:color w:val="000000"/>
          <w:sz w:val="26"/>
          <w:szCs w:val="26"/>
        </w:rPr>
        <w:t>41</w:t>
      </w:r>
      <w:r w:rsidRPr="00BF0050">
        <w:rPr>
          <w:rFonts w:eastAsia="Calibri"/>
          <w:color w:val="000000"/>
          <w:sz w:val="26"/>
          <w:szCs w:val="26"/>
        </w:rPr>
        <w:t>–</w:t>
      </w:r>
      <w:r w:rsidR="00EB7C21" w:rsidRPr="00BF0050">
        <w:rPr>
          <w:rFonts w:eastAsia="Calibri"/>
          <w:color w:val="000000"/>
          <w:sz w:val="26"/>
          <w:szCs w:val="26"/>
        </w:rPr>
        <w:t xml:space="preserve">39 </w:t>
      </w:r>
      <w:r w:rsidRPr="00BF0050">
        <w:rPr>
          <w:rFonts w:eastAsia="Calibri"/>
          <w:color w:val="000000"/>
          <w:sz w:val="26"/>
          <w:szCs w:val="26"/>
        </w:rPr>
        <w:t>млрд. долл. США. Начиная с 2017 года приток капитала в российскую экономику будет превышать чистый отток по счету операций с капиталом. Это будет создавать существенные предпосылки для укрепления курса национальной валюты.</w:t>
      </w:r>
    </w:p>
    <w:p w:rsidR="00241BD3" w:rsidRPr="00BF0050" w:rsidRDefault="00241BD3" w:rsidP="00241BD3">
      <w:pPr>
        <w:spacing w:before="0" w:after="0"/>
        <w:ind w:firstLine="720"/>
        <w:jc w:val="both"/>
        <w:rPr>
          <w:rFonts w:eastAsia="Calibri"/>
          <w:color w:val="000000"/>
          <w:sz w:val="26"/>
          <w:szCs w:val="26"/>
        </w:rPr>
      </w:pPr>
      <w:r w:rsidRPr="00BF0050">
        <w:rPr>
          <w:rFonts w:eastAsia="Calibri"/>
          <w:color w:val="000000"/>
          <w:sz w:val="26"/>
          <w:szCs w:val="26"/>
        </w:rPr>
        <w:t xml:space="preserve">Среднегодовой курс рубля в 2016 году ожидается на уровне 67–68 рублей за доллар США при среднегодовой цене на нефть </w:t>
      </w:r>
      <w:r w:rsidRPr="00BF0050">
        <w:rPr>
          <w:rFonts w:eastAsia="Calibri"/>
          <w:color w:val="000000"/>
          <w:sz w:val="26"/>
          <w:szCs w:val="26"/>
          <w:lang w:val="en-US"/>
        </w:rPr>
        <w:t>Urals</w:t>
      </w:r>
      <w:r w:rsidRPr="00BF0050">
        <w:rPr>
          <w:rFonts w:eastAsia="Calibri"/>
          <w:color w:val="000000"/>
          <w:sz w:val="26"/>
          <w:szCs w:val="26"/>
        </w:rPr>
        <w:t xml:space="preserve"> 40 долл</w:t>
      </w:r>
      <w:r w:rsidR="001C2006" w:rsidRPr="00BF0050">
        <w:rPr>
          <w:rFonts w:eastAsia="Calibri"/>
          <w:color w:val="000000"/>
          <w:sz w:val="26"/>
          <w:szCs w:val="26"/>
        </w:rPr>
        <w:t>.</w:t>
      </w:r>
      <w:r w:rsidRPr="00BF0050">
        <w:rPr>
          <w:rFonts w:eastAsia="Calibri"/>
          <w:color w:val="000000"/>
          <w:sz w:val="26"/>
          <w:szCs w:val="26"/>
        </w:rPr>
        <w:t xml:space="preserve"> США за баррель. </w:t>
      </w:r>
      <w:r w:rsidR="002B4D0F" w:rsidRPr="00BF0050">
        <w:rPr>
          <w:rFonts w:eastAsia="Calibri"/>
          <w:color w:val="000000"/>
          <w:sz w:val="26"/>
          <w:szCs w:val="26"/>
        </w:rPr>
        <w:t>К </w:t>
      </w:r>
      <w:r w:rsidRPr="00BF0050">
        <w:rPr>
          <w:rFonts w:eastAsia="Calibri"/>
          <w:color w:val="000000"/>
          <w:sz w:val="26"/>
          <w:szCs w:val="26"/>
        </w:rPr>
        <w:t xml:space="preserve">концу прогнозного периода курс национальной валюты укрепится на уровне, не превышающем </w:t>
      </w:r>
      <w:r w:rsidR="00EB7C21" w:rsidRPr="00BF0050">
        <w:rPr>
          <w:rFonts w:eastAsia="Calibri"/>
          <w:color w:val="000000"/>
          <w:sz w:val="26"/>
          <w:szCs w:val="26"/>
        </w:rPr>
        <w:t xml:space="preserve">63 </w:t>
      </w:r>
      <w:r w:rsidRPr="00BF0050">
        <w:rPr>
          <w:rFonts w:eastAsia="Calibri"/>
          <w:color w:val="000000"/>
          <w:sz w:val="26"/>
          <w:szCs w:val="26"/>
        </w:rPr>
        <w:t>рублей за долл</w:t>
      </w:r>
      <w:r w:rsidR="00D94747" w:rsidRPr="00BF0050">
        <w:rPr>
          <w:rFonts w:eastAsia="Calibri"/>
          <w:color w:val="000000"/>
          <w:sz w:val="26"/>
          <w:szCs w:val="26"/>
        </w:rPr>
        <w:t>ар</w:t>
      </w:r>
      <w:r w:rsidRPr="00BF0050">
        <w:rPr>
          <w:rFonts w:eastAsia="Calibri"/>
          <w:color w:val="000000"/>
          <w:sz w:val="26"/>
          <w:szCs w:val="26"/>
        </w:rPr>
        <w:t xml:space="preserve"> США.</w:t>
      </w:r>
    </w:p>
    <w:p w:rsidR="006E0A8D" w:rsidRPr="00BF0050" w:rsidRDefault="006E0A8D" w:rsidP="00B460B2">
      <w:pPr>
        <w:spacing w:before="240" w:line="360" w:lineRule="auto"/>
        <w:jc w:val="center"/>
        <w:rPr>
          <w:sz w:val="26"/>
          <w:szCs w:val="26"/>
        </w:rPr>
      </w:pPr>
      <w:r w:rsidRPr="00BF0050">
        <w:rPr>
          <w:b/>
          <w:sz w:val="26"/>
          <w:szCs w:val="26"/>
        </w:rPr>
        <w:lastRenderedPageBreak/>
        <w:t>Параметры денежной сферы и платежного баланса</w:t>
      </w:r>
    </w:p>
    <w:tbl>
      <w:tblPr>
        <w:tblW w:w="10151" w:type="dxa"/>
        <w:jc w:val="center"/>
        <w:tblLook w:val="00A0" w:firstRow="1" w:lastRow="0" w:firstColumn="1" w:lastColumn="0" w:noHBand="0" w:noVBand="0"/>
      </w:tblPr>
      <w:tblGrid>
        <w:gridCol w:w="5125"/>
        <w:gridCol w:w="1224"/>
        <w:gridCol w:w="1360"/>
        <w:gridCol w:w="1226"/>
        <w:gridCol w:w="1216"/>
      </w:tblGrid>
      <w:tr w:rsidR="006E0A8D" w:rsidRPr="00BF0050" w:rsidTr="000434CD">
        <w:trPr>
          <w:trHeight w:val="315"/>
          <w:jc w:val="center"/>
        </w:trPr>
        <w:tc>
          <w:tcPr>
            <w:tcW w:w="5125" w:type="dxa"/>
            <w:vMerge w:val="restart"/>
            <w:tcBorders>
              <w:top w:val="single" w:sz="8" w:space="0" w:color="auto"/>
              <w:left w:val="single" w:sz="8" w:space="0" w:color="auto"/>
              <w:right w:val="single" w:sz="8" w:space="0" w:color="auto"/>
            </w:tcBorders>
            <w:noWrap/>
            <w:vAlign w:val="center"/>
          </w:tcPr>
          <w:p w:rsidR="006E0A8D" w:rsidRPr="00BF0050" w:rsidRDefault="006E0A8D" w:rsidP="006E0A8D">
            <w:pPr>
              <w:spacing w:before="0" w:after="0" w:line="240" w:lineRule="auto"/>
              <w:ind w:firstLine="0"/>
              <w:rPr>
                <w:rFonts w:ascii="Calibri" w:hAnsi="Calibri" w:cs="Calibri"/>
                <w:color w:val="000000"/>
              </w:rPr>
            </w:pPr>
            <w:r w:rsidRPr="00BF0050">
              <w:rPr>
                <w:rFonts w:ascii="Calibri" w:hAnsi="Calibri" w:cs="Calibri"/>
                <w:color w:val="000000"/>
              </w:rPr>
              <w:t> </w:t>
            </w:r>
          </w:p>
          <w:p w:rsidR="006E0A8D" w:rsidRPr="00BF0050" w:rsidRDefault="006E0A8D" w:rsidP="006E0A8D">
            <w:pPr>
              <w:spacing w:before="0" w:after="0" w:line="240" w:lineRule="auto"/>
              <w:rPr>
                <w:rFonts w:ascii="Calibri" w:hAnsi="Calibri" w:cs="Calibri"/>
                <w:color w:val="000000"/>
              </w:rPr>
            </w:pPr>
            <w:r w:rsidRPr="00BF0050">
              <w:rPr>
                <w:rFonts w:ascii="Calibri" w:hAnsi="Calibri" w:cs="Calibri"/>
                <w:color w:val="000000"/>
              </w:rPr>
              <w:t> </w:t>
            </w:r>
          </w:p>
        </w:tc>
        <w:tc>
          <w:tcPr>
            <w:tcW w:w="5026" w:type="dxa"/>
            <w:gridSpan w:val="4"/>
            <w:tcBorders>
              <w:top w:val="single" w:sz="8" w:space="0" w:color="auto"/>
              <w:left w:val="nil"/>
              <w:bottom w:val="single" w:sz="8" w:space="0" w:color="auto"/>
              <w:right w:val="single" w:sz="8" w:space="0" w:color="000000"/>
            </w:tcBorders>
            <w:noWrap/>
            <w:vAlign w:val="center"/>
          </w:tcPr>
          <w:p w:rsidR="006E0A8D" w:rsidRPr="00BF0050" w:rsidRDefault="006E0A8D" w:rsidP="006E0A8D">
            <w:pPr>
              <w:spacing w:before="0" w:after="0" w:line="240" w:lineRule="auto"/>
              <w:ind w:firstLine="0"/>
              <w:jc w:val="center"/>
              <w:rPr>
                <w:color w:val="000000"/>
              </w:rPr>
            </w:pPr>
            <w:r w:rsidRPr="00BF0050">
              <w:rPr>
                <w:color w:val="000000"/>
              </w:rPr>
              <w:t>Прогноз</w:t>
            </w:r>
          </w:p>
        </w:tc>
      </w:tr>
      <w:tr w:rsidR="006E0A8D" w:rsidRPr="00BF0050" w:rsidTr="000434CD">
        <w:trPr>
          <w:trHeight w:val="315"/>
          <w:jc w:val="center"/>
        </w:trPr>
        <w:tc>
          <w:tcPr>
            <w:tcW w:w="5125" w:type="dxa"/>
            <w:vMerge/>
            <w:tcBorders>
              <w:left w:val="single" w:sz="8" w:space="0" w:color="auto"/>
              <w:bottom w:val="nil"/>
              <w:right w:val="single" w:sz="8" w:space="0" w:color="auto"/>
            </w:tcBorders>
            <w:noWrap/>
            <w:vAlign w:val="center"/>
          </w:tcPr>
          <w:p w:rsidR="006E0A8D" w:rsidRPr="00BF0050" w:rsidRDefault="006E0A8D" w:rsidP="006E0A8D">
            <w:pPr>
              <w:spacing w:before="0" w:after="0" w:line="240" w:lineRule="auto"/>
              <w:ind w:firstLine="0"/>
              <w:rPr>
                <w:rFonts w:ascii="Calibri" w:hAnsi="Calibri" w:cs="Calibri"/>
                <w:color w:val="000000"/>
                <w:sz w:val="22"/>
                <w:szCs w:val="22"/>
              </w:rPr>
            </w:pPr>
          </w:p>
        </w:tc>
        <w:tc>
          <w:tcPr>
            <w:tcW w:w="1224" w:type="dxa"/>
            <w:tcBorders>
              <w:top w:val="nil"/>
              <w:left w:val="single" w:sz="8" w:space="0" w:color="auto"/>
              <w:bottom w:val="nil"/>
              <w:right w:val="nil"/>
            </w:tcBorders>
            <w:noWrap/>
            <w:vAlign w:val="center"/>
          </w:tcPr>
          <w:p w:rsidR="006E0A8D" w:rsidRPr="00BF0050" w:rsidRDefault="006E0A8D" w:rsidP="006E0A8D">
            <w:pPr>
              <w:spacing w:before="0" w:after="0" w:line="240" w:lineRule="auto"/>
              <w:ind w:firstLine="0"/>
              <w:jc w:val="center"/>
              <w:rPr>
                <w:color w:val="000000"/>
                <w:sz w:val="22"/>
                <w:szCs w:val="22"/>
              </w:rPr>
            </w:pPr>
            <w:smartTag w:uri="urn:schemas-microsoft-com:office:smarttags" w:element="metricconverter">
              <w:smartTagPr>
                <w:attr w:name="ProductID" w:val="2016 г"/>
              </w:smartTagPr>
              <w:r w:rsidRPr="00BF0050">
                <w:rPr>
                  <w:color w:val="000000"/>
                  <w:sz w:val="22"/>
                  <w:szCs w:val="22"/>
                </w:rPr>
                <w:t>2016 г</w:t>
              </w:r>
            </w:smartTag>
            <w:r w:rsidRPr="00BF0050">
              <w:rPr>
                <w:color w:val="000000"/>
                <w:sz w:val="22"/>
                <w:szCs w:val="22"/>
              </w:rPr>
              <w:t>.</w:t>
            </w:r>
          </w:p>
        </w:tc>
        <w:tc>
          <w:tcPr>
            <w:tcW w:w="1360" w:type="dxa"/>
            <w:tcBorders>
              <w:top w:val="nil"/>
              <w:left w:val="single" w:sz="8" w:space="0" w:color="auto"/>
              <w:bottom w:val="nil"/>
              <w:right w:val="nil"/>
            </w:tcBorders>
            <w:noWrap/>
            <w:vAlign w:val="center"/>
          </w:tcPr>
          <w:p w:rsidR="006E0A8D" w:rsidRPr="00BF0050" w:rsidRDefault="006E0A8D" w:rsidP="006E0A8D">
            <w:pPr>
              <w:spacing w:before="0" w:after="0" w:line="240" w:lineRule="auto"/>
              <w:ind w:firstLine="0"/>
              <w:jc w:val="center"/>
              <w:rPr>
                <w:color w:val="000000"/>
                <w:sz w:val="22"/>
                <w:szCs w:val="22"/>
              </w:rPr>
            </w:pPr>
            <w:smartTag w:uri="urn:schemas-microsoft-com:office:smarttags" w:element="metricconverter">
              <w:smartTagPr>
                <w:attr w:name="ProductID" w:val="2017 г"/>
              </w:smartTagPr>
              <w:r w:rsidRPr="00BF0050">
                <w:rPr>
                  <w:color w:val="000000"/>
                  <w:sz w:val="22"/>
                  <w:szCs w:val="22"/>
                </w:rPr>
                <w:t>2017 г</w:t>
              </w:r>
            </w:smartTag>
            <w:r w:rsidRPr="00BF0050">
              <w:rPr>
                <w:color w:val="000000"/>
                <w:sz w:val="22"/>
                <w:szCs w:val="22"/>
              </w:rPr>
              <w:t>.</w:t>
            </w:r>
          </w:p>
        </w:tc>
        <w:tc>
          <w:tcPr>
            <w:tcW w:w="1226" w:type="dxa"/>
            <w:tcBorders>
              <w:top w:val="nil"/>
              <w:left w:val="single" w:sz="8" w:space="0" w:color="auto"/>
              <w:bottom w:val="nil"/>
              <w:right w:val="single" w:sz="8" w:space="0" w:color="auto"/>
            </w:tcBorders>
            <w:noWrap/>
            <w:vAlign w:val="center"/>
          </w:tcPr>
          <w:p w:rsidR="006E0A8D" w:rsidRPr="00BF0050" w:rsidRDefault="006E0A8D" w:rsidP="006E0A8D">
            <w:pPr>
              <w:spacing w:before="0" w:after="0" w:line="240" w:lineRule="auto"/>
              <w:ind w:firstLine="0"/>
              <w:jc w:val="center"/>
              <w:rPr>
                <w:color w:val="000000"/>
                <w:sz w:val="22"/>
                <w:szCs w:val="22"/>
              </w:rPr>
            </w:pPr>
            <w:smartTag w:uri="urn:schemas-microsoft-com:office:smarttags" w:element="metricconverter">
              <w:smartTagPr>
                <w:attr w:name="ProductID" w:val="2018 г"/>
              </w:smartTagPr>
              <w:r w:rsidRPr="00BF0050">
                <w:rPr>
                  <w:color w:val="000000"/>
                  <w:sz w:val="22"/>
                  <w:szCs w:val="22"/>
                </w:rPr>
                <w:t>2018 г</w:t>
              </w:r>
            </w:smartTag>
            <w:r w:rsidRPr="00BF0050">
              <w:rPr>
                <w:color w:val="000000"/>
                <w:sz w:val="22"/>
                <w:szCs w:val="22"/>
              </w:rPr>
              <w:t>.</w:t>
            </w:r>
          </w:p>
        </w:tc>
        <w:tc>
          <w:tcPr>
            <w:tcW w:w="1216" w:type="dxa"/>
            <w:tcBorders>
              <w:top w:val="nil"/>
              <w:left w:val="nil"/>
              <w:bottom w:val="nil"/>
              <w:right w:val="single" w:sz="8" w:space="0" w:color="auto"/>
            </w:tcBorders>
            <w:noWrap/>
            <w:vAlign w:val="center"/>
          </w:tcPr>
          <w:p w:rsidR="006E0A8D" w:rsidRPr="00BF0050" w:rsidRDefault="006E0A8D" w:rsidP="006E0A8D">
            <w:pPr>
              <w:spacing w:before="0" w:after="0" w:line="240" w:lineRule="auto"/>
              <w:ind w:firstLine="0"/>
              <w:jc w:val="center"/>
              <w:rPr>
                <w:color w:val="000000"/>
                <w:sz w:val="22"/>
                <w:szCs w:val="22"/>
              </w:rPr>
            </w:pPr>
            <w:smartTag w:uri="urn:schemas-microsoft-com:office:smarttags" w:element="metricconverter">
              <w:smartTagPr>
                <w:attr w:name="ProductID" w:val="2019 г"/>
              </w:smartTagPr>
              <w:r w:rsidRPr="00BF0050">
                <w:rPr>
                  <w:color w:val="000000"/>
                  <w:sz w:val="22"/>
                  <w:szCs w:val="22"/>
                </w:rPr>
                <w:t>2019 г</w:t>
              </w:r>
            </w:smartTag>
            <w:r w:rsidRPr="00BF0050">
              <w:rPr>
                <w:color w:val="000000"/>
                <w:sz w:val="22"/>
                <w:szCs w:val="22"/>
              </w:rPr>
              <w:t>.</w:t>
            </w:r>
          </w:p>
        </w:tc>
      </w:tr>
      <w:tr w:rsidR="006E0A8D" w:rsidRPr="00BF0050" w:rsidTr="000434CD">
        <w:trPr>
          <w:trHeight w:val="625"/>
          <w:jc w:val="center"/>
        </w:trPr>
        <w:tc>
          <w:tcPr>
            <w:tcW w:w="5125" w:type="dxa"/>
            <w:tcBorders>
              <w:top w:val="dotted" w:sz="4" w:space="0" w:color="auto"/>
              <w:left w:val="single" w:sz="8" w:space="0" w:color="auto"/>
              <w:right w:val="single" w:sz="8" w:space="0" w:color="auto"/>
            </w:tcBorders>
            <w:noWrap/>
            <w:vAlign w:val="center"/>
          </w:tcPr>
          <w:p w:rsidR="006E0A8D" w:rsidRPr="00BF0050" w:rsidRDefault="006E0A8D" w:rsidP="006E0A8D">
            <w:pPr>
              <w:spacing w:before="40" w:after="40" w:line="240" w:lineRule="auto"/>
              <w:ind w:firstLine="0"/>
              <w:rPr>
                <w:color w:val="000000"/>
              </w:rPr>
            </w:pPr>
            <w:r w:rsidRPr="00BF0050">
              <w:rPr>
                <w:color w:val="000000"/>
              </w:rPr>
              <w:t xml:space="preserve">Приток/отток капитала частного сектора, </w:t>
            </w:r>
          </w:p>
          <w:p w:rsidR="006E0A8D" w:rsidRPr="00BF0050" w:rsidRDefault="006E0A8D" w:rsidP="006E0A8D">
            <w:pPr>
              <w:spacing w:before="40" w:after="40" w:line="240" w:lineRule="auto"/>
              <w:ind w:firstLine="0"/>
              <w:rPr>
                <w:color w:val="000000"/>
              </w:rPr>
            </w:pPr>
            <w:r w:rsidRPr="00BF0050">
              <w:rPr>
                <w:rFonts w:eastAsia="Calibri"/>
                <w:color w:val="000000"/>
              </w:rPr>
              <w:t> млрд. долл. США</w:t>
            </w:r>
          </w:p>
        </w:tc>
        <w:tc>
          <w:tcPr>
            <w:tcW w:w="1224" w:type="dxa"/>
            <w:tcBorders>
              <w:top w:val="dotted" w:sz="4" w:space="0" w:color="auto"/>
              <w:left w:val="nil"/>
              <w:right w:val="nil"/>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-40</w:t>
            </w:r>
          </w:p>
        </w:tc>
        <w:tc>
          <w:tcPr>
            <w:tcW w:w="1360" w:type="dxa"/>
            <w:tcBorders>
              <w:top w:val="dotted" w:sz="4" w:space="0" w:color="auto"/>
              <w:left w:val="single" w:sz="8" w:space="0" w:color="auto"/>
              <w:right w:val="nil"/>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-30</w:t>
            </w:r>
          </w:p>
        </w:tc>
        <w:tc>
          <w:tcPr>
            <w:tcW w:w="1226" w:type="dxa"/>
            <w:tcBorders>
              <w:top w:val="dotted" w:sz="4" w:space="0" w:color="auto"/>
              <w:left w:val="single" w:sz="8" w:space="0" w:color="auto"/>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-25</w:t>
            </w:r>
          </w:p>
        </w:tc>
        <w:tc>
          <w:tcPr>
            <w:tcW w:w="1216" w:type="dxa"/>
            <w:tcBorders>
              <w:top w:val="dotted" w:sz="4" w:space="0" w:color="auto"/>
              <w:left w:val="nil"/>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-20</w:t>
            </w:r>
          </w:p>
        </w:tc>
      </w:tr>
      <w:tr w:rsidR="006E0A8D" w:rsidRPr="00BF0050" w:rsidTr="000434CD">
        <w:trPr>
          <w:trHeight w:val="565"/>
          <w:jc w:val="center"/>
        </w:trPr>
        <w:tc>
          <w:tcPr>
            <w:tcW w:w="5125" w:type="dxa"/>
            <w:tcBorders>
              <w:top w:val="dotted" w:sz="4" w:space="0" w:color="auto"/>
              <w:left w:val="single" w:sz="8" w:space="0" w:color="auto"/>
              <w:right w:val="single" w:sz="8" w:space="0" w:color="auto"/>
            </w:tcBorders>
            <w:noWrap/>
            <w:vAlign w:val="center"/>
          </w:tcPr>
          <w:p w:rsidR="006E0A8D" w:rsidRPr="00BF0050" w:rsidRDefault="006E0A8D" w:rsidP="006E0A8D">
            <w:pPr>
              <w:spacing w:before="40" w:after="40" w:line="240" w:lineRule="auto"/>
              <w:ind w:firstLine="0"/>
              <w:rPr>
                <w:color w:val="000000"/>
              </w:rPr>
            </w:pPr>
            <w:r w:rsidRPr="00BF0050">
              <w:rPr>
                <w:color w:val="000000"/>
              </w:rPr>
              <w:t xml:space="preserve">Счет текущих операций платежного баланса, </w:t>
            </w:r>
          </w:p>
          <w:p w:rsidR="006E0A8D" w:rsidRPr="00BF0050" w:rsidRDefault="006E0A8D" w:rsidP="006E0A8D">
            <w:pPr>
              <w:spacing w:before="40" w:after="40" w:line="240" w:lineRule="auto"/>
              <w:ind w:firstLine="0"/>
              <w:rPr>
                <w:color w:val="000000"/>
              </w:rPr>
            </w:pPr>
            <w:r w:rsidRPr="00BF0050">
              <w:rPr>
                <w:rFonts w:eastAsia="Calibri"/>
                <w:color w:val="000000"/>
              </w:rPr>
              <w:t>млрд. долл. США</w:t>
            </w:r>
          </w:p>
        </w:tc>
        <w:tc>
          <w:tcPr>
            <w:tcW w:w="1224" w:type="dxa"/>
            <w:tcBorders>
              <w:top w:val="dotted" w:sz="4" w:space="0" w:color="auto"/>
              <w:left w:val="nil"/>
              <w:right w:val="nil"/>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43</w:t>
            </w:r>
          </w:p>
        </w:tc>
        <w:tc>
          <w:tcPr>
            <w:tcW w:w="1360" w:type="dxa"/>
            <w:tcBorders>
              <w:top w:val="dotted" w:sz="4" w:space="0" w:color="auto"/>
              <w:left w:val="single" w:sz="8" w:space="0" w:color="auto"/>
              <w:right w:val="nil"/>
            </w:tcBorders>
            <w:noWrap/>
            <w:vAlign w:val="center"/>
          </w:tcPr>
          <w:p w:rsidR="006E0A8D" w:rsidRPr="00BF0050" w:rsidRDefault="006E0A8D" w:rsidP="00B460B2">
            <w:pPr>
              <w:spacing w:before="40" w:after="40" w:line="240" w:lineRule="auto"/>
              <w:ind w:firstLine="0"/>
              <w:jc w:val="center"/>
              <w:rPr>
                <w:color w:val="000000"/>
              </w:rPr>
            </w:pPr>
            <w:r w:rsidRPr="00BF0050">
              <w:rPr>
                <w:color w:val="000000"/>
              </w:rPr>
              <w:t>41</w:t>
            </w:r>
          </w:p>
        </w:tc>
        <w:tc>
          <w:tcPr>
            <w:tcW w:w="1226" w:type="dxa"/>
            <w:tcBorders>
              <w:top w:val="dotted" w:sz="4" w:space="0" w:color="auto"/>
              <w:left w:val="single" w:sz="8" w:space="0" w:color="auto"/>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40</w:t>
            </w:r>
          </w:p>
        </w:tc>
        <w:tc>
          <w:tcPr>
            <w:tcW w:w="1216" w:type="dxa"/>
            <w:tcBorders>
              <w:top w:val="dotted" w:sz="4" w:space="0" w:color="auto"/>
              <w:left w:val="nil"/>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39</w:t>
            </w:r>
          </w:p>
        </w:tc>
      </w:tr>
      <w:tr w:rsidR="006E0A8D" w:rsidRPr="00BF0050" w:rsidTr="000434CD">
        <w:trPr>
          <w:trHeight w:val="483"/>
          <w:jc w:val="center"/>
        </w:trPr>
        <w:tc>
          <w:tcPr>
            <w:tcW w:w="5125" w:type="dxa"/>
            <w:tcBorders>
              <w:top w:val="dotted" w:sz="4" w:space="0" w:color="auto"/>
              <w:left w:val="single" w:sz="8" w:space="0" w:color="auto"/>
              <w:right w:val="single" w:sz="8" w:space="0" w:color="auto"/>
            </w:tcBorders>
            <w:noWrap/>
            <w:vAlign w:val="center"/>
          </w:tcPr>
          <w:p w:rsidR="006E0A8D" w:rsidRPr="00BF0050" w:rsidRDefault="006E0A8D" w:rsidP="006E0A8D">
            <w:pPr>
              <w:spacing w:before="40" w:after="40" w:line="240" w:lineRule="auto"/>
              <w:ind w:firstLine="0"/>
              <w:rPr>
                <w:color w:val="000000"/>
              </w:rPr>
            </w:pPr>
            <w:r w:rsidRPr="00BF0050">
              <w:rPr>
                <w:color w:val="000000"/>
              </w:rPr>
              <w:t>Темп прироста денежной массы (М2), в % </w:t>
            </w:r>
          </w:p>
        </w:tc>
        <w:tc>
          <w:tcPr>
            <w:tcW w:w="1224" w:type="dxa"/>
            <w:tcBorders>
              <w:top w:val="dotted" w:sz="4" w:space="0" w:color="auto"/>
              <w:left w:val="nil"/>
              <w:right w:val="nil"/>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9,9</w:t>
            </w:r>
          </w:p>
        </w:tc>
        <w:tc>
          <w:tcPr>
            <w:tcW w:w="1360" w:type="dxa"/>
            <w:tcBorders>
              <w:top w:val="dotted" w:sz="4" w:space="0" w:color="auto"/>
              <w:left w:val="single" w:sz="8" w:space="0" w:color="auto"/>
              <w:right w:val="nil"/>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9,8</w:t>
            </w:r>
          </w:p>
        </w:tc>
        <w:tc>
          <w:tcPr>
            <w:tcW w:w="1226" w:type="dxa"/>
            <w:tcBorders>
              <w:top w:val="dotted" w:sz="4" w:space="0" w:color="auto"/>
              <w:left w:val="single" w:sz="8" w:space="0" w:color="auto"/>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9,8</w:t>
            </w:r>
          </w:p>
        </w:tc>
        <w:tc>
          <w:tcPr>
            <w:tcW w:w="1216" w:type="dxa"/>
            <w:tcBorders>
              <w:top w:val="dotted" w:sz="4" w:space="0" w:color="auto"/>
              <w:left w:val="nil"/>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10,0</w:t>
            </w:r>
          </w:p>
        </w:tc>
      </w:tr>
      <w:tr w:rsidR="006E0A8D" w:rsidRPr="00BF0050" w:rsidTr="00B460B2">
        <w:trPr>
          <w:trHeight w:val="563"/>
          <w:jc w:val="center"/>
        </w:trPr>
        <w:tc>
          <w:tcPr>
            <w:tcW w:w="5125" w:type="dxa"/>
            <w:tcBorders>
              <w:top w:val="dotted" w:sz="4" w:space="0" w:color="auto"/>
              <w:left w:val="single" w:sz="8" w:space="0" w:color="auto"/>
              <w:bottom w:val="dotted" w:sz="4" w:space="0" w:color="auto"/>
              <w:right w:val="single" w:sz="8" w:space="0" w:color="auto"/>
            </w:tcBorders>
            <w:noWrap/>
            <w:vAlign w:val="center"/>
          </w:tcPr>
          <w:p w:rsidR="006E0A8D" w:rsidRPr="00BF0050" w:rsidRDefault="006E0A8D" w:rsidP="006E0A8D">
            <w:pPr>
              <w:spacing w:before="40" w:after="40" w:line="240" w:lineRule="auto"/>
              <w:ind w:firstLine="0"/>
              <w:rPr>
                <w:color w:val="000000"/>
              </w:rPr>
            </w:pPr>
            <w:r w:rsidRPr="00BF0050">
              <w:rPr>
                <w:color w:val="000000"/>
              </w:rPr>
              <w:t>Кредиты нефинансовым организациям, % </w:t>
            </w:r>
          </w:p>
        </w:tc>
        <w:tc>
          <w:tcPr>
            <w:tcW w:w="1224" w:type="dxa"/>
            <w:tcBorders>
              <w:top w:val="dotted" w:sz="4" w:space="0" w:color="auto"/>
              <w:left w:val="nil"/>
              <w:bottom w:val="dotted" w:sz="4" w:space="0" w:color="auto"/>
              <w:right w:val="nil"/>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8,1</w:t>
            </w:r>
          </w:p>
        </w:tc>
        <w:tc>
          <w:tcPr>
            <w:tcW w:w="1360" w:type="dxa"/>
            <w:tcBorders>
              <w:top w:val="dotted" w:sz="4" w:space="0" w:color="auto"/>
              <w:left w:val="single" w:sz="8" w:space="0" w:color="auto"/>
              <w:bottom w:val="dotted" w:sz="4" w:space="0" w:color="auto"/>
              <w:right w:val="nil"/>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9,6</w:t>
            </w:r>
          </w:p>
        </w:tc>
        <w:tc>
          <w:tcPr>
            <w:tcW w:w="1226" w:type="dxa"/>
            <w:tcBorders>
              <w:top w:val="dotted" w:sz="4" w:space="0" w:color="auto"/>
              <w:left w:val="single" w:sz="8" w:space="0" w:color="auto"/>
              <w:bottom w:val="dotted" w:sz="4" w:space="0" w:color="auto"/>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10,2</w:t>
            </w:r>
          </w:p>
        </w:tc>
        <w:tc>
          <w:tcPr>
            <w:tcW w:w="1216" w:type="dxa"/>
            <w:tcBorders>
              <w:top w:val="dotted" w:sz="4" w:space="0" w:color="auto"/>
              <w:left w:val="nil"/>
              <w:bottom w:val="dotted" w:sz="4" w:space="0" w:color="auto"/>
              <w:right w:val="single" w:sz="8" w:space="0" w:color="auto"/>
            </w:tcBorders>
            <w:noWrap/>
            <w:vAlign w:val="center"/>
          </w:tcPr>
          <w:p w:rsidR="006E0A8D" w:rsidRPr="00BF0050" w:rsidRDefault="006E0A8D" w:rsidP="006E0A8D">
            <w:pPr>
              <w:spacing w:before="40" w:after="40" w:line="240" w:lineRule="auto"/>
              <w:ind w:firstLine="0"/>
              <w:jc w:val="center"/>
              <w:rPr>
                <w:color w:val="000000"/>
              </w:rPr>
            </w:pPr>
            <w:r w:rsidRPr="00BF0050">
              <w:rPr>
                <w:color w:val="000000"/>
              </w:rPr>
              <w:t>12,2</w:t>
            </w:r>
          </w:p>
        </w:tc>
      </w:tr>
      <w:tr w:rsidR="006E0A8D" w:rsidRPr="00BF0050" w:rsidTr="000434CD">
        <w:trPr>
          <w:trHeight w:val="412"/>
          <w:jc w:val="center"/>
        </w:trPr>
        <w:tc>
          <w:tcPr>
            <w:tcW w:w="5125" w:type="dxa"/>
            <w:tcBorders>
              <w:top w:val="dotted" w:sz="4" w:space="0" w:color="auto"/>
              <w:left w:val="single" w:sz="8" w:space="0" w:color="auto"/>
              <w:bottom w:val="single" w:sz="4" w:space="0" w:color="auto"/>
              <w:right w:val="single" w:sz="8" w:space="0" w:color="auto"/>
            </w:tcBorders>
            <w:noWrap/>
            <w:vAlign w:val="center"/>
          </w:tcPr>
          <w:p w:rsidR="006E0A8D" w:rsidRPr="00BF0050" w:rsidRDefault="006E0A8D" w:rsidP="006E0A8D">
            <w:pPr>
              <w:spacing w:before="40" w:line="240" w:lineRule="auto"/>
              <w:ind w:firstLine="0"/>
              <w:rPr>
                <w:color w:val="000000"/>
              </w:rPr>
            </w:pPr>
            <w:r w:rsidRPr="00BF0050">
              <w:rPr>
                <w:color w:val="000000"/>
              </w:rPr>
              <w:t>Кредиты населению, % </w:t>
            </w:r>
          </w:p>
        </w:tc>
        <w:tc>
          <w:tcPr>
            <w:tcW w:w="1224" w:type="dxa"/>
            <w:tcBorders>
              <w:top w:val="dotted" w:sz="4" w:space="0" w:color="auto"/>
              <w:left w:val="nil"/>
              <w:bottom w:val="single" w:sz="4" w:space="0" w:color="auto"/>
              <w:right w:val="nil"/>
            </w:tcBorders>
            <w:noWrap/>
            <w:vAlign w:val="center"/>
          </w:tcPr>
          <w:p w:rsidR="006E0A8D" w:rsidRPr="00BF0050" w:rsidRDefault="006E0A8D" w:rsidP="006E0A8D">
            <w:pPr>
              <w:spacing w:before="40" w:line="240" w:lineRule="auto"/>
              <w:ind w:firstLine="0"/>
              <w:jc w:val="center"/>
              <w:rPr>
                <w:color w:val="000000"/>
              </w:rPr>
            </w:pPr>
            <w:r w:rsidRPr="00BF0050">
              <w:rPr>
                <w:color w:val="000000"/>
              </w:rPr>
              <w:t>-4,8</w:t>
            </w:r>
          </w:p>
        </w:tc>
        <w:tc>
          <w:tcPr>
            <w:tcW w:w="1360" w:type="dxa"/>
            <w:tcBorders>
              <w:top w:val="dotted" w:sz="4" w:space="0" w:color="auto"/>
              <w:left w:val="single" w:sz="8" w:space="0" w:color="auto"/>
              <w:bottom w:val="single" w:sz="4" w:space="0" w:color="auto"/>
              <w:right w:val="nil"/>
            </w:tcBorders>
            <w:noWrap/>
            <w:vAlign w:val="center"/>
          </w:tcPr>
          <w:p w:rsidR="006E0A8D" w:rsidRPr="00BF0050" w:rsidRDefault="006E0A8D" w:rsidP="006E0A8D">
            <w:pPr>
              <w:spacing w:before="40" w:line="240" w:lineRule="auto"/>
              <w:ind w:firstLine="0"/>
              <w:jc w:val="center"/>
              <w:rPr>
                <w:color w:val="000000"/>
              </w:rPr>
            </w:pPr>
            <w:r w:rsidRPr="00BF0050">
              <w:rPr>
                <w:color w:val="000000"/>
              </w:rPr>
              <w:t>0,1</w:t>
            </w:r>
          </w:p>
        </w:tc>
        <w:tc>
          <w:tcPr>
            <w:tcW w:w="1226" w:type="dxa"/>
            <w:tcBorders>
              <w:top w:val="dotted" w:sz="4" w:space="0" w:color="auto"/>
              <w:left w:val="single" w:sz="8" w:space="0" w:color="auto"/>
              <w:bottom w:val="single" w:sz="4" w:space="0" w:color="auto"/>
              <w:right w:val="single" w:sz="8" w:space="0" w:color="auto"/>
            </w:tcBorders>
            <w:noWrap/>
            <w:vAlign w:val="center"/>
          </w:tcPr>
          <w:p w:rsidR="006E0A8D" w:rsidRPr="00BF0050" w:rsidRDefault="006E0A8D" w:rsidP="006E0A8D">
            <w:pPr>
              <w:spacing w:before="40" w:line="240" w:lineRule="auto"/>
              <w:ind w:firstLine="0"/>
              <w:jc w:val="center"/>
              <w:rPr>
                <w:color w:val="000000"/>
              </w:rPr>
            </w:pPr>
            <w:r w:rsidRPr="00BF0050">
              <w:rPr>
                <w:color w:val="000000"/>
              </w:rPr>
              <w:t>7,1</w:t>
            </w:r>
          </w:p>
        </w:tc>
        <w:tc>
          <w:tcPr>
            <w:tcW w:w="1216" w:type="dxa"/>
            <w:tcBorders>
              <w:top w:val="dotted" w:sz="4" w:space="0" w:color="auto"/>
              <w:left w:val="nil"/>
              <w:bottom w:val="single" w:sz="4" w:space="0" w:color="auto"/>
              <w:right w:val="single" w:sz="8" w:space="0" w:color="auto"/>
            </w:tcBorders>
            <w:noWrap/>
            <w:vAlign w:val="center"/>
          </w:tcPr>
          <w:p w:rsidR="006E0A8D" w:rsidRPr="00BF0050" w:rsidRDefault="006E0A8D" w:rsidP="006E0A8D">
            <w:pPr>
              <w:spacing w:before="40" w:line="240" w:lineRule="auto"/>
              <w:ind w:firstLine="0"/>
              <w:jc w:val="center"/>
              <w:rPr>
                <w:color w:val="000000"/>
              </w:rPr>
            </w:pPr>
            <w:r w:rsidRPr="00BF0050">
              <w:rPr>
                <w:color w:val="000000"/>
              </w:rPr>
              <w:t>8,4</w:t>
            </w:r>
          </w:p>
        </w:tc>
      </w:tr>
    </w:tbl>
    <w:p w:rsidR="006E0A8D" w:rsidRPr="00BF0050" w:rsidRDefault="006E0A8D" w:rsidP="006E0A8D">
      <w:pPr>
        <w:spacing w:before="240" w:after="0"/>
        <w:jc w:val="both"/>
        <w:rPr>
          <w:bCs/>
          <w:sz w:val="26"/>
          <w:szCs w:val="26"/>
        </w:rPr>
      </w:pPr>
      <w:r w:rsidRPr="00BF0050">
        <w:rPr>
          <w:rFonts w:eastAsia="Calibri"/>
          <w:bCs/>
          <w:sz w:val="26"/>
          <w:szCs w:val="26"/>
        </w:rPr>
        <w:t>Основным каналом поступления денег в экономику</w:t>
      </w:r>
      <w:r w:rsidRPr="00BF0050">
        <w:rPr>
          <w:bCs/>
          <w:sz w:val="26"/>
          <w:szCs w:val="26"/>
        </w:rPr>
        <w:t xml:space="preserve"> в 2016 году будет (как и годом ранее) канал бюджетный. При этом расходование средств из Резервного фонда будет стерилизоваться через дальнейшее сокращение валового кредита (</w:t>
      </w:r>
      <w:r w:rsidRPr="00BF0050">
        <w:rPr>
          <w:rFonts w:eastAsia="Calibri"/>
          <w:bCs/>
          <w:sz w:val="26"/>
          <w:szCs w:val="26"/>
        </w:rPr>
        <w:t>с 4,4 трлн. рублей по состоянию на начало текущего года до 3,1 трлн. рублей на конец 2016 </w:t>
      </w:r>
      <w:r w:rsidRPr="00BF0050">
        <w:rPr>
          <w:bCs/>
          <w:sz w:val="26"/>
          <w:szCs w:val="26"/>
        </w:rPr>
        <w:t>года</w:t>
      </w:r>
      <w:r w:rsidRPr="00BF0050">
        <w:rPr>
          <w:rFonts w:eastAsia="Calibri"/>
          <w:bCs/>
          <w:sz w:val="26"/>
          <w:szCs w:val="26"/>
        </w:rPr>
        <w:t xml:space="preserve">). </w:t>
      </w:r>
      <w:r w:rsidRPr="00BF0050">
        <w:rPr>
          <w:bCs/>
          <w:sz w:val="26"/>
          <w:szCs w:val="26"/>
        </w:rPr>
        <w:t xml:space="preserve">В последующие годы роль бюджетного канала будет снижаться (с около 1,3 трлн. рублей расходования из суверенных фондов в 2017 году до менее 0,7 трлн. рублей в 2019 году).  </w:t>
      </w:r>
    </w:p>
    <w:p w:rsidR="006E0A8D" w:rsidRPr="00BF0050" w:rsidRDefault="006E0A8D" w:rsidP="006E0A8D">
      <w:pPr>
        <w:spacing w:before="0" w:after="0"/>
        <w:jc w:val="both"/>
        <w:rPr>
          <w:bCs/>
          <w:sz w:val="26"/>
          <w:szCs w:val="26"/>
        </w:rPr>
      </w:pPr>
      <w:r w:rsidRPr="00BF0050">
        <w:rPr>
          <w:rFonts w:eastAsia="Calibri"/>
          <w:bCs/>
          <w:sz w:val="26"/>
          <w:szCs w:val="26"/>
        </w:rPr>
        <w:t>Валовый кредит в базовом варианте сценарных условий в 2017 – 2019 гг. стабилизируется на уровне 1,4–1,6 трлн. рублей (в конце прогнозного периода из-за невозможности дальнейшего «</w:t>
      </w:r>
      <w:proofErr w:type="spellStart"/>
      <w:r w:rsidRPr="00BF0050">
        <w:rPr>
          <w:rFonts w:eastAsia="Calibri"/>
          <w:bCs/>
          <w:sz w:val="26"/>
          <w:szCs w:val="26"/>
        </w:rPr>
        <w:t>зеркалирования</w:t>
      </w:r>
      <w:proofErr w:type="spellEnd"/>
      <w:r w:rsidRPr="00BF0050">
        <w:rPr>
          <w:rFonts w:eastAsia="Calibri"/>
          <w:bCs/>
          <w:sz w:val="26"/>
          <w:szCs w:val="26"/>
        </w:rPr>
        <w:t>» произойдет увеличение свободной ликвидности, и соответственно, ро</w:t>
      </w:r>
      <w:proofErr w:type="gramStart"/>
      <w:r w:rsidRPr="00BF0050">
        <w:rPr>
          <w:rFonts w:eastAsia="Calibri"/>
          <w:bCs/>
          <w:sz w:val="26"/>
          <w:szCs w:val="26"/>
        </w:rPr>
        <w:t>ст стр</w:t>
      </w:r>
      <w:proofErr w:type="gramEnd"/>
      <w:r w:rsidRPr="00BF0050">
        <w:rPr>
          <w:rFonts w:eastAsia="Calibri"/>
          <w:bCs/>
          <w:sz w:val="26"/>
          <w:szCs w:val="26"/>
        </w:rPr>
        <w:t>уктурного профицита ликвидности, к которому ситуация вернется уже в 2017 году). Режим структурного профицита характеризуется ослаблением роли процентной политики в части предоставления ликвидности Банком России, а действенным инструментом становится ставка по абсорбированию свободной ликвидности (депозитная ставка Банка России).</w:t>
      </w:r>
    </w:p>
    <w:p w:rsidR="006E0A8D" w:rsidRPr="00BF0050" w:rsidRDefault="006E0A8D" w:rsidP="006E0A8D">
      <w:pPr>
        <w:spacing w:before="0" w:after="0"/>
        <w:jc w:val="both"/>
        <w:rPr>
          <w:rFonts w:eastAsia="Calibri"/>
          <w:sz w:val="26"/>
          <w:szCs w:val="26"/>
        </w:rPr>
      </w:pPr>
      <w:r w:rsidRPr="00BF0050">
        <w:rPr>
          <w:rFonts w:eastAsia="Calibri"/>
          <w:bCs/>
          <w:sz w:val="26"/>
          <w:szCs w:val="26"/>
        </w:rPr>
        <w:t xml:space="preserve"> Прирост денежной массы в национальном определении (денежного агрегата М2) на протяжении всего прогнозного периода будет составлять около 10 % ежегодно. </w:t>
      </w:r>
      <w:r w:rsidRPr="00BF0050">
        <w:rPr>
          <w:rFonts w:eastAsia="Calibri"/>
          <w:sz w:val="26"/>
          <w:szCs w:val="26"/>
        </w:rPr>
        <w:t xml:space="preserve">Такое увеличение спроса на деньги в среднесрочной перспективе не будет оказывать избыточного давления на динамику потребительских цен. </w:t>
      </w:r>
    </w:p>
    <w:p w:rsidR="006E0A8D" w:rsidRPr="00BF0050" w:rsidRDefault="006E0A8D" w:rsidP="006E0A8D">
      <w:pPr>
        <w:spacing w:before="0" w:after="0"/>
        <w:jc w:val="both"/>
        <w:rPr>
          <w:rFonts w:eastAsia="Calibri"/>
          <w:sz w:val="26"/>
          <w:szCs w:val="26"/>
        </w:rPr>
      </w:pPr>
      <w:r w:rsidRPr="00BF0050">
        <w:rPr>
          <w:rFonts w:eastAsia="Calibri"/>
          <w:sz w:val="26"/>
          <w:szCs w:val="26"/>
        </w:rPr>
        <w:t xml:space="preserve">Постепенное увеличение прибыли позитивно скажется на увеличении остатков на текущих и расчетных счетах нефинансовых организаций, а также их срочных вкладах. В целом темпы прироста депозитов предприятий будут составлять 8–9  % ежегодно. </w:t>
      </w:r>
    </w:p>
    <w:p w:rsidR="006E0A8D" w:rsidRPr="00BF0050" w:rsidRDefault="006E0A8D" w:rsidP="006E0A8D">
      <w:pPr>
        <w:spacing w:before="0" w:after="0"/>
        <w:jc w:val="both"/>
        <w:rPr>
          <w:bCs/>
          <w:sz w:val="26"/>
          <w:szCs w:val="26"/>
        </w:rPr>
      </w:pPr>
      <w:r w:rsidRPr="00BF0050">
        <w:rPr>
          <w:bCs/>
          <w:sz w:val="26"/>
          <w:szCs w:val="26"/>
        </w:rPr>
        <w:t>Динамика рублевых депозитов населения прогнозируется достаточно стабильной (но при более низких темпах прироста по сравнению с темпами предшествующего года, когда они составили 19,4 процента). При этом для части банковского сектора при сохраняющихся барьерах и не</w:t>
      </w:r>
      <w:r w:rsidR="00D94747" w:rsidRPr="00BF0050">
        <w:rPr>
          <w:bCs/>
          <w:sz w:val="26"/>
          <w:szCs w:val="26"/>
        </w:rPr>
        <w:t>определенности</w:t>
      </w:r>
      <w:r w:rsidRPr="00BF0050">
        <w:rPr>
          <w:bCs/>
          <w:sz w:val="26"/>
          <w:szCs w:val="26"/>
        </w:rPr>
        <w:t xml:space="preserve"> перспективы их снятия на мировых рынках капитала они останутся достаточно важным источником фондирования. Темпы прироста рублевых депозитов населения в 2016 – 2019 гг. будут находиться на уровне 10–12 % ежегодно в течение всего прогнозного периода.</w:t>
      </w:r>
    </w:p>
    <w:p w:rsidR="006E0A8D" w:rsidRPr="00BF0050" w:rsidRDefault="006E0A8D" w:rsidP="006E0A8D">
      <w:pPr>
        <w:spacing w:before="0" w:after="0"/>
        <w:jc w:val="both"/>
        <w:rPr>
          <w:rFonts w:eastAsia="Calibri"/>
          <w:sz w:val="26"/>
          <w:szCs w:val="26"/>
        </w:rPr>
      </w:pPr>
      <w:r w:rsidRPr="00BF0050">
        <w:rPr>
          <w:rFonts w:eastAsia="Calibri"/>
          <w:sz w:val="26"/>
          <w:szCs w:val="26"/>
        </w:rPr>
        <w:lastRenderedPageBreak/>
        <w:t xml:space="preserve">Темпы прироста кредитного портфеля населению </w:t>
      </w:r>
      <w:r w:rsidRPr="00BF0050">
        <w:rPr>
          <w:sz w:val="26"/>
          <w:szCs w:val="26"/>
        </w:rPr>
        <w:t>ожидаются в 2016 году отрицательными</w:t>
      </w:r>
      <w:r w:rsidRPr="00BF0050">
        <w:rPr>
          <w:rFonts w:eastAsia="Calibri"/>
          <w:sz w:val="26"/>
          <w:szCs w:val="26"/>
        </w:rPr>
        <w:t xml:space="preserve"> (прогнозируется </w:t>
      </w:r>
      <w:r w:rsidR="00D94747" w:rsidRPr="00BF0050">
        <w:rPr>
          <w:rFonts w:eastAsia="Calibri"/>
          <w:sz w:val="26"/>
          <w:szCs w:val="26"/>
        </w:rPr>
        <w:t xml:space="preserve">снижение </w:t>
      </w:r>
      <w:r w:rsidRPr="00BF0050">
        <w:rPr>
          <w:rFonts w:eastAsia="Calibri"/>
          <w:sz w:val="26"/>
          <w:szCs w:val="26"/>
        </w:rPr>
        <w:t>в размере около 5 процентов). В последующие годы предполагается восстановление кредитования: если в 2017 году прогнозируются незначительные положительные темпы роста, то в 2018 </w:t>
      </w:r>
      <w:r w:rsidRPr="00BF0050">
        <w:rPr>
          <w:sz w:val="26"/>
          <w:szCs w:val="26"/>
        </w:rPr>
        <w:t>– </w:t>
      </w:r>
      <w:r w:rsidRPr="00BF0050">
        <w:rPr>
          <w:rFonts w:eastAsia="Calibri"/>
          <w:sz w:val="26"/>
          <w:szCs w:val="26"/>
        </w:rPr>
        <w:t xml:space="preserve">2019 </w:t>
      </w:r>
      <w:r w:rsidRPr="00BF0050">
        <w:rPr>
          <w:sz w:val="26"/>
          <w:szCs w:val="26"/>
        </w:rPr>
        <w:t>гг.</w:t>
      </w:r>
      <w:r w:rsidRPr="00BF0050">
        <w:rPr>
          <w:rFonts w:eastAsia="Calibri"/>
          <w:sz w:val="26"/>
          <w:szCs w:val="26"/>
        </w:rPr>
        <w:t xml:space="preserve"> прирост кредитного портфеля населению будет находиться в диапазоне от 7 до 9 процентов. Темпы прироста кредитов нефинансовым организациям по базовому варианту прогнозируются в текущем году на уровне около 8 </w:t>
      </w:r>
      <w:r w:rsidRPr="00BF0050">
        <w:rPr>
          <w:sz w:val="26"/>
          <w:szCs w:val="26"/>
        </w:rPr>
        <w:t>%,</w:t>
      </w:r>
      <w:r w:rsidRPr="00BF0050">
        <w:rPr>
          <w:rFonts w:eastAsia="Calibri"/>
          <w:sz w:val="26"/>
          <w:szCs w:val="26"/>
        </w:rPr>
        <w:t xml:space="preserve"> в 2017 </w:t>
      </w:r>
      <w:r w:rsidRPr="00BF0050">
        <w:rPr>
          <w:sz w:val="26"/>
          <w:szCs w:val="26"/>
        </w:rPr>
        <w:t>– </w:t>
      </w:r>
      <w:r w:rsidRPr="00BF0050">
        <w:rPr>
          <w:rFonts w:eastAsia="Calibri"/>
          <w:sz w:val="26"/>
          <w:szCs w:val="26"/>
        </w:rPr>
        <w:t xml:space="preserve">2019 </w:t>
      </w:r>
      <w:r w:rsidRPr="00BF0050">
        <w:rPr>
          <w:sz w:val="26"/>
          <w:szCs w:val="26"/>
        </w:rPr>
        <w:t>гг.</w:t>
      </w:r>
      <w:r w:rsidRPr="00BF0050">
        <w:rPr>
          <w:rFonts w:eastAsia="Calibri"/>
          <w:sz w:val="26"/>
          <w:szCs w:val="26"/>
        </w:rPr>
        <w:t xml:space="preserve"> –                   9</w:t>
      </w:r>
      <w:r w:rsidRPr="00BF0050">
        <w:rPr>
          <w:sz w:val="26"/>
          <w:szCs w:val="26"/>
        </w:rPr>
        <w:t>–12</w:t>
      </w:r>
      <w:r w:rsidRPr="00BF0050">
        <w:rPr>
          <w:rFonts w:eastAsia="Calibri"/>
          <w:sz w:val="26"/>
          <w:szCs w:val="26"/>
        </w:rPr>
        <w:t xml:space="preserve"> процентов. Следует отметить, что тормозящее влияни</w:t>
      </w:r>
      <w:r w:rsidR="00D94747" w:rsidRPr="00BF0050">
        <w:rPr>
          <w:rFonts w:eastAsia="Calibri"/>
          <w:sz w:val="26"/>
          <w:szCs w:val="26"/>
        </w:rPr>
        <w:t>е</w:t>
      </w:r>
      <w:r w:rsidRPr="00BF0050">
        <w:rPr>
          <w:rFonts w:eastAsia="Calibri"/>
          <w:sz w:val="26"/>
          <w:szCs w:val="26"/>
        </w:rPr>
        <w:t xml:space="preserve"> на прирост кредитного портфеля (главным образом нефинансового сектора) будет оказывать замещающий прирост кредитного портфеля государственных ценных бумаг (чистый прирост в прогнозный период будет составлять 800–1100 млрд. рублей ежегодно).</w:t>
      </w:r>
    </w:p>
    <w:p w:rsidR="004B3AA9" w:rsidRPr="00BF0050" w:rsidRDefault="004B2202" w:rsidP="000D5110">
      <w:pPr>
        <w:rPr>
          <w:b/>
          <w:bCs/>
          <w:sz w:val="26"/>
          <w:szCs w:val="26"/>
        </w:rPr>
      </w:pPr>
      <w:bookmarkStart w:id="59" w:name="_Toc387150545"/>
      <w:bookmarkEnd w:id="59"/>
      <w:r w:rsidRPr="00BF0050">
        <w:rPr>
          <w:b/>
          <w:bCs/>
          <w:sz w:val="26"/>
          <w:szCs w:val="26"/>
        </w:rPr>
        <w:t xml:space="preserve">Сбалансированность бюджетной системы </w:t>
      </w:r>
    </w:p>
    <w:p w:rsidR="00276D0D" w:rsidRPr="00BF0050" w:rsidRDefault="00276D0D" w:rsidP="00276D0D">
      <w:pPr>
        <w:spacing w:before="0" w:after="0"/>
        <w:contextualSpacing/>
        <w:jc w:val="both"/>
        <w:rPr>
          <w:rFonts w:eastAsia="Calibri"/>
          <w:sz w:val="26"/>
          <w:szCs w:val="26"/>
          <w:lang w:eastAsia="en-US"/>
        </w:rPr>
      </w:pPr>
      <w:r w:rsidRPr="00BF0050">
        <w:rPr>
          <w:rFonts w:eastAsia="Calibri"/>
          <w:sz w:val="26"/>
          <w:szCs w:val="26"/>
          <w:lang w:eastAsia="en-US"/>
        </w:rPr>
        <w:t>Прогноз основных параметров бюджетов бюджетной системы Российской Федерации по вариантам основан на динамике макроэкономических показателей, учтенных в соответствующих вариантах прогноза. Бюджеты бюджетной системы Российской Федерации в среднесрочной перспективе являются с финансовой точки зрения сбалансированными по всем вариантам: расходы в полном объеме обеспечены доходами и источниками финансирования дефицита.</w:t>
      </w:r>
    </w:p>
    <w:p w:rsidR="00A623BF" w:rsidRPr="00BF0050" w:rsidRDefault="00276D0D" w:rsidP="00276D0D">
      <w:pPr>
        <w:spacing w:before="0" w:after="0"/>
        <w:contextualSpacing/>
        <w:jc w:val="both"/>
        <w:rPr>
          <w:rFonts w:eastAsia="Calibri"/>
          <w:sz w:val="26"/>
          <w:szCs w:val="26"/>
          <w:lang w:eastAsia="en-US"/>
        </w:rPr>
      </w:pPr>
      <w:r w:rsidRPr="00BF0050">
        <w:rPr>
          <w:rFonts w:eastAsia="Calibri"/>
          <w:sz w:val="26"/>
          <w:szCs w:val="26"/>
          <w:lang w:eastAsia="en-US"/>
        </w:rPr>
        <w:t xml:space="preserve">Все варианты прогноза предполагают существенное снижение доходов федерального бюджета относительно проектировок, учтенных при подготовке утвержденного закона о федеральном бюджете на 2016 год. </w:t>
      </w:r>
    </w:p>
    <w:p w:rsidR="00276D0D" w:rsidRPr="00BF0050" w:rsidRDefault="00276D0D" w:rsidP="00276D0D">
      <w:pPr>
        <w:spacing w:before="0" w:after="0"/>
        <w:contextualSpacing/>
        <w:jc w:val="both"/>
        <w:rPr>
          <w:rFonts w:eastAsia="Calibri"/>
          <w:sz w:val="26"/>
          <w:szCs w:val="26"/>
          <w:lang w:eastAsia="en-US"/>
        </w:rPr>
      </w:pPr>
      <w:r w:rsidRPr="00BF0050">
        <w:rPr>
          <w:rFonts w:eastAsia="Calibri"/>
          <w:sz w:val="26"/>
          <w:szCs w:val="26"/>
          <w:lang w:eastAsia="en-US"/>
        </w:rPr>
        <w:t xml:space="preserve">Решение складывающейся ситуации не будет переложено на увеличение налоговой нагрузки – учитывается мораторий </w:t>
      </w:r>
      <w:r w:rsidR="00B10D52" w:rsidRPr="00BF0050">
        <w:rPr>
          <w:rFonts w:eastAsia="Calibri"/>
          <w:sz w:val="26"/>
          <w:szCs w:val="26"/>
          <w:lang w:eastAsia="en-US"/>
        </w:rPr>
        <w:t>на</w:t>
      </w:r>
      <w:r w:rsidRPr="00BF0050">
        <w:rPr>
          <w:rFonts w:eastAsia="Calibri"/>
          <w:sz w:val="26"/>
          <w:szCs w:val="26"/>
          <w:lang w:eastAsia="en-US"/>
        </w:rPr>
        <w:t xml:space="preserve"> повышение налоговых и таможенных ставок </w:t>
      </w:r>
      <w:proofErr w:type="gramStart"/>
      <w:r w:rsidRPr="00BF0050">
        <w:rPr>
          <w:rFonts w:eastAsia="Calibri"/>
          <w:sz w:val="26"/>
          <w:szCs w:val="26"/>
          <w:lang w:eastAsia="en-US"/>
        </w:rPr>
        <w:t>сверх</w:t>
      </w:r>
      <w:proofErr w:type="gramEnd"/>
      <w:r w:rsidRPr="00BF0050">
        <w:rPr>
          <w:rFonts w:eastAsia="Calibri"/>
          <w:sz w:val="26"/>
          <w:szCs w:val="26"/>
          <w:lang w:eastAsia="en-US"/>
        </w:rPr>
        <w:t xml:space="preserve"> установленных действующих законодательством. </w:t>
      </w:r>
    </w:p>
    <w:p w:rsidR="00276D0D" w:rsidRPr="00BF0050" w:rsidRDefault="00276D0D" w:rsidP="00276D0D">
      <w:pPr>
        <w:spacing w:before="0" w:after="0"/>
        <w:contextualSpacing/>
        <w:jc w:val="both"/>
        <w:rPr>
          <w:rFonts w:eastAsia="Calibri"/>
          <w:sz w:val="26"/>
          <w:szCs w:val="26"/>
          <w:lang w:eastAsia="en-US"/>
        </w:rPr>
      </w:pPr>
      <w:r w:rsidRPr="00BF0050">
        <w:rPr>
          <w:rFonts w:eastAsia="Calibri"/>
          <w:sz w:val="26"/>
          <w:szCs w:val="26"/>
          <w:lang w:eastAsia="en-US"/>
        </w:rPr>
        <w:t>В части политики в области бюджетных расходов Минэкономразвития России предлагает придерживаться положения Послания Президента Российской Федерации Федеральному Собранию Российской Федерации (от 4 декабря 2014 г.) по сокращению расходов федерального бюджета в реальном выражении не менее чем на 5 % ежегодно не только в 2017 году, но и в 2018 – 2019 годах, за счет сокращения неэффективных затрат.</w:t>
      </w:r>
    </w:p>
    <w:p w:rsidR="00A623BF" w:rsidRPr="00BF0050" w:rsidRDefault="00276D0D" w:rsidP="00A623BF">
      <w:pPr>
        <w:spacing w:before="0" w:after="0"/>
        <w:contextualSpacing/>
        <w:jc w:val="both"/>
        <w:rPr>
          <w:rFonts w:eastAsia="Calibri"/>
          <w:sz w:val="26"/>
          <w:szCs w:val="26"/>
          <w:lang w:eastAsia="en-US"/>
        </w:rPr>
      </w:pPr>
      <w:r w:rsidRPr="00BF0050">
        <w:rPr>
          <w:rFonts w:eastAsia="Calibri"/>
          <w:sz w:val="26"/>
          <w:szCs w:val="26"/>
          <w:lang w:eastAsia="en-US"/>
        </w:rPr>
        <w:t xml:space="preserve"> </w:t>
      </w:r>
      <w:r w:rsidR="00A623BF" w:rsidRPr="00BF0050">
        <w:rPr>
          <w:rFonts w:eastAsia="Calibri"/>
          <w:sz w:val="26"/>
          <w:szCs w:val="26"/>
          <w:lang w:eastAsia="en-US"/>
        </w:rPr>
        <w:t>По всем вариантам прогноза наблюдается дефицит федерального бюджета на протяжении всего прогнозного периода, что потребует мобилизаци</w:t>
      </w:r>
      <w:r w:rsidR="00B10D52" w:rsidRPr="00BF0050">
        <w:rPr>
          <w:rFonts w:eastAsia="Calibri"/>
          <w:sz w:val="26"/>
          <w:szCs w:val="26"/>
          <w:lang w:eastAsia="en-US"/>
        </w:rPr>
        <w:t>и</w:t>
      </w:r>
      <w:r w:rsidR="00A623BF" w:rsidRPr="00BF0050">
        <w:rPr>
          <w:rFonts w:eastAsia="Calibri"/>
          <w:sz w:val="26"/>
          <w:szCs w:val="26"/>
          <w:lang w:eastAsia="en-US"/>
        </w:rPr>
        <w:t xml:space="preserve"> всех доступных ресурсов бюджетов бюджетной системы Российской Федерации.</w:t>
      </w:r>
    </w:p>
    <w:p w:rsidR="00A623BF" w:rsidRPr="00BF0050" w:rsidRDefault="00A623BF" w:rsidP="00A623BF">
      <w:pPr>
        <w:spacing w:before="0" w:after="0"/>
        <w:contextualSpacing/>
        <w:jc w:val="both"/>
        <w:rPr>
          <w:rFonts w:eastAsia="Calibri"/>
          <w:sz w:val="26"/>
          <w:szCs w:val="26"/>
          <w:lang w:eastAsia="en-US"/>
        </w:rPr>
      </w:pPr>
      <w:r w:rsidRPr="00BF0050">
        <w:rPr>
          <w:rFonts w:eastAsia="Calibri"/>
          <w:sz w:val="26"/>
          <w:szCs w:val="26"/>
          <w:lang w:eastAsia="en-US"/>
        </w:rPr>
        <w:t xml:space="preserve">Финансирование дефицита </w:t>
      </w:r>
      <w:r w:rsidR="00B10D52" w:rsidRPr="00BF0050">
        <w:rPr>
          <w:rFonts w:eastAsia="Calibri"/>
          <w:sz w:val="26"/>
          <w:szCs w:val="26"/>
          <w:lang w:eastAsia="en-US"/>
        </w:rPr>
        <w:t>в</w:t>
      </w:r>
      <w:r w:rsidR="00B10D52" w:rsidRPr="00BF0050">
        <w:rPr>
          <w:rFonts w:eastAsia="Calibri"/>
        </w:rPr>
        <w:t> </w:t>
      </w:r>
      <w:r w:rsidR="00B10D52" w:rsidRPr="00BF0050">
        <w:rPr>
          <w:rFonts w:eastAsia="Calibri"/>
          <w:sz w:val="26"/>
          <w:szCs w:val="26"/>
          <w:lang w:eastAsia="en-US"/>
        </w:rPr>
        <w:t xml:space="preserve">прогнозный период </w:t>
      </w:r>
      <w:r w:rsidRPr="00BF0050">
        <w:rPr>
          <w:rFonts w:eastAsia="Calibri"/>
          <w:sz w:val="26"/>
          <w:szCs w:val="26"/>
          <w:lang w:eastAsia="en-US"/>
        </w:rPr>
        <w:t>будет осуществляться за счет использования Резервного фонда и Фонда национального благосостояния. При этом в</w:t>
      </w:r>
      <w:r w:rsidR="0003706E" w:rsidRPr="00BF0050">
        <w:rPr>
          <w:rFonts w:eastAsia="Calibri"/>
          <w:sz w:val="26"/>
          <w:szCs w:val="26"/>
          <w:lang w:eastAsia="en-US"/>
        </w:rPr>
        <w:t> </w:t>
      </w:r>
      <w:r w:rsidRPr="00BF0050">
        <w:rPr>
          <w:rFonts w:eastAsia="Calibri"/>
          <w:sz w:val="26"/>
          <w:szCs w:val="26"/>
          <w:lang w:eastAsia="en-US"/>
        </w:rPr>
        <w:t>консервативном варианте использование средств Фонда национального благосостояния в целях балансировки федерального бюджета начнется уже с 2017 года. Минэкономразвития России исходит из необходимости сохранить объем фондов не менее 2 трлн. рублей к концу 2019 года. Вместе с тем по консервативному варианту ресурсы бюджетных фондов к концу 2019 года будут полностью исчерпаны.</w:t>
      </w:r>
    </w:p>
    <w:p w:rsidR="00A623BF" w:rsidRPr="00BF0050" w:rsidRDefault="00A623BF" w:rsidP="00A623BF">
      <w:pPr>
        <w:spacing w:before="0" w:after="0"/>
        <w:contextualSpacing/>
        <w:jc w:val="both"/>
        <w:rPr>
          <w:rFonts w:eastAsia="Calibri"/>
          <w:sz w:val="26"/>
          <w:szCs w:val="26"/>
          <w:lang w:eastAsia="en-US"/>
        </w:rPr>
      </w:pPr>
      <w:r w:rsidRPr="00BF0050">
        <w:rPr>
          <w:rFonts w:eastAsia="Calibri"/>
          <w:sz w:val="26"/>
          <w:szCs w:val="26"/>
          <w:lang w:eastAsia="en-US"/>
        </w:rPr>
        <w:lastRenderedPageBreak/>
        <w:t>Во всех вариантах прогноза финансирование дефицита федерального бюджета на протяжении всего прогнозного периода потребует значительного положительного сальдо заимствований по государственным ценным бумагам. Кроме того, важным источником покрытия дефицита должна стать приватизация государственного имущества.</w:t>
      </w:r>
    </w:p>
    <w:p w:rsidR="00BA0A2F" w:rsidRPr="00BF0050" w:rsidRDefault="00BA0A2F" w:rsidP="000D5110">
      <w:pPr>
        <w:jc w:val="both"/>
        <w:rPr>
          <w:rFonts w:eastAsia="Calibri"/>
          <w:sz w:val="26"/>
          <w:szCs w:val="26"/>
          <w:lang w:eastAsia="en-US"/>
        </w:rPr>
      </w:pPr>
      <w:r w:rsidRPr="00BF0050">
        <w:rPr>
          <w:rFonts w:eastAsia="Calibri"/>
          <w:b/>
          <w:sz w:val="26"/>
          <w:szCs w:val="26"/>
          <w:lang w:eastAsia="en-US"/>
        </w:rPr>
        <w:t>Параметры доходной части бюджета</w:t>
      </w:r>
      <w:r w:rsidRPr="00BF0050">
        <w:rPr>
          <w:rFonts w:eastAsia="Calibri"/>
          <w:sz w:val="26"/>
          <w:szCs w:val="26"/>
          <w:lang w:eastAsia="en-US"/>
        </w:rPr>
        <w:t xml:space="preserve"> </w:t>
      </w:r>
    </w:p>
    <w:p w:rsidR="00A623BF" w:rsidRPr="00BF0050" w:rsidRDefault="00A623BF" w:rsidP="000D5110">
      <w:pPr>
        <w:spacing w:after="0"/>
        <w:jc w:val="both"/>
        <w:rPr>
          <w:rFonts w:eastAsia="Calibri"/>
          <w:sz w:val="26"/>
          <w:szCs w:val="26"/>
          <w:lang w:eastAsia="en-US"/>
        </w:rPr>
      </w:pPr>
      <w:r w:rsidRPr="00BF0050">
        <w:rPr>
          <w:rFonts w:eastAsia="Calibri"/>
          <w:noProof/>
        </w:rPr>
        <w:drawing>
          <wp:anchor distT="0" distB="0" distL="114300" distR="114300" simplePos="0" relativeHeight="251692032" behindDoc="1" locked="0" layoutInCell="1" allowOverlap="1" wp14:anchorId="7A5DA143" wp14:editId="75007B07">
            <wp:simplePos x="0" y="0"/>
            <wp:positionH relativeFrom="column">
              <wp:posOffset>3509010</wp:posOffset>
            </wp:positionH>
            <wp:positionV relativeFrom="paragraph">
              <wp:posOffset>282575</wp:posOffset>
            </wp:positionV>
            <wp:extent cx="2879725" cy="2116455"/>
            <wp:effectExtent l="0" t="0" r="0" b="0"/>
            <wp:wrapTight wrapText="bothSides">
              <wp:wrapPolygon edited="0">
                <wp:start x="0" y="0"/>
                <wp:lineTo x="0" y="21386"/>
                <wp:lineTo x="21433" y="21386"/>
                <wp:lineTo x="2143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9725" cy="211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0050">
        <w:rPr>
          <w:rFonts w:eastAsia="Calibri"/>
          <w:sz w:val="26"/>
          <w:szCs w:val="26"/>
          <w:lang w:eastAsia="en-US"/>
        </w:rPr>
        <w:t xml:space="preserve">В базовом варианте прогнозируемая </w:t>
      </w:r>
      <w:r w:rsidRPr="00BF0050">
        <w:rPr>
          <w:rFonts w:eastAsia="Calibri"/>
        </w:rPr>
        <w:t xml:space="preserve"> </w:t>
      </w:r>
      <w:r w:rsidRPr="00BF0050">
        <w:rPr>
          <w:rFonts w:eastAsia="Calibri"/>
          <w:sz w:val="26"/>
          <w:szCs w:val="26"/>
          <w:lang w:eastAsia="en-US"/>
        </w:rPr>
        <w:t xml:space="preserve">динамика валютного курса при  стабильной цене на нефть приведет к сокращению по отношению к ВВП величины нефтегазовых доходов федерального бюджета – 5,4 % ВВП  в  2016 году, 5,2 % ВВП  в 2017 году,     4,7 % в 2018 году и  4,4 % в 2019 году за счет стабилизации цены на нефть при одновременном укреплении рубля. Ненефтегазовые доходы в 2017 – 2019 гг. относительно стабильны – 8,8–9,0 % ВВП. </w:t>
      </w:r>
      <w:r w:rsidR="00B10D52" w:rsidRPr="00BF0050">
        <w:rPr>
          <w:rFonts w:eastAsia="Calibri"/>
          <w:sz w:val="26"/>
          <w:szCs w:val="26"/>
          <w:lang w:eastAsia="en-US"/>
        </w:rPr>
        <w:t>Таким образом,</w:t>
      </w:r>
      <w:r w:rsidRPr="00BF0050">
        <w:rPr>
          <w:rFonts w:eastAsia="Calibri"/>
          <w:sz w:val="26"/>
          <w:szCs w:val="26"/>
          <w:lang w:eastAsia="en-US"/>
        </w:rPr>
        <w:t xml:space="preserve"> доходы федерального бюджета составят 15,6 % ВВП в 2016 году, 14,2 % ВВП в 2017 году, 13,5 % ВВП в 2018 году и 13,3 % ВВП в 2019 году. Относительно 2015 года нефтегазовые доходы сократятся в 2016 году на 1,8 % ВВП за счет падения цен на нефть, отчасти компенсированного девальвацией рубля по отношению к доллару США.</w:t>
      </w:r>
    </w:p>
    <w:p w:rsidR="00A623BF" w:rsidRPr="00BF0050" w:rsidRDefault="00A623BF" w:rsidP="00A623BF">
      <w:pPr>
        <w:spacing w:before="0" w:after="0"/>
        <w:jc w:val="both"/>
        <w:rPr>
          <w:rFonts w:eastAsia="Calibri"/>
          <w:sz w:val="26"/>
          <w:szCs w:val="26"/>
          <w:lang w:eastAsia="en-US"/>
        </w:rPr>
      </w:pPr>
      <w:r w:rsidRPr="00BF0050">
        <w:rPr>
          <w:rFonts w:eastAsia="Calibri"/>
          <w:sz w:val="26"/>
          <w:szCs w:val="26"/>
          <w:lang w:eastAsia="en-US"/>
        </w:rPr>
        <w:t xml:space="preserve">Нефтегазовые доходы федерального бюджета в консервативном варианте </w:t>
      </w:r>
      <w:r w:rsidR="00B10D52" w:rsidRPr="00BF0050">
        <w:rPr>
          <w:rFonts w:eastAsia="Calibri"/>
          <w:sz w:val="26"/>
          <w:szCs w:val="26"/>
          <w:lang w:eastAsia="en-US"/>
        </w:rPr>
        <w:t>по сравнению с</w:t>
      </w:r>
      <w:r w:rsidRPr="00BF0050">
        <w:rPr>
          <w:rFonts w:eastAsia="Calibri"/>
          <w:sz w:val="26"/>
          <w:szCs w:val="26"/>
          <w:lang w:eastAsia="en-US"/>
        </w:rPr>
        <w:t xml:space="preserve"> базов</w:t>
      </w:r>
      <w:r w:rsidR="00B10D52" w:rsidRPr="00BF0050">
        <w:rPr>
          <w:rFonts w:eastAsia="Calibri"/>
          <w:sz w:val="26"/>
          <w:szCs w:val="26"/>
          <w:lang w:eastAsia="en-US"/>
        </w:rPr>
        <w:t>ым вариантом</w:t>
      </w:r>
      <w:r w:rsidRPr="00BF0050">
        <w:rPr>
          <w:rFonts w:eastAsia="Calibri"/>
          <w:sz w:val="26"/>
          <w:szCs w:val="26"/>
          <w:lang w:eastAsia="en-US"/>
        </w:rPr>
        <w:t xml:space="preserve"> будут ниже за счет более низкой цены на нефть – на 2,0</w:t>
      </w:r>
      <w:r w:rsidR="00237339" w:rsidRPr="00BF0050">
        <w:rPr>
          <w:rFonts w:eastAsia="Calibri"/>
          <w:sz w:val="26"/>
          <w:szCs w:val="26"/>
          <w:lang w:eastAsia="en-US"/>
        </w:rPr>
        <w:t> </w:t>
      </w:r>
      <w:r w:rsidRPr="00BF0050">
        <w:rPr>
          <w:rFonts w:eastAsia="Calibri"/>
          <w:sz w:val="26"/>
          <w:szCs w:val="26"/>
          <w:lang w:eastAsia="en-US"/>
        </w:rPr>
        <w:t xml:space="preserve">% ВВП в 2016 году, </w:t>
      </w:r>
      <w:r w:rsidR="00B10D52" w:rsidRPr="00BF0050">
        <w:rPr>
          <w:rFonts w:eastAsia="Calibri"/>
          <w:sz w:val="26"/>
          <w:szCs w:val="26"/>
          <w:lang w:eastAsia="en-US"/>
        </w:rPr>
        <w:t xml:space="preserve">на </w:t>
      </w:r>
      <w:r w:rsidRPr="00BF0050">
        <w:rPr>
          <w:rFonts w:eastAsia="Calibri"/>
          <w:sz w:val="26"/>
          <w:szCs w:val="26"/>
          <w:lang w:eastAsia="en-US"/>
        </w:rPr>
        <w:t>2,5 % ВВП в 2017 году</w:t>
      </w:r>
      <w:r w:rsidR="00B10D52" w:rsidRPr="00BF0050">
        <w:rPr>
          <w:rFonts w:eastAsia="Calibri"/>
          <w:sz w:val="26"/>
          <w:szCs w:val="26"/>
          <w:lang w:eastAsia="en-US"/>
        </w:rPr>
        <w:t xml:space="preserve">, на </w:t>
      </w:r>
      <w:r w:rsidRPr="00BF0050">
        <w:rPr>
          <w:rFonts w:eastAsia="Calibri"/>
          <w:sz w:val="26"/>
          <w:szCs w:val="26"/>
          <w:lang w:eastAsia="en-US"/>
        </w:rPr>
        <w:t>2,0 % ВВП в 2018 году и 1,9 % ВВП в 2019 году. По отношению к ВВП ненефтегазовые доходы будут незначительно отличаться от базового варианта – за счет более низкого номинального объема ВВП в</w:t>
      </w:r>
      <w:r w:rsidR="00237339" w:rsidRPr="00BF0050">
        <w:rPr>
          <w:rFonts w:eastAsia="Calibri"/>
          <w:sz w:val="26"/>
          <w:szCs w:val="26"/>
          <w:lang w:eastAsia="en-US"/>
        </w:rPr>
        <w:t> </w:t>
      </w:r>
      <w:r w:rsidRPr="00BF0050">
        <w:rPr>
          <w:rFonts w:eastAsia="Calibri"/>
          <w:sz w:val="26"/>
          <w:szCs w:val="26"/>
          <w:lang w:eastAsia="en-US"/>
        </w:rPr>
        <w:t>консервативном варианте.</w:t>
      </w:r>
    </w:p>
    <w:p w:rsidR="00A623BF" w:rsidRPr="00BF0050" w:rsidRDefault="00A623BF" w:rsidP="00A623BF">
      <w:pPr>
        <w:spacing w:before="0" w:after="0"/>
        <w:jc w:val="both"/>
        <w:rPr>
          <w:rFonts w:eastAsia="Calibri"/>
          <w:sz w:val="26"/>
          <w:szCs w:val="26"/>
          <w:lang w:eastAsia="en-US"/>
        </w:rPr>
      </w:pPr>
      <w:r w:rsidRPr="00BF0050">
        <w:rPr>
          <w:rFonts w:eastAsia="Calibri"/>
          <w:sz w:val="26"/>
          <w:szCs w:val="26"/>
          <w:lang w:eastAsia="en-US"/>
        </w:rPr>
        <w:t>Доходы федерального бюджета в целевом варианте прогноза отличаются от базового варианта за счет более крепкого рубля по отношению к доллару США и </w:t>
      </w:r>
      <w:r w:rsidR="003239E3" w:rsidRPr="00BF0050">
        <w:rPr>
          <w:rFonts w:eastAsia="Calibri"/>
          <w:sz w:val="26"/>
          <w:szCs w:val="26"/>
          <w:lang w:eastAsia="en-US"/>
        </w:rPr>
        <w:t>выр</w:t>
      </w:r>
      <w:r w:rsidRPr="00BF0050">
        <w:rPr>
          <w:rFonts w:eastAsia="Calibri"/>
          <w:sz w:val="26"/>
          <w:szCs w:val="26"/>
          <w:lang w:eastAsia="en-US"/>
        </w:rPr>
        <w:t>ажаются в относительно меньшем объеме нефтегазовых доходов – на 0,1 % ВВП в 2018 году, на 0,3 % ВВП в 2019 году. В структуре ненефтегазовых доходов незначительное сокращение НДС на импорт и ввозной таможенной пошлины компенсируется приростом внутреннего НДС.</w:t>
      </w:r>
    </w:p>
    <w:p w:rsidR="00A623BF" w:rsidRPr="00BF0050" w:rsidRDefault="00A623BF" w:rsidP="000D5110">
      <w:pPr>
        <w:jc w:val="both"/>
        <w:rPr>
          <w:rFonts w:eastAsia="Calibri"/>
          <w:sz w:val="26"/>
          <w:szCs w:val="26"/>
          <w:lang w:eastAsia="en-US"/>
        </w:rPr>
      </w:pPr>
      <w:r w:rsidRPr="00BF0050">
        <w:rPr>
          <w:rFonts w:eastAsia="Calibri"/>
          <w:b/>
          <w:sz w:val="26"/>
          <w:szCs w:val="26"/>
          <w:lang w:eastAsia="en-US"/>
        </w:rPr>
        <w:t>Подходы к определению расходной части бюджета</w:t>
      </w:r>
      <w:r w:rsidRPr="00BF0050">
        <w:rPr>
          <w:rFonts w:eastAsia="Calibri"/>
          <w:sz w:val="26"/>
          <w:szCs w:val="26"/>
          <w:lang w:eastAsia="en-US"/>
        </w:rPr>
        <w:t xml:space="preserve"> </w:t>
      </w:r>
    </w:p>
    <w:p w:rsidR="00A623BF" w:rsidRPr="00BF0050" w:rsidRDefault="00A623BF" w:rsidP="000D5110">
      <w:pPr>
        <w:spacing w:before="0"/>
        <w:jc w:val="both"/>
        <w:rPr>
          <w:rFonts w:eastAsia="Calibri"/>
          <w:sz w:val="26"/>
          <w:szCs w:val="26"/>
          <w:lang w:eastAsia="en-US"/>
        </w:rPr>
      </w:pPr>
      <w:r w:rsidRPr="00BF0050">
        <w:rPr>
          <w:rFonts w:eastAsia="Calibri"/>
          <w:sz w:val="26"/>
          <w:szCs w:val="26"/>
          <w:lang w:eastAsia="en-US"/>
        </w:rPr>
        <w:t xml:space="preserve">Предполагается продолжение работы по </w:t>
      </w:r>
      <w:proofErr w:type="spellStart"/>
      <w:r w:rsidRPr="00BF0050">
        <w:rPr>
          <w:rFonts w:eastAsia="Calibri"/>
          <w:sz w:val="26"/>
          <w:szCs w:val="26"/>
          <w:lang w:eastAsia="en-US"/>
        </w:rPr>
        <w:t>приоритизации</w:t>
      </w:r>
      <w:proofErr w:type="spellEnd"/>
      <w:r w:rsidRPr="00BF0050">
        <w:rPr>
          <w:rFonts w:eastAsia="Calibri"/>
          <w:sz w:val="26"/>
          <w:szCs w:val="26"/>
          <w:lang w:eastAsia="en-US"/>
        </w:rPr>
        <w:t xml:space="preserve"> и оптимизации расходов федерального бюджета. Проведение структурной перестройки расходной части является важной составляющей балансировки параметров федерального бюджета на 2017 – 2019 годы. Изменения расходной части федерального бюджета затронут вопросы повышения эффективности бюджетных расходов, пересмотра государственных программ Российской </w:t>
      </w:r>
      <w:r w:rsidRPr="00BF0050">
        <w:rPr>
          <w:rFonts w:eastAsia="Calibri"/>
          <w:sz w:val="26"/>
          <w:szCs w:val="26"/>
          <w:lang w:eastAsia="en-US"/>
        </w:rPr>
        <w:lastRenderedPageBreak/>
        <w:t>Федерации, смены целевых ориентиров и показателей социально-экономического развития Российской Федерации. Одним из критериев пересмотра расходов на госпрограммы является эффективность их реализации, в том числе макроэкономическая. Это позволяет сохранить расходы федерального бюджета, оказывающие наибольшее влияние на повышение темпов экономического развития страны.</w:t>
      </w:r>
    </w:p>
    <w:p w:rsidR="00A623BF" w:rsidRPr="00BF0050" w:rsidRDefault="00A623BF" w:rsidP="000D5110">
      <w:pPr>
        <w:contextualSpacing/>
        <w:jc w:val="both"/>
        <w:rPr>
          <w:b/>
          <w:sz w:val="26"/>
          <w:szCs w:val="26"/>
        </w:rPr>
      </w:pPr>
      <w:r w:rsidRPr="00BF0050">
        <w:rPr>
          <w:b/>
          <w:sz w:val="26"/>
          <w:szCs w:val="26"/>
        </w:rPr>
        <w:t>Сбалансированность региональных бюджетов</w:t>
      </w:r>
    </w:p>
    <w:p w:rsidR="00A623BF" w:rsidRPr="00BF0050" w:rsidRDefault="00A623BF" w:rsidP="000D5110">
      <w:pPr>
        <w:widowControl w:val="0"/>
        <w:autoSpaceDE w:val="0"/>
        <w:autoSpaceDN w:val="0"/>
        <w:adjustRightInd w:val="0"/>
        <w:spacing w:before="240" w:after="0"/>
        <w:ind w:firstLine="703"/>
        <w:jc w:val="both"/>
        <w:rPr>
          <w:sz w:val="26"/>
          <w:szCs w:val="26"/>
        </w:rPr>
      </w:pPr>
      <w:r w:rsidRPr="00BF0050">
        <w:rPr>
          <w:sz w:val="26"/>
          <w:szCs w:val="26"/>
        </w:rPr>
        <w:t>По базовому и целевому варианту ожидается дефицит региональных бюджетов на уровне 0,4 % ВВП в 2016 году, 0,2 % ВВП в 2017 году, 0,2 % ВВП в 2018 году, 0,1 % ВВП в 2019 году. Расходы бюджетов субъектов Российской Федерации уже в значительной мере оптимизированы (номинальные расходы выросли в 2015 году всего на 1,4</w:t>
      </w:r>
      <w:r w:rsidRPr="00BF0050">
        <w:rPr>
          <w:sz w:val="26"/>
          <w:szCs w:val="26"/>
          <w:lang w:val="en-US"/>
        </w:rPr>
        <w:t> </w:t>
      </w:r>
      <w:r w:rsidRPr="00BF0050">
        <w:rPr>
          <w:sz w:val="26"/>
          <w:szCs w:val="26"/>
        </w:rPr>
        <w:t>% относительно 2014 года), а доходы регионов в будущем зависят только от ненефтегазовых доходов, относительно стабильных и не снижающихся в среднесрочной перспективе по сравнению с нефтегазовыми доходами федерального бюджета.</w:t>
      </w:r>
    </w:p>
    <w:p w:rsidR="006E0A8D" w:rsidRPr="00BF0050" w:rsidRDefault="00A623BF" w:rsidP="00633F1F">
      <w:pPr>
        <w:widowControl w:val="0"/>
        <w:autoSpaceDE w:val="0"/>
        <w:autoSpaceDN w:val="0"/>
        <w:adjustRightInd w:val="0"/>
        <w:spacing w:before="0" w:after="0"/>
        <w:ind w:firstLine="701"/>
        <w:jc w:val="both"/>
        <w:rPr>
          <w:rFonts w:eastAsiaTheme="minorHAnsi"/>
          <w:color w:val="000000" w:themeColor="text1"/>
          <w:sz w:val="26"/>
          <w:szCs w:val="26"/>
          <w:lang w:eastAsia="en-US"/>
        </w:rPr>
      </w:pPr>
      <w:r w:rsidRPr="00BF0050">
        <w:rPr>
          <w:sz w:val="26"/>
          <w:szCs w:val="26"/>
        </w:rPr>
        <w:t>В консервативном варианте дефицит региональных бюджет</w:t>
      </w:r>
      <w:r w:rsidR="00DB1EC3" w:rsidRPr="00BF0050">
        <w:rPr>
          <w:sz w:val="26"/>
          <w:szCs w:val="26"/>
        </w:rPr>
        <w:t>ов</w:t>
      </w:r>
      <w:r w:rsidRPr="00BF0050">
        <w:rPr>
          <w:sz w:val="26"/>
          <w:szCs w:val="26"/>
        </w:rPr>
        <w:t xml:space="preserve"> будет </w:t>
      </w:r>
      <w:r w:rsidR="003239E3" w:rsidRPr="00BF0050">
        <w:rPr>
          <w:sz w:val="26"/>
          <w:szCs w:val="26"/>
        </w:rPr>
        <w:t>оставаться</w:t>
      </w:r>
      <w:r w:rsidRPr="00BF0050">
        <w:rPr>
          <w:sz w:val="26"/>
          <w:szCs w:val="26"/>
        </w:rPr>
        <w:t xml:space="preserve"> на уровне 0,4–0,6 % ВВП ежегодно </w:t>
      </w:r>
      <w:r w:rsidR="00DB1EC3" w:rsidRPr="00BF0050">
        <w:rPr>
          <w:sz w:val="26"/>
          <w:szCs w:val="26"/>
        </w:rPr>
        <w:t>на протяжении всего прогнозного</w:t>
      </w:r>
      <w:r w:rsidRPr="00BF0050">
        <w:rPr>
          <w:sz w:val="26"/>
          <w:szCs w:val="26"/>
        </w:rPr>
        <w:t xml:space="preserve"> период</w:t>
      </w:r>
      <w:r w:rsidR="00DB1EC3" w:rsidRPr="00BF0050">
        <w:rPr>
          <w:sz w:val="26"/>
          <w:szCs w:val="26"/>
        </w:rPr>
        <w:t>а</w:t>
      </w:r>
      <w:r w:rsidRPr="00BF0050">
        <w:rPr>
          <w:sz w:val="26"/>
          <w:szCs w:val="26"/>
        </w:rPr>
        <w:t xml:space="preserve"> 2016 – 2019 годов.</w:t>
      </w:r>
      <w:bookmarkStart w:id="60" w:name="_Toc447812949"/>
      <w:r w:rsidR="00DB1EC3" w:rsidRPr="00BF0050">
        <w:rPr>
          <w:rFonts w:eastAsiaTheme="minorHAnsi"/>
          <w:color w:val="000000" w:themeColor="text1"/>
          <w:sz w:val="26"/>
          <w:szCs w:val="26"/>
          <w:lang w:eastAsia="en-US"/>
        </w:rPr>
        <w:t xml:space="preserve"> </w:t>
      </w:r>
    </w:p>
    <w:p w:rsidR="000706E1" w:rsidRPr="00BF0050" w:rsidRDefault="00563400" w:rsidP="00633F1F">
      <w:pPr>
        <w:pStyle w:val="1"/>
        <w:spacing w:before="240" w:after="240" w:line="360" w:lineRule="exact"/>
        <w:ind w:left="284" w:firstLine="0"/>
        <w:jc w:val="center"/>
        <w:rPr>
          <w:rFonts w:ascii="Times New Roman" w:eastAsiaTheme="minorHAnsi" w:hAnsi="Times New Roman"/>
          <w:sz w:val="26"/>
          <w:szCs w:val="26"/>
          <w:lang w:eastAsia="en-US"/>
        </w:rPr>
      </w:pPr>
      <w:r w:rsidRPr="00BF0050">
        <w:rPr>
          <w:rFonts w:ascii="Times New Roman" w:eastAsiaTheme="minorHAnsi" w:hAnsi="Times New Roman"/>
          <w:color w:val="000000" w:themeColor="text1"/>
          <w:sz w:val="26"/>
          <w:szCs w:val="26"/>
          <w:lang w:eastAsia="en-US"/>
        </w:rPr>
        <w:t>12.</w:t>
      </w:r>
      <w:r w:rsidRPr="00BF0050">
        <w:rPr>
          <w:rFonts w:ascii="Times New Roman" w:eastAsiaTheme="minorHAnsi" w:hAnsi="Times New Roman"/>
          <w:color w:val="000000" w:themeColor="text1"/>
          <w:sz w:val="26"/>
          <w:szCs w:val="26"/>
          <w:lang w:eastAsia="en-US"/>
        </w:rPr>
        <w:tab/>
        <w:t>Характер</w:t>
      </w:r>
      <w:r w:rsidR="001B57E1" w:rsidRPr="00BF0050">
        <w:rPr>
          <w:rFonts w:ascii="Times New Roman" w:eastAsiaTheme="minorHAnsi" w:hAnsi="Times New Roman"/>
          <w:color w:val="000000" w:themeColor="text1"/>
          <w:sz w:val="26"/>
          <w:szCs w:val="26"/>
          <w:lang w:eastAsia="en-US"/>
        </w:rPr>
        <w:t>и</w:t>
      </w:r>
      <w:r w:rsidRPr="00BF0050">
        <w:rPr>
          <w:rFonts w:ascii="Times New Roman" w:eastAsiaTheme="minorHAnsi" w:hAnsi="Times New Roman"/>
          <w:color w:val="000000" w:themeColor="text1"/>
          <w:sz w:val="26"/>
          <w:szCs w:val="26"/>
          <w:lang w:eastAsia="en-US"/>
        </w:rPr>
        <w:t xml:space="preserve">стика </w:t>
      </w:r>
      <w:r w:rsidR="00D715BE" w:rsidRPr="00BF0050">
        <w:rPr>
          <w:rFonts w:ascii="Times New Roman" w:eastAsiaTheme="minorHAnsi" w:hAnsi="Times New Roman"/>
          <w:color w:val="000000" w:themeColor="text1"/>
          <w:sz w:val="26"/>
          <w:szCs w:val="26"/>
          <w:lang w:eastAsia="en-US"/>
        </w:rPr>
        <w:t>макроэкономических</w:t>
      </w:r>
      <w:r w:rsidRPr="00BF0050">
        <w:rPr>
          <w:rFonts w:ascii="Times New Roman" w:eastAsiaTheme="minorHAnsi" w:hAnsi="Times New Roman"/>
          <w:color w:val="000000" w:themeColor="text1"/>
          <w:sz w:val="26"/>
          <w:szCs w:val="26"/>
          <w:lang w:eastAsia="en-US"/>
        </w:rPr>
        <w:t xml:space="preserve"> параметров</w:t>
      </w:r>
      <w:r w:rsidR="00633F1F" w:rsidRPr="00BF0050">
        <w:rPr>
          <w:rFonts w:ascii="Times New Roman" w:eastAsiaTheme="minorHAnsi" w:hAnsi="Times New Roman"/>
          <w:color w:val="000000" w:themeColor="text1"/>
          <w:sz w:val="26"/>
          <w:szCs w:val="26"/>
          <w:lang w:eastAsia="en-US"/>
        </w:rPr>
        <w:t xml:space="preserve">                    </w:t>
      </w:r>
      <w:r w:rsidRPr="00BF0050">
        <w:rPr>
          <w:rFonts w:ascii="Times New Roman" w:eastAsiaTheme="minorHAnsi" w:hAnsi="Times New Roman"/>
          <w:color w:val="000000" w:themeColor="text1"/>
          <w:sz w:val="26"/>
          <w:szCs w:val="26"/>
          <w:lang w:eastAsia="en-US"/>
        </w:rPr>
        <w:t xml:space="preserve"> </w:t>
      </w:r>
      <w:r w:rsidR="00425485" w:rsidRPr="00BF0050">
        <w:rPr>
          <w:rFonts w:ascii="Times New Roman" w:eastAsiaTheme="minorHAnsi" w:hAnsi="Times New Roman"/>
          <w:color w:val="000000" w:themeColor="text1"/>
          <w:sz w:val="26"/>
          <w:szCs w:val="26"/>
          <w:lang w:eastAsia="en-US"/>
        </w:rPr>
        <w:t xml:space="preserve">консервативного  </w:t>
      </w:r>
      <w:r w:rsidRPr="00BF0050">
        <w:rPr>
          <w:rFonts w:ascii="Times New Roman" w:eastAsiaTheme="minorHAnsi" w:hAnsi="Times New Roman"/>
          <w:color w:val="000000" w:themeColor="text1"/>
          <w:sz w:val="26"/>
          <w:szCs w:val="26"/>
          <w:lang w:eastAsia="en-US"/>
        </w:rPr>
        <w:t xml:space="preserve">варианта </w:t>
      </w:r>
      <w:r w:rsidR="00C80901" w:rsidRPr="00BF0050">
        <w:rPr>
          <w:rFonts w:ascii="Times New Roman" w:eastAsiaTheme="minorHAnsi" w:hAnsi="Times New Roman"/>
          <w:color w:val="000000" w:themeColor="text1"/>
          <w:sz w:val="26"/>
          <w:szCs w:val="26"/>
          <w:lang w:eastAsia="en-US"/>
        </w:rPr>
        <w:t>п</w:t>
      </w:r>
      <w:r w:rsidRPr="00BF0050">
        <w:rPr>
          <w:rFonts w:ascii="Times New Roman" w:eastAsiaTheme="minorHAnsi" w:hAnsi="Times New Roman"/>
          <w:color w:val="000000" w:themeColor="text1"/>
          <w:sz w:val="26"/>
          <w:szCs w:val="26"/>
          <w:lang w:eastAsia="en-US"/>
        </w:rPr>
        <w:t>рогноза</w:t>
      </w:r>
      <w:bookmarkEnd w:id="60"/>
    </w:p>
    <w:p w:rsidR="00425485" w:rsidRPr="00BF0050" w:rsidRDefault="00425485" w:rsidP="00633F1F">
      <w:pPr>
        <w:spacing w:after="0"/>
        <w:ind w:firstLine="720"/>
        <w:jc w:val="both"/>
        <w:rPr>
          <w:sz w:val="26"/>
          <w:szCs w:val="26"/>
        </w:rPr>
      </w:pPr>
      <w:r w:rsidRPr="00BF0050">
        <w:rPr>
          <w:sz w:val="26"/>
          <w:szCs w:val="26"/>
        </w:rPr>
        <w:t>В условиях резкого падения цен на нефть экономика будет развиваться по консервативному сценарию, основные макроэкономические параметры и результаты которого представлены в консервативном варианте прогноза.</w:t>
      </w:r>
    </w:p>
    <w:p w:rsidR="006961CB" w:rsidRPr="00BF0050" w:rsidRDefault="006961CB" w:rsidP="00633F1F">
      <w:pPr>
        <w:spacing w:before="0" w:after="0"/>
        <w:jc w:val="both"/>
        <w:rPr>
          <w:rFonts w:eastAsia="Calibri"/>
          <w:color w:val="000000"/>
          <w:sz w:val="26"/>
          <w:szCs w:val="26"/>
        </w:rPr>
      </w:pPr>
      <w:r w:rsidRPr="00BF0050">
        <w:rPr>
          <w:rFonts w:eastAsia="Calibri"/>
          <w:color w:val="000000"/>
          <w:sz w:val="26"/>
          <w:szCs w:val="26"/>
        </w:rPr>
        <w:t>Вариантом рассматривается развитие экономики в условиях падения среднегодовой цены на нефть в 2016 году до 25 долл. США/</w:t>
      </w:r>
      <w:proofErr w:type="spellStart"/>
      <w:r w:rsidRPr="00BF0050">
        <w:rPr>
          <w:rFonts w:eastAsia="Calibri"/>
          <w:color w:val="000000"/>
          <w:sz w:val="26"/>
          <w:szCs w:val="26"/>
        </w:rPr>
        <w:t>барр</w:t>
      </w:r>
      <w:proofErr w:type="spellEnd"/>
      <w:r w:rsidRPr="00BF0050">
        <w:rPr>
          <w:rFonts w:eastAsia="Calibri"/>
          <w:color w:val="000000"/>
          <w:sz w:val="26"/>
          <w:szCs w:val="26"/>
        </w:rPr>
        <w:t xml:space="preserve">., </w:t>
      </w:r>
      <w:r w:rsidR="003239E3" w:rsidRPr="00BF0050">
        <w:rPr>
          <w:rFonts w:eastAsia="Calibri"/>
          <w:color w:val="000000"/>
          <w:sz w:val="26"/>
          <w:szCs w:val="26"/>
        </w:rPr>
        <w:t>со стабилизацией</w:t>
      </w:r>
      <w:r w:rsidRPr="00BF0050">
        <w:rPr>
          <w:rFonts w:eastAsia="Calibri"/>
          <w:color w:val="000000"/>
          <w:sz w:val="26"/>
          <w:szCs w:val="26"/>
        </w:rPr>
        <w:t xml:space="preserve"> на этом уровне до 2019 года. Соответственно цена на природный газ в страны дальнего зарубежья </w:t>
      </w:r>
      <w:r w:rsidRPr="00BF0050">
        <w:rPr>
          <w:sz w:val="26"/>
          <w:szCs w:val="26"/>
          <w:lang w:eastAsia="en-US"/>
        </w:rPr>
        <w:t xml:space="preserve">в 2016 году </w:t>
      </w:r>
      <w:r w:rsidRPr="00BF0050">
        <w:rPr>
          <w:rFonts w:eastAsia="Calibri"/>
          <w:color w:val="000000"/>
          <w:sz w:val="26"/>
          <w:szCs w:val="26"/>
        </w:rPr>
        <w:t xml:space="preserve">понизится до </w:t>
      </w:r>
      <w:r w:rsidR="00211FCA" w:rsidRPr="00BF0050">
        <w:rPr>
          <w:rFonts w:eastAsia="Calibri"/>
          <w:color w:val="000000"/>
          <w:sz w:val="26"/>
          <w:szCs w:val="26"/>
        </w:rPr>
        <w:t>130–135</w:t>
      </w:r>
      <w:r w:rsidRPr="00BF0050">
        <w:rPr>
          <w:rFonts w:eastAsia="Calibri"/>
          <w:color w:val="000000"/>
          <w:sz w:val="26"/>
          <w:szCs w:val="26"/>
        </w:rPr>
        <w:t> </w:t>
      </w:r>
      <w:r w:rsidRPr="00BF0050">
        <w:rPr>
          <w:sz w:val="26"/>
          <w:szCs w:val="26"/>
          <w:lang w:eastAsia="en-US"/>
        </w:rPr>
        <w:t xml:space="preserve">долл. США за тыс. куб. м, в 2017 году – до </w:t>
      </w:r>
      <w:r w:rsidR="00211FCA" w:rsidRPr="00BF0050">
        <w:rPr>
          <w:sz w:val="26"/>
          <w:szCs w:val="26"/>
          <w:lang w:eastAsia="en-US"/>
        </w:rPr>
        <w:t>90–95</w:t>
      </w:r>
      <w:r w:rsidRPr="00BF0050">
        <w:rPr>
          <w:sz w:val="26"/>
          <w:szCs w:val="26"/>
          <w:lang w:eastAsia="en-US"/>
        </w:rPr>
        <w:t xml:space="preserve"> долл. США за тыс. куб. м, затем рост возобновится и к 2019 году </w:t>
      </w:r>
      <w:r w:rsidR="00211FCA" w:rsidRPr="00BF0050">
        <w:rPr>
          <w:sz w:val="26"/>
          <w:szCs w:val="26"/>
          <w:lang w:eastAsia="en-US"/>
        </w:rPr>
        <w:t>цена повысится до</w:t>
      </w:r>
      <w:r w:rsidR="003239E3" w:rsidRPr="00BF0050">
        <w:rPr>
          <w:sz w:val="26"/>
          <w:szCs w:val="26"/>
          <w:lang w:eastAsia="en-US"/>
        </w:rPr>
        <w:t xml:space="preserve"> </w:t>
      </w:r>
      <w:r w:rsidRPr="00BF0050">
        <w:rPr>
          <w:sz w:val="26"/>
          <w:szCs w:val="26"/>
          <w:lang w:eastAsia="en-US"/>
        </w:rPr>
        <w:t>1</w:t>
      </w:r>
      <w:r w:rsidR="00211FCA" w:rsidRPr="00BF0050">
        <w:rPr>
          <w:sz w:val="26"/>
          <w:szCs w:val="26"/>
          <w:lang w:eastAsia="en-US"/>
        </w:rPr>
        <w:t>05–110</w:t>
      </w:r>
      <w:r w:rsidRPr="00BF0050">
        <w:rPr>
          <w:sz w:val="26"/>
          <w:szCs w:val="26"/>
          <w:lang w:eastAsia="en-US"/>
        </w:rPr>
        <w:t xml:space="preserve"> долл. США за тыс. куб. метров.</w:t>
      </w:r>
    </w:p>
    <w:p w:rsidR="006961CB" w:rsidRPr="00BF0050" w:rsidRDefault="006961CB" w:rsidP="00633F1F">
      <w:pPr>
        <w:spacing w:before="0" w:after="0"/>
        <w:jc w:val="both"/>
        <w:rPr>
          <w:rFonts w:eastAsia="Calibri"/>
          <w:color w:val="000000"/>
          <w:sz w:val="26"/>
          <w:szCs w:val="26"/>
        </w:rPr>
      </w:pPr>
      <w:r w:rsidRPr="00BF0050">
        <w:rPr>
          <w:rFonts w:eastAsia="Calibri"/>
          <w:color w:val="000000"/>
          <w:sz w:val="26"/>
          <w:szCs w:val="26"/>
        </w:rPr>
        <w:t>Более низкая динамика цен на нефть и природный газ приведет к сокращению торгового баланса с 14</w:t>
      </w:r>
      <w:r w:rsidR="00211FCA" w:rsidRPr="00BF0050">
        <w:rPr>
          <w:rFonts w:eastAsia="Calibri"/>
          <w:color w:val="000000"/>
          <w:sz w:val="26"/>
          <w:szCs w:val="26"/>
        </w:rPr>
        <w:t>9</w:t>
      </w:r>
      <w:r w:rsidRPr="00BF0050">
        <w:rPr>
          <w:rFonts w:eastAsia="Calibri"/>
          <w:color w:val="000000"/>
          <w:sz w:val="26"/>
          <w:szCs w:val="26"/>
        </w:rPr>
        <w:t xml:space="preserve"> млрд. долл. США в 2015 году до 82,8 млрд. долл. США </w:t>
      </w:r>
      <w:r w:rsidR="00211FCA" w:rsidRPr="00BF0050">
        <w:rPr>
          <w:rFonts w:eastAsia="Calibri"/>
          <w:color w:val="000000"/>
          <w:sz w:val="26"/>
          <w:szCs w:val="26"/>
        </w:rPr>
        <w:t xml:space="preserve">       </w:t>
      </w:r>
      <w:r w:rsidRPr="00BF0050">
        <w:rPr>
          <w:rFonts w:eastAsia="Calibri"/>
          <w:color w:val="000000"/>
          <w:sz w:val="26"/>
          <w:szCs w:val="26"/>
        </w:rPr>
        <w:t xml:space="preserve">в  2019 году. Такое </w:t>
      </w:r>
      <w:r w:rsidR="003239E3" w:rsidRPr="00BF0050">
        <w:rPr>
          <w:rFonts w:eastAsia="Calibri"/>
          <w:color w:val="000000"/>
          <w:sz w:val="26"/>
          <w:szCs w:val="26"/>
        </w:rPr>
        <w:t>снижение</w:t>
      </w:r>
      <w:r w:rsidRPr="00BF0050">
        <w:rPr>
          <w:rFonts w:eastAsia="Calibri"/>
          <w:color w:val="000000"/>
          <w:sz w:val="26"/>
          <w:szCs w:val="26"/>
        </w:rPr>
        <w:t xml:space="preserve"> повлияет на профицит счета текущих операций, который сократится с 69,6 млрд. долл. США в 2015 году до 22–27 млрд. долл. США </w:t>
      </w:r>
      <w:r w:rsidR="003239E3" w:rsidRPr="00BF0050">
        <w:rPr>
          <w:rFonts w:eastAsia="Calibri"/>
          <w:color w:val="000000"/>
          <w:sz w:val="26"/>
          <w:szCs w:val="26"/>
        </w:rPr>
        <w:t xml:space="preserve">             </w:t>
      </w:r>
      <w:r w:rsidRPr="00BF0050">
        <w:rPr>
          <w:rFonts w:eastAsia="Calibri"/>
          <w:color w:val="000000"/>
          <w:sz w:val="26"/>
          <w:szCs w:val="26"/>
        </w:rPr>
        <w:t>в 2016 – 2019</w:t>
      </w:r>
      <w:r w:rsidR="003239E3" w:rsidRPr="00BF0050">
        <w:rPr>
          <w:rFonts w:eastAsia="Calibri"/>
          <w:color w:val="000000"/>
          <w:sz w:val="26"/>
          <w:szCs w:val="26"/>
        </w:rPr>
        <w:t> </w:t>
      </w:r>
      <w:r w:rsidRPr="00BF0050">
        <w:rPr>
          <w:rFonts w:eastAsia="Calibri"/>
          <w:color w:val="000000"/>
          <w:sz w:val="26"/>
          <w:szCs w:val="26"/>
        </w:rPr>
        <w:t>годах.</w:t>
      </w:r>
    </w:p>
    <w:p w:rsidR="00425485" w:rsidRPr="00BF0050" w:rsidRDefault="00425485" w:rsidP="00633F1F">
      <w:pPr>
        <w:spacing w:before="0" w:after="0"/>
        <w:jc w:val="both"/>
        <w:rPr>
          <w:rFonts w:eastAsia="Calibri"/>
          <w:color w:val="000000"/>
          <w:sz w:val="26"/>
          <w:szCs w:val="26"/>
        </w:rPr>
      </w:pPr>
      <w:r w:rsidRPr="00BF0050">
        <w:rPr>
          <w:rFonts w:eastAsia="Calibri"/>
          <w:color w:val="000000"/>
          <w:sz w:val="26"/>
          <w:szCs w:val="26"/>
        </w:rPr>
        <w:t>Отток капитала в этом варианте прогноза будет несколько выше, чем в базовом варианте – 40–25 млрд. долл. США  в 2016</w:t>
      </w:r>
      <w:r w:rsidR="003239E3" w:rsidRPr="00BF0050">
        <w:rPr>
          <w:rFonts w:eastAsia="Calibri"/>
          <w:color w:val="000000"/>
          <w:sz w:val="26"/>
          <w:szCs w:val="26"/>
        </w:rPr>
        <w:t> </w:t>
      </w:r>
      <w:r w:rsidRPr="00BF0050">
        <w:rPr>
          <w:rFonts w:eastAsia="Calibri"/>
          <w:color w:val="000000"/>
          <w:sz w:val="26"/>
          <w:szCs w:val="26"/>
        </w:rPr>
        <w:t>–</w:t>
      </w:r>
      <w:r w:rsidR="003239E3" w:rsidRPr="00BF0050">
        <w:rPr>
          <w:rFonts w:eastAsia="Calibri"/>
          <w:color w:val="000000"/>
          <w:sz w:val="26"/>
          <w:szCs w:val="26"/>
        </w:rPr>
        <w:t> </w:t>
      </w:r>
      <w:r w:rsidRPr="00BF0050">
        <w:rPr>
          <w:rFonts w:eastAsia="Calibri"/>
          <w:color w:val="000000"/>
          <w:sz w:val="26"/>
          <w:szCs w:val="26"/>
        </w:rPr>
        <w:t>2019 годах.</w:t>
      </w:r>
    </w:p>
    <w:p w:rsidR="00425485" w:rsidRPr="00BF0050" w:rsidRDefault="00425485" w:rsidP="00B460B2">
      <w:pPr>
        <w:spacing w:before="0" w:after="0" w:line="380" w:lineRule="exact"/>
        <w:ind w:firstLine="708"/>
        <w:jc w:val="both"/>
        <w:rPr>
          <w:rFonts w:eastAsia="Calibri"/>
          <w:color w:val="000000"/>
          <w:sz w:val="26"/>
          <w:szCs w:val="26"/>
        </w:rPr>
      </w:pPr>
      <w:r w:rsidRPr="00BF0050">
        <w:rPr>
          <w:rFonts w:eastAsia="Calibri"/>
          <w:color w:val="000000"/>
          <w:sz w:val="26"/>
          <w:szCs w:val="26"/>
        </w:rPr>
        <w:t xml:space="preserve">На фоне более низких цен на нефть и слабого рубля </w:t>
      </w:r>
      <w:r w:rsidR="00E16C20" w:rsidRPr="00BF0050">
        <w:rPr>
          <w:rFonts w:eastAsia="Calibri"/>
          <w:color w:val="000000"/>
          <w:sz w:val="26"/>
          <w:szCs w:val="26"/>
        </w:rPr>
        <w:t xml:space="preserve">в 2016 году </w:t>
      </w:r>
      <w:r w:rsidRPr="00BF0050">
        <w:rPr>
          <w:rFonts w:eastAsia="Calibri"/>
          <w:color w:val="000000"/>
          <w:sz w:val="26"/>
          <w:szCs w:val="26"/>
        </w:rPr>
        <w:t>предполагается углубление падения инвестиций в основной капитал до 9,4 %</w:t>
      </w:r>
      <w:r w:rsidR="00E16C20" w:rsidRPr="00BF0050">
        <w:rPr>
          <w:rFonts w:eastAsia="Calibri"/>
          <w:color w:val="000000"/>
          <w:sz w:val="26"/>
          <w:szCs w:val="26"/>
        </w:rPr>
        <w:t>,  в 2017 – 2019 гг. рост возобновится со</w:t>
      </w:r>
      <w:r w:rsidRPr="00BF0050">
        <w:rPr>
          <w:rFonts w:eastAsia="Calibri"/>
          <w:color w:val="000000"/>
          <w:sz w:val="26"/>
          <w:szCs w:val="26"/>
        </w:rPr>
        <w:t xml:space="preserve"> среднегодовым </w:t>
      </w:r>
      <w:r w:rsidR="00E16C20" w:rsidRPr="00BF0050">
        <w:rPr>
          <w:rFonts w:eastAsia="Calibri"/>
          <w:color w:val="000000"/>
          <w:sz w:val="26"/>
          <w:szCs w:val="26"/>
        </w:rPr>
        <w:t>темпом</w:t>
      </w:r>
      <w:r w:rsidRPr="00BF0050">
        <w:rPr>
          <w:rFonts w:eastAsia="Calibri"/>
          <w:color w:val="000000"/>
          <w:sz w:val="26"/>
          <w:szCs w:val="26"/>
        </w:rPr>
        <w:t xml:space="preserve"> </w:t>
      </w:r>
      <w:r w:rsidR="00E7120E" w:rsidRPr="00BF0050">
        <w:rPr>
          <w:rFonts w:eastAsia="Calibri"/>
          <w:color w:val="000000"/>
          <w:sz w:val="26"/>
          <w:szCs w:val="26"/>
        </w:rPr>
        <w:t>0</w:t>
      </w:r>
      <w:r w:rsidRPr="00BF0050">
        <w:rPr>
          <w:rFonts w:eastAsia="Calibri"/>
          <w:color w:val="000000"/>
          <w:sz w:val="26"/>
          <w:szCs w:val="26"/>
        </w:rPr>
        <w:t xml:space="preserve">,5 процента. Более жесткая по сравнению </w:t>
      </w:r>
      <w:r w:rsidRPr="00BF0050">
        <w:rPr>
          <w:rFonts w:eastAsia="Calibri"/>
          <w:color w:val="000000"/>
          <w:sz w:val="26"/>
          <w:szCs w:val="26"/>
        </w:rPr>
        <w:lastRenderedPageBreak/>
        <w:t>с базовым вариантом бюджетная и кредитно-денежная политика в совокупности с меньшими темпами роста прибыли организаций приведет к сокращению доступных объемов источников финансирования инвестиций в основной капитал.</w:t>
      </w:r>
    </w:p>
    <w:p w:rsidR="00FF1DB9" w:rsidRPr="00BF0050" w:rsidRDefault="00FF1DB9" w:rsidP="00B460B2">
      <w:pPr>
        <w:spacing w:before="0" w:after="0" w:line="380" w:lineRule="exact"/>
        <w:jc w:val="both"/>
        <w:rPr>
          <w:rFonts w:cstheme="minorBidi"/>
          <w:sz w:val="26"/>
          <w:szCs w:val="26"/>
          <w:lang w:eastAsia="en-US"/>
        </w:rPr>
      </w:pPr>
      <w:r w:rsidRPr="00BF0050">
        <w:rPr>
          <w:rFonts w:cstheme="minorBidi"/>
          <w:sz w:val="26"/>
          <w:szCs w:val="26"/>
          <w:lang w:eastAsia="en-US"/>
        </w:rPr>
        <w:t xml:space="preserve">В консервативном варианте уровень инфляции в 2016 году будет выше, чем в других вариантах – примерно 9 процентов. В условиях более слабого рубля продолжится падение импорта, что негативно скажется на насыщении рынков. Значительное давление на инфляцию будет оказывать более сильный рост материальных издержек, особенно в  видах экономической деятельности с высокой </w:t>
      </w:r>
      <w:proofErr w:type="spellStart"/>
      <w:r w:rsidRPr="00BF0050">
        <w:rPr>
          <w:rFonts w:cstheme="minorBidi"/>
          <w:sz w:val="26"/>
          <w:szCs w:val="26"/>
          <w:lang w:eastAsia="en-US"/>
        </w:rPr>
        <w:t>импортозависимостью</w:t>
      </w:r>
      <w:proofErr w:type="spellEnd"/>
      <w:r w:rsidRPr="00BF0050">
        <w:rPr>
          <w:rFonts w:cstheme="minorBidi"/>
          <w:sz w:val="26"/>
          <w:szCs w:val="26"/>
          <w:lang w:eastAsia="en-US"/>
        </w:rPr>
        <w:t>, при одновременном сдерживании затрат на оплату труда.</w:t>
      </w:r>
    </w:p>
    <w:p w:rsidR="00FF1DB9" w:rsidRPr="00BF0050" w:rsidRDefault="00FF1DB9" w:rsidP="00B460B2">
      <w:pPr>
        <w:spacing w:before="0" w:after="0" w:line="380" w:lineRule="exact"/>
        <w:jc w:val="both"/>
        <w:rPr>
          <w:rFonts w:cstheme="minorBidi"/>
          <w:sz w:val="26"/>
          <w:szCs w:val="26"/>
          <w:lang w:eastAsia="en-US"/>
        </w:rPr>
      </w:pPr>
      <w:r w:rsidRPr="00BF0050">
        <w:rPr>
          <w:rFonts w:cstheme="minorBidi"/>
          <w:sz w:val="26"/>
          <w:szCs w:val="26"/>
          <w:lang w:eastAsia="en-US"/>
        </w:rPr>
        <w:t xml:space="preserve">В этих условиях продолжится падение спроса населения, и в 2017 году инфляция резко замедлится – до 6  процентов. В результате предполагаемого в данном варианте укрепления с 2017 года курса рубля инфляция в 2018 – 2019 гг. незначительно снизится –   до 5,5  и 5,1 %  соответственно. </w:t>
      </w:r>
    </w:p>
    <w:p w:rsidR="00CC1EB3" w:rsidRPr="00BF0050" w:rsidRDefault="00CC1EB3" w:rsidP="00B460B2">
      <w:pPr>
        <w:spacing w:before="0" w:after="0" w:line="380" w:lineRule="exact"/>
        <w:jc w:val="both"/>
        <w:rPr>
          <w:sz w:val="26"/>
          <w:szCs w:val="26"/>
        </w:rPr>
      </w:pPr>
      <w:r w:rsidRPr="00BF0050">
        <w:rPr>
          <w:sz w:val="26"/>
          <w:szCs w:val="26"/>
        </w:rPr>
        <w:t xml:space="preserve">За счет неблагоприятной внешнеэкономической конъюнктуры и негативных темпов роста ВВП в 2016 году ожидается рост безработицы до 6,0 % против 5,8 % в 2015 году. В дальнейшем, по мере восстановления экономики, безработица </w:t>
      </w:r>
      <w:r w:rsidR="00E16C20" w:rsidRPr="00BF0050">
        <w:rPr>
          <w:sz w:val="26"/>
          <w:szCs w:val="26"/>
        </w:rPr>
        <w:t xml:space="preserve">к 2019 году </w:t>
      </w:r>
      <w:r w:rsidRPr="00BF0050">
        <w:rPr>
          <w:sz w:val="26"/>
          <w:szCs w:val="26"/>
        </w:rPr>
        <w:t>снизится до 5,8 % рабочей силы (экономически активного населения).</w:t>
      </w:r>
    </w:p>
    <w:p w:rsidR="00CC1EB3" w:rsidRPr="00BF0050" w:rsidRDefault="00CC1EB3" w:rsidP="00B460B2">
      <w:pPr>
        <w:autoSpaceDE w:val="0"/>
        <w:autoSpaceDN w:val="0"/>
        <w:adjustRightInd w:val="0"/>
        <w:spacing w:before="0" w:after="0" w:line="380" w:lineRule="exact"/>
        <w:jc w:val="both"/>
        <w:rPr>
          <w:sz w:val="26"/>
          <w:szCs w:val="26"/>
        </w:rPr>
      </w:pPr>
      <w:r w:rsidRPr="00BF0050">
        <w:rPr>
          <w:sz w:val="26"/>
          <w:szCs w:val="26"/>
        </w:rPr>
        <w:t xml:space="preserve">Менее благоприятная экономическая ситуация негативно отразится на динамике заработной платы и доходов населения. Снижение реальной заработной платы                    в 2016 году может составить почти </w:t>
      </w:r>
      <w:r w:rsidR="00D7626A" w:rsidRPr="00BF0050">
        <w:rPr>
          <w:sz w:val="26"/>
          <w:szCs w:val="26"/>
        </w:rPr>
        <w:t>4 </w:t>
      </w:r>
      <w:r w:rsidRPr="00BF0050">
        <w:rPr>
          <w:sz w:val="26"/>
          <w:szCs w:val="26"/>
        </w:rPr>
        <w:t xml:space="preserve">%, реальных располагаемых доходов – </w:t>
      </w:r>
      <w:r w:rsidR="00D527FD" w:rsidRPr="00BF0050">
        <w:rPr>
          <w:sz w:val="26"/>
          <w:szCs w:val="26"/>
        </w:rPr>
        <w:t xml:space="preserve">5 </w:t>
      </w:r>
      <w:r w:rsidRPr="00BF0050">
        <w:rPr>
          <w:sz w:val="26"/>
          <w:szCs w:val="26"/>
        </w:rPr>
        <w:t>процентов.</w:t>
      </w:r>
      <w:r w:rsidRPr="00BF0050" w:rsidDel="00E7622B">
        <w:rPr>
          <w:sz w:val="26"/>
          <w:szCs w:val="26"/>
        </w:rPr>
        <w:t xml:space="preserve"> </w:t>
      </w:r>
      <w:r w:rsidRPr="00BF0050">
        <w:rPr>
          <w:sz w:val="26"/>
          <w:szCs w:val="26"/>
        </w:rPr>
        <w:t>Ожидается, что рост реальной заработной платы возобновится в 2018 году</w:t>
      </w:r>
      <w:r w:rsidR="00E16C20" w:rsidRPr="00BF0050">
        <w:rPr>
          <w:sz w:val="26"/>
          <w:szCs w:val="26"/>
        </w:rPr>
        <w:t>, но</w:t>
      </w:r>
      <w:r w:rsidRPr="00BF0050">
        <w:rPr>
          <w:sz w:val="26"/>
          <w:szCs w:val="26"/>
        </w:rPr>
        <w:t xml:space="preserve"> будет иметь слабую динамику</w:t>
      </w:r>
      <w:r w:rsidR="004779ED" w:rsidRPr="00BF0050">
        <w:rPr>
          <w:sz w:val="26"/>
          <w:szCs w:val="26"/>
        </w:rPr>
        <w:t>, а реальных располагаемых доходов населения</w:t>
      </w:r>
      <w:r w:rsidR="0025242B" w:rsidRPr="00BF0050">
        <w:rPr>
          <w:sz w:val="26"/>
          <w:szCs w:val="26"/>
        </w:rPr>
        <w:t xml:space="preserve"> –</w:t>
      </w:r>
      <w:r w:rsidR="004779ED" w:rsidRPr="00BF0050">
        <w:rPr>
          <w:sz w:val="26"/>
          <w:szCs w:val="26"/>
        </w:rPr>
        <w:t xml:space="preserve"> в 2019 году</w:t>
      </w:r>
      <w:r w:rsidRPr="00BF0050">
        <w:rPr>
          <w:sz w:val="26"/>
          <w:szCs w:val="26"/>
        </w:rPr>
        <w:t xml:space="preserve">. </w:t>
      </w:r>
    </w:p>
    <w:p w:rsidR="00FD37E6" w:rsidRPr="00BF0050" w:rsidRDefault="00CC1EB3" w:rsidP="00633F1F">
      <w:pPr>
        <w:autoSpaceDE w:val="0"/>
        <w:autoSpaceDN w:val="0"/>
        <w:adjustRightInd w:val="0"/>
        <w:spacing w:before="0" w:after="0" w:line="380" w:lineRule="exact"/>
        <w:jc w:val="both"/>
        <w:rPr>
          <w:sz w:val="26"/>
          <w:szCs w:val="26"/>
        </w:rPr>
      </w:pPr>
      <w:r w:rsidRPr="00BF0050">
        <w:rPr>
          <w:sz w:val="26"/>
          <w:szCs w:val="26"/>
        </w:rPr>
        <w:t xml:space="preserve">После значительного сокращения в 2016 году (на </w:t>
      </w:r>
      <w:r w:rsidR="00E30D5D" w:rsidRPr="00BF0050">
        <w:rPr>
          <w:sz w:val="26"/>
          <w:szCs w:val="26"/>
        </w:rPr>
        <w:t>4,9</w:t>
      </w:r>
      <w:r w:rsidRPr="00BF0050">
        <w:rPr>
          <w:sz w:val="26"/>
          <w:szCs w:val="26"/>
        </w:rPr>
        <w:t xml:space="preserve"> %) рост оборота розничной торговли в 2018 году </w:t>
      </w:r>
      <w:r w:rsidR="00E16C20" w:rsidRPr="00BF0050">
        <w:rPr>
          <w:sz w:val="26"/>
          <w:szCs w:val="26"/>
        </w:rPr>
        <w:t xml:space="preserve">возобновится </w:t>
      </w:r>
      <w:r w:rsidRPr="00BF0050">
        <w:rPr>
          <w:sz w:val="26"/>
          <w:szCs w:val="26"/>
        </w:rPr>
        <w:t xml:space="preserve">(рост на </w:t>
      </w:r>
      <w:r w:rsidR="009045A0" w:rsidRPr="00BF0050">
        <w:rPr>
          <w:sz w:val="26"/>
          <w:szCs w:val="26"/>
        </w:rPr>
        <w:t>0</w:t>
      </w:r>
      <w:r w:rsidRPr="00BF0050">
        <w:rPr>
          <w:sz w:val="26"/>
          <w:szCs w:val="26"/>
        </w:rPr>
        <w:t>,</w:t>
      </w:r>
      <w:r w:rsidR="009045A0" w:rsidRPr="00BF0050">
        <w:rPr>
          <w:sz w:val="26"/>
          <w:szCs w:val="26"/>
        </w:rPr>
        <w:t>5 </w:t>
      </w:r>
      <w:r w:rsidRPr="00BF0050">
        <w:rPr>
          <w:sz w:val="26"/>
          <w:szCs w:val="26"/>
        </w:rPr>
        <w:t xml:space="preserve">%) с последующим ускорением до </w:t>
      </w:r>
      <w:r w:rsidR="009045A0" w:rsidRPr="00BF0050">
        <w:rPr>
          <w:sz w:val="26"/>
          <w:szCs w:val="26"/>
        </w:rPr>
        <w:t>1</w:t>
      </w:r>
      <w:r w:rsidRPr="00BF0050">
        <w:rPr>
          <w:sz w:val="26"/>
          <w:szCs w:val="26"/>
        </w:rPr>
        <w:t>,</w:t>
      </w:r>
      <w:r w:rsidR="009045A0" w:rsidRPr="00BF0050">
        <w:rPr>
          <w:sz w:val="26"/>
          <w:szCs w:val="26"/>
        </w:rPr>
        <w:t>7 </w:t>
      </w:r>
      <w:r w:rsidRPr="00BF0050">
        <w:rPr>
          <w:sz w:val="26"/>
          <w:szCs w:val="26"/>
        </w:rPr>
        <w:t xml:space="preserve">% в 2019 году. Норма сбережения при этом снизится с </w:t>
      </w:r>
      <w:r w:rsidR="009045A0" w:rsidRPr="00BF0050">
        <w:rPr>
          <w:sz w:val="26"/>
          <w:szCs w:val="26"/>
        </w:rPr>
        <w:t>15,1</w:t>
      </w:r>
      <w:r w:rsidRPr="00BF0050">
        <w:rPr>
          <w:sz w:val="26"/>
          <w:szCs w:val="26"/>
        </w:rPr>
        <w:t xml:space="preserve"> % в 2016 году до 1</w:t>
      </w:r>
      <w:r w:rsidR="009045A0" w:rsidRPr="00BF0050">
        <w:rPr>
          <w:sz w:val="26"/>
          <w:szCs w:val="26"/>
        </w:rPr>
        <w:t>3,</w:t>
      </w:r>
      <w:r w:rsidRPr="00BF0050">
        <w:rPr>
          <w:sz w:val="26"/>
          <w:szCs w:val="26"/>
        </w:rPr>
        <w:t>2 %               в 2019 году.</w:t>
      </w:r>
    </w:p>
    <w:p w:rsidR="00211FCA" w:rsidRPr="00BF0050" w:rsidRDefault="00211FCA" w:rsidP="00211FCA">
      <w:pPr>
        <w:spacing w:before="0" w:after="0"/>
        <w:ind w:firstLine="708"/>
        <w:jc w:val="both"/>
        <w:rPr>
          <w:sz w:val="26"/>
          <w:szCs w:val="26"/>
        </w:rPr>
      </w:pPr>
      <w:r w:rsidRPr="00BF0050">
        <w:rPr>
          <w:rFonts w:eastAsia="Calibri"/>
          <w:color w:val="000000"/>
          <w:sz w:val="26"/>
          <w:szCs w:val="26"/>
        </w:rPr>
        <w:t xml:space="preserve">В условиях низких цен на нефть и высокой волатильности курса рубля </w:t>
      </w:r>
      <w:r w:rsidRPr="00BF0050">
        <w:rPr>
          <w:sz w:val="26"/>
          <w:szCs w:val="26"/>
        </w:rPr>
        <w:t xml:space="preserve">в 2016  году  </w:t>
      </w:r>
      <w:r w:rsidRPr="00BF0050">
        <w:rPr>
          <w:rFonts w:eastAsia="Calibri"/>
          <w:color w:val="000000"/>
          <w:sz w:val="26"/>
          <w:szCs w:val="26"/>
        </w:rPr>
        <w:t xml:space="preserve">ВВП будет находиться в отрицательной области – падение составит 2,1 процента. </w:t>
      </w:r>
      <w:r w:rsidRPr="00BF0050">
        <w:rPr>
          <w:sz w:val="26"/>
          <w:szCs w:val="26"/>
          <w:lang w:eastAsia="en-US"/>
        </w:rPr>
        <w:t>В 2017 году предполагается стабилизация ситуации в экономике</w:t>
      </w:r>
      <w:r w:rsidR="000E1947" w:rsidRPr="00BF0050">
        <w:rPr>
          <w:sz w:val="26"/>
          <w:szCs w:val="26"/>
          <w:lang w:eastAsia="en-US"/>
        </w:rPr>
        <w:t xml:space="preserve"> с замедлением темпов падения до 0,4 %</w:t>
      </w:r>
      <w:r w:rsidRPr="00BF0050">
        <w:rPr>
          <w:sz w:val="26"/>
          <w:szCs w:val="26"/>
          <w:lang w:eastAsia="en-US"/>
        </w:rPr>
        <w:t>,</w:t>
      </w:r>
      <w:r w:rsidRPr="00BF0050">
        <w:rPr>
          <w:sz w:val="26"/>
          <w:szCs w:val="26"/>
        </w:rPr>
        <w:t xml:space="preserve"> </w:t>
      </w:r>
      <w:r w:rsidR="000E1947" w:rsidRPr="00BF0050">
        <w:rPr>
          <w:sz w:val="26"/>
          <w:szCs w:val="26"/>
        </w:rPr>
        <w:t>в</w:t>
      </w:r>
      <w:r w:rsidRPr="00BF0050">
        <w:rPr>
          <w:sz w:val="26"/>
          <w:szCs w:val="26"/>
        </w:rPr>
        <w:t xml:space="preserve"> 2018</w:t>
      </w:r>
      <w:r w:rsidR="000E1947" w:rsidRPr="00BF0050">
        <w:rPr>
          <w:sz w:val="26"/>
          <w:szCs w:val="26"/>
        </w:rPr>
        <w:t> – 2019 гг.</w:t>
      </w:r>
      <w:r w:rsidRPr="00BF0050">
        <w:rPr>
          <w:sz w:val="26"/>
          <w:szCs w:val="26"/>
        </w:rPr>
        <w:t xml:space="preserve"> намечается тенденция устойчивого роста темпами </w:t>
      </w:r>
      <w:r w:rsidR="0003706E" w:rsidRPr="00BF0050">
        <w:rPr>
          <w:sz w:val="26"/>
          <w:szCs w:val="26"/>
        </w:rPr>
        <w:t xml:space="preserve">                         </w:t>
      </w:r>
      <w:r w:rsidRPr="00BF0050">
        <w:rPr>
          <w:sz w:val="26"/>
          <w:szCs w:val="26"/>
        </w:rPr>
        <w:t>0,7–1,6</w:t>
      </w:r>
      <w:r w:rsidR="000E1947" w:rsidRPr="00BF0050">
        <w:rPr>
          <w:sz w:val="26"/>
          <w:szCs w:val="26"/>
        </w:rPr>
        <w:t> </w:t>
      </w:r>
      <w:r w:rsidRPr="00BF0050">
        <w:rPr>
          <w:sz w:val="26"/>
          <w:szCs w:val="26"/>
        </w:rPr>
        <w:t>процента.</w:t>
      </w:r>
    </w:p>
    <w:p w:rsidR="00211FCA" w:rsidRPr="00BF0050" w:rsidRDefault="00211FCA" w:rsidP="00633F1F">
      <w:pPr>
        <w:autoSpaceDE w:val="0"/>
        <w:autoSpaceDN w:val="0"/>
        <w:adjustRightInd w:val="0"/>
        <w:spacing w:before="0" w:after="0" w:line="380" w:lineRule="exact"/>
        <w:jc w:val="both"/>
        <w:rPr>
          <w:sz w:val="26"/>
          <w:szCs w:val="26"/>
        </w:rPr>
      </w:pPr>
    </w:p>
    <w:p w:rsidR="00425485" w:rsidRPr="00BF0050" w:rsidRDefault="00425485" w:rsidP="00CC0A8C">
      <w:pPr>
        <w:keepNext/>
        <w:keepLines/>
        <w:spacing w:before="240" w:after="240"/>
        <w:ind w:left="1077" w:firstLine="0"/>
        <w:jc w:val="center"/>
        <w:outlineLvl w:val="0"/>
        <w:rPr>
          <w:rFonts w:eastAsiaTheme="minorHAnsi"/>
          <w:b/>
          <w:bCs/>
          <w:color w:val="365F91"/>
          <w:sz w:val="26"/>
          <w:szCs w:val="26"/>
          <w:lang w:eastAsia="en-US"/>
        </w:rPr>
      </w:pPr>
      <w:bookmarkStart w:id="61" w:name="_Toc447812950"/>
      <w:r w:rsidRPr="00BF0050">
        <w:rPr>
          <w:rFonts w:eastAsiaTheme="minorHAnsi"/>
          <w:b/>
          <w:bCs/>
          <w:color w:val="000000" w:themeColor="text1"/>
          <w:sz w:val="26"/>
          <w:szCs w:val="26"/>
          <w:lang w:eastAsia="en-US"/>
        </w:rPr>
        <w:t>13.</w:t>
      </w:r>
      <w:r w:rsidRPr="00BF0050">
        <w:rPr>
          <w:rFonts w:eastAsiaTheme="minorHAnsi"/>
          <w:b/>
          <w:bCs/>
          <w:color w:val="000000" w:themeColor="text1"/>
          <w:sz w:val="26"/>
          <w:szCs w:val="26"/>
          <w:lang w:eastAsia="en-US"/>
        </w:rPr>
        <w:tab/>
      </w:r>
      <w:r w:rsidR="00633F1F" w:rsidRPr="00BF0050">
        <w:rPr>
          <w:rFonts w:eastAsiaTheme="minorHAnsi"/>
          <w:b/>
          <w:bCs/>
          <w:color w:val="000000" w:themeColor="text1"/>
          <w:sz w:val="26"/>
          <w:szCs w:val="26"/>
          <w:lang w:eastAsia="en-US"/>
        </w:rPr>
        <w:t>  </w:t>
      </w:r>
      <w:r w:rsidRPr="00BF0050">
        <w:rPr>
          <w:rFonts w:eastAsiaTheme="minorHAnsi"/>
          <w:b/>
          <w:bCs/>
          <w:color w:val="000000" w:themeColor="text1"/>
          <w:sz w:val="26"/>
          <w:szCs w:val="26"/>
          <w:lang w:eastAsia="en-US"/>
        </w:rPr>
        <w:t xml:space="preserve">Характеристика </w:t>
      </w:r>
      <w:r w:rsidR="00D715BE" w:rsidRPr="00BF0050">
        <w:rPr>
          <w:rFonts w:eastAsiaTheme="minorHAnsi"/>
          <w:b/>
          <w:bCs/>
          <w:color w:val="000000" w:themeColor="text1"/>
          <w:sz w:val="26"/>
          <w:szCs w:val="26"/>
          <w:lang w:eastAsia="en-US"/>
        </w:rPr>
        <w:t>макроэкономических</w:t>
      </w:r>
      <w:r w:rsidRPr="00BF0050">
        <w:rPr>
          <w:rFonts w:eastAsiaTheme="minorHAnsi"/>
          <w:b/>
          <w:bCs/>
          <w:color w:val="000000" w:themeColor="text1"/>
          <w:sz w:val="26"/>
          <w:szCs w:val="26"/>
          <w:lang w:eastAsia="en-US"/>
        </w:rPr>
        <w:t xml:space="preserve"> параметров</w:t>
      </w:r>
      <w:r w:rsidR="00633F1F" w:rsidRPr="00BF0050">
        <w:rPr>
          <w:rFonts w:eastAsiaTheme="minorHAnsi"/>
          <w:b/>
          <w:bCs/>
          <w:color w:val="000000" w:themeColor="text1"/>
          <w:sz w:val="26"/>
          <w:szCs w:val="26"/>
          <w:lang w:eastAsia="en-US"/>
        </w:rPr>
        <w:t xml:space="preserve">                                                                                                               </w:t>
      </w:r>
      <w:r w:rsidRPr="00BF0050">
        <w:rPr>
          <w:rFonts w:eastAsiaTheme="minorHAnsi"/>
          <w:b/>
          <w:bCs/>
          <w:color w:val="000000" w:themeColor="text1"/>
          <w:sz w:val="26"/>
          <w:szCs w:val="26"/>
          <w:lang w:eastAsia="en-US"/>
        </w:rPr>
        <w:t>целевого варианта прогноза</w:t>
      </w:r>
      <w:bookmarkEnd w:id="61"/>
    </w:p>
    <w:p w:rsidR="00E62785" w:rsidRPr="00BF0050" w:rsidRDefault="00E62785" w:rsidP="00633F1F">
      <w:pPr>
        <w:spacing w:after="0"/>
        <w:jc w:val="both"/>
        <w:rPr>
          <w:sz w:val="26"/>
          <w:szCs w:val="26"/>
        </w:rPr>
      </w:pPr>
      <w:r w:rsidRPr="00BF0050">
        <w:rPr>
          <w:sz w:val="26"/>
          <w:szCs w:val="26"/>
        </w:rPr>
        <w:t xml:space="preserve">Целевой вариант прогноза предполагает выход российской экономики на траекторию устойчивого роста темпами, не ниже среднемировых, снижение инфляции до уровня 4 % </w:t>
      </w:r>
      <w:r w:rsidR="000F44BC" w:rsidRPr="00BF0050">
        <w:rPr>
          <w:sz w:val="26"/>
          <w:szCs w:val="26"/>
        </w:rPr>
        <w:t xml:space="preserve">в 2017 году </w:t>
      </w:r>
      <w:r w:rsidRPr="00BF0050">
        <w:rPr>
          <w:sz w:val="26"/>
          <w:szCs w:val="26"/>
        </w:rPr>
        <w:t>и рост производительности труда не менее чем на 5 %</w:t>
      </w:r>
      <w:r w:rsidRPr="00BF0050">
        <w:rPr>
          <w:b/>
          <w:sz w:val="26"/>
          <w:szCs w:val="26"/>
        </w:rPr>
        <w:t xml:space="preserve"> </w:t>
      </w:r>
      <w:r w:rsidR="000F44BC" w:rsidRPr="00BF0050">
        <w:rPr>
          <w:b/>
          <w:sz w:val="26"/>
          <w:szCs w:val="26"/>
        </w:rPr>
        <w:lastRenderedPageBreak/>
        <w:t>в</w:t>
      </w:r>
      <w:r w:rsidR="00D715BE" w:rsidRPr="00BF0050">
        <w:rPr>
          <w:b/>
          <w:sz w:val="26"/>
          <w:szCs w:val="26"/>
        </w:rPr>
        <w:t> </w:t>
      </w:r>
      <w:r w:rsidR="000F44BC" w:rsidRPr="00BF0050">
        <w:rPr>
          <w:sz w:val="26"/>
          <w:szCs w:val="26"/>
        </w:rPr>
        <w:t>среднесрочной перспективе</w:t>
      </w:r>
      <w:r w:rsidR="000F44BC" w:rsidRPr="00BF0050">
        <w:rPr>
          <w:b/>
          <w:sz w:val="26"/>
          <w:szCs w:val="26"/>
        </w:rPr>
        <w:t xml:space="preserve"> </w:t>
      </w:r>
      <w:r w:rsidRPr="00BF0050">
        <w:rPr>
          <w:sz w:val="26"/>
          <w:szCs w:val="26"/>
        </w:rPr>
        <w:t xml:space="preserve">при одновременном обеспечении макроэкономической сбалансированности. </w:t>
      </w:r>
    </w:p>
    <w:p w:rsidR="00E62785" w:rsidRPr="00BF0050" w:rsidRDefault="00EB7C21" w:rsidP="002B64CD">
      <w:pPr>
        <w:widowControl w:val="0"/>
        <w:spacing w:before="0" w:after="0"/>
        <w:jc w:val="both"/>
        <w:rPr>
          <w:sz w:val="26"/>
          <w:szCs w:val="26"/>
          <w:lang w:eastAsia="en-US"/>
        </w:rPr>
      </w:pPr>
      <w:r w:rsidRPr="00BF0050">
        <w:rPr>
          <w:sz w:val="26"/>
          <w:szCs w:val="26"/>
          <w:lang w:eastAsia="en-US"/>
        </w:rPr>
        <w:t xml:space="preserve">Внешние условия в целевом варианте сохраняются на уровне базового варианта, но для достижения намеченных целей предполагается </w:t>
      </w:r>
      <w:r w:rsidR="00E62785" w:rsidRPr="00BF0050">
        <w:rPr>
          <w:sz w:val="26"/>
          <w:szCs w:val="26"/>
          <w:lang w:eastAsia="en-US"/>
        </w:rPr>
        <w:t xml:space="preserve">разработка и реализация ряда мер экономической политики, направленных на: </w:t>
      </w:r>
    </w:p>
    <w:p w:rsidR="00E62785" w:rsidRPr="00BF0050" w:rsidRDefault="00E62785" w:rsidP="002B64CD">
      <w:pPr>
        <w:spacing w:before="0" w:after="0"/>
        <w:jc w:val="both"/>
        <w:rPr>
          <w:sz w:val="26"/>
          <w:szCs w:val="26"/>
          <w:lang w:eastAsia="en-US"/>
        </w:rPr>
      </w:pPr>
      <w:r w:rsidRPr="00BF0050">
        <w:rPr>
          <w:sz w:val="26"/>
          <w:szCs w:val="26"/>
          <w:lang w:eastAsia="en-US"/>
        </w:rPr>
        <w:t>обеспечение инвестиционной ориентации экономики, повышение инвестиционной активности частного капитала с целью обеспечения роста инвестиций на уровне 7–8 % к</w:t>
      </w:r>
      <w:r w:rsidR="00202BB8" w:rsidRPr="00BF0050">
        <w:rPr>
          <w:sz w:val="26"/>
          <w:szCs w:val="26"/>
          <w:lang w:eastAsia="en-US"/>
        </w:rPr>
        <w:t> </w:t>
      </w:r>
      <w:r w:rsidRPr="00BF0050">
        <w:rPr>
          <w:sz w:val="26"/>
          <w:szCs w:val="26"/>
          <w:lang w:eastAsia="en-US"/>
        </w:rPr>
        <w:t>концу прогнозного периода, при сдерживании в первые годы среднесрочной перспективы роста расходов на потребление и социальных обязательств государства</w:t>
      </w:r>
      <w:r w:rsidR="006C347C" w:rsidRPr="00BF0050">
        <w:rPr>
          <w:sz w:val="26"/>
          <w:szCs w:val="26"/>
          <w:lang w:eastAsia="en-US"/>
        </w:rPr>
        <w:t xml:space="preserve"> и</w:t>
      </w:r>
      <w:r w:rsidR="00D715BE" w:rsidRPr="00BF0050">
        <w:rPr>
          <w:sz w:val="26"/>
          <w:szCs w:val="26"/>
          <w:lang w:eastAsia="en-US"/>
        </w:rPr>
        <w:t> </w:t>
      </w:r>
      <w:r w:rsidR="006C347C" w:rsidRPr="00BF0050">
        <w:rPr>
          <w:sz w:val="26"/>
          <w:szCs w:val="26"/>
          <w:lang w:eastAsia="en-US"/>
        </w:rPr>
        <w:t>бизнеса</w:t>
      </w:r>
      <w:r w:rsidRPr="00BF0050">
        <w:rPr>
          <w:sz w:val="26"/>
          <w:szCs w:val="26"/>
          <w:lang w:eastAsia="en-US"/>
        </w:rPr>
        <w:t>;</w:t>
      </w:r>
    </w:p>
    <w:p w:rsidR="00E62785" w:rsidRPr="00BF0050" w:rsidRDefault="00E62785" w:rsidP="002B64CD">
      <w:pPr>
        <w:spacing w:before="0" w:after="0"/>
        <w:jc w:val="both"/>
        <w:rPr>
          <w:sz w:val="26"/>
          <w:szCs w:val="26"/>
          <w:lang w:eastAsia="en-US"/>
        </w:rPr>
      </w:pPr>
      <w:r w:rsidRPr="00BF0050">
        <w:rPr>
          <w:sz w:val="26"/>
          <w:szCs w:val="26"/>
          <w:lang w:eastAsia="en-US"/>
        </w:rPr>
        <w:t>государственную поддержку системообразующих и эффективных инвестиционных проектов;</w:t>
      </w:r>
    </w:p>
    <w:p w:rsidR="00E62785" w:rsidRPr="00BF0050" w:rsidRDefault="00E62785" w:rsidP="002B64CD">
      <w:pPr>
        <w:spacing w:before="0" w:after="0"/>
        <w:jc w:val="both"/>
        <w:rPr>
          <w:sz w:val="26"/>
          <w:szCs w:val="26"/>
          <w:lang w:eastAsia="en-US"/>
        </w:rPr>
      </w:pPr>
      <w:r w:rsidRPr="00BF0050">
        <w:rPr>
          <w:sz w:val="26"/>
          <w:szCs w:val="26"/>
          <w:lang w:eastAsia="en-US"/>
        </w:rPr>
        <w:t xml:space="preserve"> опережающий рост инвестиций в инновационные сектора экономики; </w:t>
      </w:r>
    </w:p>
    <w:p w:rsidR="00E62785" w:rsidRPr="00BF0050" w:rsidRDefault="00E62785" w:rsidP="002B64CD">
      <w:pPr>
        <w:spacing w:before="0" w:after="0"/>
        <w:jc w:val="both"/>
        <w:rPr>
          <w:sz w:val="26"/>
          <w:szCs w:val="26"/>
          <w:lang w:eastAsia="en-US"/>
        </w:rPr>
      </w:pPr>
      <w:r w:rsidRPr="00BF0050">
        <w:rPr>
          <w:sz w:val="26"/>
          <w:szCs w:val="26"/>
          <w:lang w:eastAsia="en-US"/>
        </w:rPr>
        <w:t xml:space="preserve">увеличение вложений и расширение форм поддержки секторов, ориентированных на </w:t>
      </w:r>
      <w:proofErr w:type="spellStart"/>
      <w:r w:rsidRPr="00BF0050">
        <w:rPr>
          <w:sz w:val="26"/>
          <w:szCs w:val="26"/>
          <w:lang w:eastAsia="en-US"/>
        </w:rPr>
        <w:t>несырьевой</w:t>
      </w:r>
      <w:proofErr w:type="spellEnd"/>
      <w:r w:rsidRPr="00BF0050">
        <w:rPr>
          <w:sz w:val="26"/>
          <w:szCs w:val="26"/>
          <w:lang w:eastAsia="en-US"/>
        </w:rPr>
        <w:t xml:space="preserve"> и высокотехнологичный экспорт, встраивание в конечные звенья формирующихся цепочек мирового производства продукции и технологий;</w:t>
      </w:r>
    </w:p>
    <w:p w:rsidR="00E62785" w:rsidRPr="00BF0050" w:rsidRDefault="00E62785" w:rsidP="002B64CD">
      <w:pPr>
        <w:spacing w:before="0" w:after="0"/>
        <w:jc w:val="both"/>
        <w:rPr>
          <w:sz w:val="26"/>
          <w:szCs w:val="26"/>
          <w:lang w:eastAsia="en-US"/>
        </w:rPr>
      </w:pPr>
      <w:r w:rsidRPr="00BF0050">
        <w:rPr>
          <w:sz w:val="26"/>
          <w:szCs w:val="26"/>
          <w:lang w:eastAsia="en-US"/>
        </w:rPr>
        <w:t xml:space="preserve">содействие росту импорта высокотехнологичного оборудования и технологий </w:t>
      </w:r>
      <w:r w:rsidR="006C347C" w:rsidRPr="00BF0050">
        <w:rPr>
          <w:sz w:val="26"/>
          <w:szCs w:val="26"/>
          <w:lang w:eastAsia="en-US"/>
        </w:rPr>
        <w:t>при</w:t>
      </w:r>
      <w:r w:rsidRPr="00BF0050">
        <w:rPr>
          <w:sz w:val="26"/>
          <w:szCs w:val="26"/>
          <w:lang w:eastAsia="en-US"/>
        </w:rPr>
        <w:t> </w:t>
      </w:r>
      <w:r w:rsidR="006C347C" w:rsidRPr="00BF0050">
        <w:rPr>
          <w:sz w:val="26"/>
          <w:szCs w:val="26"/>
          <w:lang w:eastAsia="en-US"/>
        </w:rPr>
        <w:t xml:space="preserve">одновременном развитии импортозамещения </w:t>
      </w:r>
      <w:r w:rsidRPr="00BF0050">
        <w:rPr>
          <w:sz w:val="26"/>
          <w:szCs w:val="26"/>
          <w:lang w:eastAsia="en-US"/>
        </w:rPr>
        <w:t>по критическим направлениям импорта;</w:t>
      </w:r>
    </w:p>
    <w:p w:rsidR="00E62785" w:rsidRPr="00BF0050" w:rsidRDefault="00E62785" w:rsidP="002B64CD">
      <w:pPr>
        <w:spacing w:before="0" w:after="0"/>
        <w:jc w:val="both"/>
        <w:rPr>
          <w:sz w:val="26"/>
          <w:szCs w:val="26"/>
          <w:lang w:eastAsia="en-US"/>
        </w:rPr>
      </w:pPr>
      <w:r w:rsidRPr="00BF0050">
        <w:rPr>
          <w:sz w:val="26"/>
          <w:szCs w:val="26"/>
          <w:lang w:eastAsia="en-US"/>
        </w:rPr>
        <w:t>осуществление мер антиинфляционной политики, максимальное сокращение неэффективных издержек и затрат;</w:t>
      </w:r>
    </w:p>
    <w:p w:rsidR="00E62785" w:rsidRPr="00BF0050" w:rsidRDefault="00E62785" w:rsidP="002B64CD">
      <w:pPr>
        <w:spacing w:before="0" w:after="0"/>
        <w:jc w:val="both"/>
        <w:rPr>
          <w:sz w:val="26"/>
          <w:szCs w:val="26"/>
          <w:lang w:eastAsia="en-US"/>
        </w:rPr>
      </w:pPr>
      <w:r w:rsidRPr="00BF0050">
        <w:rPr>
          <w:sz w:val="26"/>
          <w:szCs w:val="26"/>
          <w:lang w:eastAsia="en-US"/>
        </w:rPr>
        <w:t>обеспечение снижения энергоемкости производства не менее чем на 2,5 % в год на основе разработки и внедрения энергосберегающих технологий, сокращения удельного веса энергоемких производств, ускоренного выбытия неэффективных мощностей, сокращение потерь энергии.</w:t>
      </w:r>
    </w:p>
    <w:p w:rsidR="00992CB9" w:rsidRPr="00BF0050" w:rsidRDefault="003F6081" w:rsidP="002B64CD">
      <w:pPr>
        <w:spacing w:before="0" w:after="0"/>
        <w:ind w:right="-142"/>
        <w:jc w:val="both"/>
        <w:rPr>
          <w:sz w:val="26"/>
          <w:szCs w:val="26"/>
          <w:lang w:eastAsia="en-US"/>
        </w:rPr>
      </w:pPr>
      <w:r w:rsidRPr="00BF0050">
        <w:rPr>
          <w:rFonts w:eastAsia="Calibri"/>
          <w:sz w:val="26"/>
          <w:szCs w:val="26"/>
          <w:lang w:eastAsia="en-US"/>
        </w:rPr>
        <w:t xml:space="preserve">Реализация </w:t>
      </w:r>
      <w:r w:rsidR="00E62785" w:rsidRPr="00BF0050">
        <w:rPr>
          <w:rFonts w:eastAsia="Calibri"/>
          <w:sz w:val="26"/>
          <w:szCs w:val="26"/>
          <w:lang w:eastAsia="en-US"/>
        </w:rPr>
        <w:t xml:space="preserve">указанных </w:t>
      </w:r>
      <w:r w:rsidRPr="00BF0050">
        <w:rPr>
          <w:rFonts w:eastAsia="Calibri"/>
          <w:sz w:val="26"/>
          <w:szCs w:val="26"/>
          <w:lang w:eastAsia="en-US"/>
        </w:rPr>
        <w:t>мер</w:t>
      </w:r>
      <w:r w:rsidR="00E62785" w:rsidRPr="00BF0050">
        <w:rPr>
          <w:rFonts w:eastAsia="Calibri"/>
          <w:sz w:val="26"/>
          <w:szCs w:val="26"/>
          <w:lang w:eastAsia="en-US"/>
        </w:rPr>
        <w:t xml:space="preserve"> </w:t>
      </w:r>
      <w:r w:rsidRPr="00BF0050">
        <w:rPr>
          <w:rFonts w:eastAsia="Calibri"/>
          <w:sz w:val="26"/>
          <w:szCs w:val="26"/>
          <w:lang w:eastAsia="en-US"/>
        </w:rPr>
        <w:t xml:space="preserve">позволит обеспечить увеличение темпов роста </w:t>
      </w:r>
      <w:r w:rsidR="00992CB9" w:rsidRPr="00BF0050">
        <w:rPr>
          <w:rFonts w:eastAsia="Calibri"/>
          <w:sz w:val="26"/>
          <w:szCs w:val="26"/>
          <w:lang w:eastAsia="en-US"/>
        </w:rPr>
        <w:t xml:space="preserve">ВВП до </w:t>
      </w:r>
      <w:r w:rsidR="005E43FB" w:rsidRPr="00BF0050">
        <w:rPr>
          <w:sz w:val="26"/>
          <w:szCs w:val="26"/>
          <w:lang w:eastAsia="en-US"/>
        </w:rPr>
        <w:t>2</w:t>
      </w:r>
      <w:r w:rsidR="00992CB9" w:rsidRPr="00BF0050">
        <w:rPr>
          <w:sz w:val="26"/>
          <w:szCs w:val="26"/>
          <w:lang w:eastAsia="en-US"/>
        </w:rPr>
        <w:t>,</w:t>
      </w:r>
      <w:r w:rsidR="005E43FB" w:rsidRPr="00BF0050">
        <w:rPr>
          <w:sz w:val="26"/>
          <w:szCs w:val="26"/>
          <w:lang w:eastAsia="en-US"/>
        </w:rPr>
        <w:t>9</w:t>
      </w:r>
      <w:r w:rsidR="00024DB0" w:rsidRPr="00BF0050">
        <w:rPr>
          <w:sz w:val="26"/>
          <w:szCs w:val="26"/>
          <w:lang w:eastAsia="en-US"/>
        </w:rPr>
        <w:t> </w:t>
      </w:r>
      <w:r w:rsidR="00992CB9" w:rsidRPr="00BF0050">
        <w:rPr>
          <w:sz w:val="26"/>
          <w:szCs w:val="26"/>
          <w:lang w:eastAsia="en-US"/>
        </w:rPr>
        <w:t xml:space="preserve"> % в 2018 году и 4,5 % в 2019 году, что </w:t>
      </w:r>
      <w:r w:rsidRPr="00BF0050">
        <w:rPr>
          <w:rFonts w:eastAsia="Calibri"/>
          <w:sz w:val="26"/>
          <w:szCs w:val="26"/>
          <w:lang w:eastAsia="en-US"/>
        </w:rPr>
        <w:t>на</w:t>
      </w:r>
      <w:r w:rsidR="00992CB9" w:rsidRPr="00BF0050">
        <w:rPr>
          <w:rFonts w:eastAsia="Calibri"/>
          <w:sz w:val="26"/>
          <w:szCs w:val="26"/>
          <w:lang w:eastAsia="en-US"/>
        </w:rPr>
        <w:t xml:space="preserve"> 1–2</w:t>
      </w:r>
      <w:r w:rsidRPr="00BF0050">
        <w:rPr>
          <w:rFonts w:eastAsia="Calibri"/>
          <w:sz w:val="26"/>
          <w:szCs w:val="26"/>
          <w:lang w:eastAsia="en-US"/>
        </w:rPr>
        <w:t xml:space="preserve"> п. п. </w:t>
      </w:r>
      <w:r w:rsidR="00992CB9" w:rsidRPr="00BF0050">
        <w:rPr>
          <w:rFonts w:eastAsia="Calibri"/>
          <w:sz w:val="26"/>
          <w:szCs w:val="26"/>
          <w:lang w:eastAsia="en-US"/>
        </w:rPr>
        <w:t xml:space="preserve">выше </w:t>
      </w:r>
      <w:r w:rsidRPr="00BF0050">
        <w:rPr>
          <w:rFonts w:eastAsia="Calibri"/>
          <w:sz w:val="26"/>
          <w:szCs w:val="26"/>
          <w:lang w:eastAsia="en-US"/>
        </w:rPr>
        <w:t xml:space="preserve">по сравнению с базовым </w:t>
      </w:r>
      <w:r w:rsidR="00992CB9" w:rsidRPr="00BF0050">
        <w:rPr>
          <w:rFonts w:eastAsia="Calibri"/>
          <w:sz w:val="26"/>
          <w:szCs w:val="26"/>
          <w:lang w:eastAsia="en-US"/>
        </w:rPr>
        <w:t>вариантом</w:t>
      </w:r>
      <w:r w:rsidRPr="00BF0050">
        <w:rPr>
          <w:rFonts w:eastAsia="Calibri"/>
          <w:sz w:val="26"/>
          <w:szCs w:val="26"/>
          <w:lang w:eastAsia="en-US"/>
        </w:rPr>
        <w:t xml:space="preserve">. </w:t>
      </w:r>
      <w:r w:rsidR="00992CB9" w:rsidRPr="00BF0050">
        <w:rPr>
          <w:sz w:val="26"/>
          <w:szCs w:val="26"/>
          <w:lang w:eastAsia="en-US"/>
        </w:rPr>
        <w:t>Норма накопления основного капитала повысится до 24,</w:t>
      </w:r>
      <w:r w:rsidR="006E6B37" w:rsidRPr="00BF0050">
        <w:rPr>
          <w:sz w:val="26"/>
          <w:szCs w:val="26"/>
          <w:lang w:eastAsia="en-US"/>
        </w:rPr>
        <w:t>1</w:t>
      </w:r>
      <w:r w:rsidR="00992CB9" w:rsidRPr="00BF0050">
        <w:rPr>
          <w:sz w:val="26"/>
          <w:szCs w:val="26"/>
          <w:lang w:eastAsia="en-US"/>
        </w:rPr>
        <w:t xml:space="preserve"> % ВВП. Целевой вариант предполагает существенный рост инвестиций в </w:t>
      </w:r>
      <w:proofErr w:type="spellStart"/>
      <w:r w:rsidR="00992CB9" w:rsidRPr="00BF0050">
        <w:rPr>
          <w:sz w:val="26"/>
          <w:szCs w:val="26"/>
          <w:lang w:eastAsia="en-US"/>
        </w:rPr>
        <w:t>несырьевой</w:t>
      </w:r>
      <w:proofErr w:type="spellEnd"/>
      <w:r w:rsidR="00992CB9" w:rsidRPr="00BF0050">
        <w:rPr>
          <w:sz w:val="26"/>
          <w:szCs w:val="26"/>
          <w:lang w:eastAsia="en-US"/>
        </w:rPr>
        <w:t xml:space="preserve"> сектор экономики, в результате чего рост экспорта </w:t>
      </w:r>
      <w:proofErr w:type="spellStart"/>
      <w:r w:rsidR="00992CB9" w:rsidRPr="00BF0050">
        <w:rPr>
          <w:sz w:val="26"/>
          <w:szCs w:val="26"/>
          <w:lang w:eastAsia="en-US"/>
        </w:rPr>
        <w:t>нетопливных</w:t>
      </w:r>
      <w:proofErr w:type="spellEnd"/>
      <w:r w:rsidR="00992CB9" w:rsidRPr="00BF0050">
        <w:rPr>
          <w:sz w:val="26"/>
          <w:szCs w:val="26"/>
          <w:lang w:eastAsia="en-US"/>
        </w:rPr>
        <w:t xml:space="preserve"> товаров в 2018 – 2019 гг. составит не менее 6–</w:t>
      </w:r>
      <w:r w:rsidR="006E6B37" w:rsidRPr="00BF0050">
        <w:rPr>
          <w:sz w:val="26"/>
          <w:szCs w:val="26"/>
          <w:lang w:eastAsia="en-US"/>
        </w:rPr>
        <w:t>9</w:t>
      </w:r>
      <w:r w:rsidR="00992CB9" w:rsidRPr="00BF0050">
        <w:rPr>
          <w:sz w:val="26"/>
          <w:szCs w:val="26"/>
          <w:lang w:eastAsia="en-US"/>
        </w:rPr>
        <w:t xml:space="preserve"> процентов. Расходы на потребление домашних хозяйств, в целях достижения целевого уровня инфляции в 2017 году и роста накопления, будут сдерживаться в первые два года, но начнут заметно возрастать в 2018 году, а в 2019 году его темпы могут превысить темп роста ВВП.</w:t>
      </w:r>
    </w:p>
    <w:p w:rsidR="00992CB9" w:rsidRPr="00BF0050" w:rsidRDefault="00992CB9" w:rsidP="002B64CD">
      <w:pPr>
        <w:spacing w:before="0" w:after="0"/>
        <w:jc w:val="both"/>
        <w:rPr>
          <w:sz w:val="26"/>
          <w:szCs w:val="26"/>
          <w:lang w:eastAsia="en-US"/>
        </w:rPr>
      </w:pPr>
      <w:r w:rsidRPr="00BF0050">
        <w:rPr>
          <w:sz w:val="26"/>
          <w:szCs w:val="26"/>
          <w:lang w:eastAsia="en-US"/>
        </w:rPr>
        <w:t>Целевым вариантом предусматривается более быстрое снижение инфляции.            В 2017 году Банком России поставлена задача снижения инфляции до 4 % и поддержания ее на этом уровне в течение всего прогнозного периода. Достижение снижения инфляции почти вдвое против 2016 года (7 %, по оценке Минэкономразвития России) может быть достигнуто, прежде всего, за счет дальнейшего ужесточения денежно-кредитной и</w:t>
      </w:r>
      <w:r w:rsidR="00D715BE" w:rsidRPr="00BF0050">
        <w:rPr>
          <w:sz w:val="26"/>
          <w:szCs w:val="26"/>
          <w:lang w:eastAsia="en-US"/>
        </w:rPr>
        <w:t> </w:t>
      </w:r>
      <w:r w:rsidRPr="00BF0050">
        <w:rPr>
          <w:sz w:val="26"/>
          <w:szCs w:val="26"/>
          <w:lang w:eastAsia="en-US"/>
        </w:rPr>
        <w:t xml:space="preserve">бюджетной политики, сдерживания потребительского спроса, что предполагает соответствующее замедление роста доходов населения. Постепенный рост доходов </w:t>
      </w:r>
      <w:r w:rsidRPr="00BF0050">
        <w:rPr>
          <w:sz w:val="26"/>
          <w:szCs w:val="26"/>
          <w:lang w:eastAsia="en-US"/>
        </w:rPr>
        <w:lastRenderedPageBreak/>
        <w:t xml:space="preserve">населения может возобновиться в последующие два года среднесрочного периода на фоне </w:t>
      </w:r>
      <w:r w:rsidR="00F5266A" w:rsidRPr="00BF0050">
        <w:rPr>
          <w:sz w:val="26"/>
          <w:szCs w:val="26"/>
          <w:lang w:eastAsia="en-US"/>
        </w:rPr>
        <w:t>смягчения</w:t>
      </w:r>
      <w:r w:rsidRPr="00BF0050">
        <w:rPr>
          <w:sz w:val="26"/>
          <w:szCs w:val="26"/>
          <w:lang w:eastAsia="en-US"/>
        </w:rPr>
        <w:t xml:space="preserve"> денежно-кредитной политики по мере снижения инфляции.</w:t>
      </w:r>
    </w:p>
    <w:p w:rsidR="00992CB9" w:rsidRPr="00BF0050" w:rsidRDefault="00992CB9" w:rsidP="002B64CD">
      <w:pPr>
        <w:widowControl w:val="0"/>
        <w:spacing w:before="0" w:after="0"/>
        <w:jc w:val="both"/>
        <w:rPr>
          <w:sz w:val="26"/>
          <w:szCs w:val="26"/>
          <w:lang w:eastAsia="en-US"/>
        </w:rPr>
      </w:pPr>
      <w:r w:rsidRPr="00BF0050">
        <w:rPr>
          <w:sz w:val="26"/>
          <w:szCs w:val="26"/>
          <w:lang w:eastAsia="en-US"/>
        </w:rPr>
        <w:t xml:space="preserve">Политика, направленная на снижение инфляции до целевого уровня и его поддержание, предусматривает также структурные преобразования: более жесткие подходы в отношении роста регулируемых тарифов на услуги инфраструктурных отраслей (индексация не выше уровня инфляции на прогнозный период) в целях сдерживания роста издержек; меры, обеспечивающие рост предложения товаров и услуг; </w:t>
      </w:r>
      <w:proofErr w:type="gramStart"/>
      <w:r w:rsidRPr="00BF0050">
        <w:rPr>
          <w:sz w:val="26"/>
          <w:szCs w:val="26"/>
          <w:lang w:eastAsia="en-US"/>
        </w:rPr>
        <w:t>меры, направленные на расширение конкурентной среды за счет увеличения малых и</w:t>
      </w:r>
      <w:r w:rsidR="00D715BE" w:rsidRPr="00BF0050">
        <w:rPr>
          <w:sz w:val="26"/>
          <w:szCs w:val="26"/>
          <w:lang w:eastAsia="en-US"/>
        </w:rPr>
        <w:t> </w:t>
      </w:r>
      <w:r w:rsidRPr="00BF0050">
        <w:rPr>
          <w:sz w:val="26"/>
          <w:szCs w:val="26"/>
          <w:lang w:eastAsia="en-US"/>
        </w:rPr>
        <w:t xml:space="preserve">средних предприятий, в том числе в системе товаропроводящих сетей; устранение монополизма и сговора в  установлении цен и другие меры антиинфляционной политики </w:t>
      </w:r>
      <w:r w:rsidR="0067501B" w:rsidRPr="00BF0050">
        <w:rPr>
          <w:sz w:val="26"/>
          <w:szCs w:val="26"/>
          <w:lang w:eastAsia="en-US"/>
        </w:rPr>
        <w:t>п</w:t>
      </w:r>
      <w:r w:rsidRPr="00BF0050">
        <w:rPr>
          <w:sz w:val="26"/>
          <w:szCs w:val="26"/>
          <w:lang w:eastAsia="en-US"/>
        </w:rPr>
        <w:t>равительства, а также постепенное снижение налоговой нагрузки.</w:t>
      </w:r>
      <w:proofErr w:type="gramEnd"/>
    </w:p>
    <w:p w:rsidR="00992CB9" w:rsidRPr="00BF0050" w:rsidRDefault="00992CB9" w:rsidP="002B64CD">
      <w:pPr>
        <w:spacing w:before="0" w:after="0"/>
        <w:jc w:val="both"/>
        <w:rPr>
          <w:rFonts w:eastAsia="Calibri"/>
          <w:color w:val="000000"/>
          <w:sz w:val="26"/>
          <w:szCs w:val="26"/>
        </w:rPr>
      </w:pPr>
      <w:r w:rsidRPr="00BF0050">
        <w:rPr>
          <w:rFonts w:eastAsia="Calibri"/>
          <w:color w:val="000000"/>
          <w:sz w:val="26"/>
          <w:szCs w:val="26"/>
        </w:rPr>
        <w:t>На фоне сокращения оттока капитала, смягчения кредитных условий и более низкой инфляции предполагается более активное восстановление интереса бизнеса к инвестированию. В прогнозный период среднегодовой прирост инвестиций составит 5,</w:t>
      </w:r>
      <w:r w:rsidR="00161356" w:rsidRPr="00BF0050">
        <w:rPr>
          <w:rFonts w:eastAsia="Calibri"/>
          <w:color w:val="000000"/>
          <w:sz w:val="26"/>
          <w:szCs w:val="26"/>
        </w:rPr>
        <w:t>4 </w:t>
      </w:r>
      <w:r w:rsidRPr="00BF0050">
        <w:rPr>
          <w:rFonts w:eastAsia="Calibri"/>
          <w:color w:val="000000"/>
          <w:sz w:val="26"/>
          <w:szCs w:val="26"/>
        </w:rPr>
        <w:t>процента.</w:t>
      </w:r>
    </w:p>
    <w:p w:rsidR="0002090E" w:rsidRPr="00BF0050" w:rsidRDefault="00992CB9" w:rsidP="002B64CD">
      <w:pPr>
        <w:spacing w:before="0" w:after="0"/>
        <w:jc w:val="both"/>
        <w:rPr>
          <w:rFonts w:eastAsia="Calibri"/>
          <w:color w:val="000000"/>
          <w:sz w:val="26"/>
          <w:szCs w:val="26"/>
        </w:rPr>
      </w:pPr>
      <w:r w:rsidRPr="00BF0050">
        <w:rPr>
          <w:rFonts w:eastAsia="Calibri"/>
          <w:color w:val="000000"/>
          <w:sz w:val="26"/>
          <w:szCs w:val="26"/>
        </w:rPr>
        <w:t>Прирост инвестиций будет обусловлен развитием транспортной инфраструктуры, более масштабной технологической модернизацией, развитием машиностроения и инвестированием в  отрасли, направленные на развитие человеческого капитала.</w:t>
      </w:r>
    </w:p>
    <w:p w:rsidR="00992CB9" w:rsidRPr="00BF0050" w:rsidRDefault="00992CB9" w:rsidP="002B64CD">
      <w:pPr>
        <w:spacing w:before="0" w:after="0"/>
        <w:jc w:val="both"/>
        <w:rPr>
          <w:sz w:val="26"/>
          <w:szCs w:val="26"/>
          <w:lang w:eastAsia="en-US"/>
        </w:rPr>
      </w:pPr>
      <w:r w:rsidRPr="00BF0050">
        <w:rPr>
          <w:rFonts w:eastAsia="Calibri"/>
          <w:color w:val="000000"/>
          <w:sz w:val="26"/>
          <w:szCs w:val="26"/>
        </w:rPr>
        <w:t xml:space="preserve">В целевом варианте предполагается рост капитальных вложений за счет дополнительных расходов за счет средств ФНБ </w:t>
      </w:r>
      <w:r w:rsidRPr="00BF0050">
        <w:rPr>
          <w:sz w:val="26"/>
          <w:szCs w:val="26"/>
          <w:lang w:eastAsia="en-US"/>
        </w:rPr>
        <w:t xml:space="preserve">и ресурсов, высвобождающихся в результате снижения административных издержек. Более высокие темпы </w:t>
      </w:r>
      <w:r w:rsidRPr="00BF0050">
        <w:rPr>
          <w:rFonts w:eastAsia="Calibri"/>
          <w:color w:val="000000"/>
          <w:sz w:val="26"/>
          <w:szCs w:val="26"/>
        </w:rPr>
        <w:t xml:space="preserve">роста прибыли организаций будут способствовать инвестированию за счет </w:t>
      </w:r>
      <w:r w:rsidRPr="00BF0050">
        <w:rPr>
          <w:sz w:val="26"/>
          <w:szCs w:val="26"/>
          <w:lang w:eastAsia="en-US"/>
        </w:rPr>
        <w:t>собственных средств частного сектора.</w:t>
      </w:r>
    </w:p>
    <w:p w:rsidR="00992CB9" w:rsidRPr="00BF0050" w:rsidRDefault="00992CB9" w:rsidP="00992CB9">
      <w:pPr>
        <w:widowControl w:val="0"/>
        <w:autoSpaceDE w:val="0"/>
        <w:autoSpaceDN w:val="0"/>
        <w:adjustRightInd w:val="0"/>
        <w:spacing w:before="0" w:after="0"/>
        <w:jc w:val="both"/>
        <w:rPr>
          <w:sz w:val="26"/>
          <w:szCs w:val="26"/>
        </w:rPr>
      </w:pPr>
      <w:r w:rsidRPr="00BF0050">
        <w:rPr>
          <w:sz w:val="26"/>
          <w:szCs w:val="26"/>
        </w:rPr>
        <w:t xml:space="preserve">В целевом варианте на фоне более благоприятного инвестиционного климата и увеличения производства уровень безработицы начнет снижаться уже в 2017 году,          а к 2019 году составит 5,6 % рабочей силы (экономически активного населения). </w:t>
      </w:r>
    </w:p>
    <w:p w:rsidR="00992CB9" w:rsidRPr="003F6081" w:rsidRDefault="00992CB9" w:rsidP="002B64CD">
      <w:pPr>
        <w:widowControl w:val="0"/>
        <w:autoSpaceDE w:val="0"/>
        <w:autoSpaceDN w:val="0"/>
        <w:adjustRightInd w:val="0"/>
        <w:spacing w:before="0" w:after="0"/>
        <w:jc w:val="both"/>
        <w:rPr>
          <w:rFonts w:eastAsia="Calibri"/>
          <w:sz w:val="26"/>
          <w:szCs w:val="26"/>
          <w:lang w:eastAsia="en-US"/>
        </w:rPr>
      </w:pPr>
      <w:r w:rsidRPr="00BF0050">
        <w:rPr>
          <w:sz w:val="26"/>
          <w:szCs w:val="26"/>
        </w:rPr>
        <w:t>В рамках целевого варианта предполагается перераспределение ресурсов компаний в сторону инвестиционных расходов, в том числе и за счет временного (на ближайшие годы) ограничения расходов на оплату труда с последующим компенсационным ростом. В результате в 2018</w:t>
      </w:r>
      <w:r w:rsidR="008537E1" w:rsidRPr="00BF0050">
        <w:rPr>
          <w:sz w:val="26"/>
          <w:szCs w:val="26"/>
        </w:rPr>
        <w:t> </w:t>
      </w:r>
      <w:r w:rsidRPr="00BF0050">
        <w:rPr>
          <w:sz w:val="26"/>
          <w:szCs w:val="26"/>
        </w:rPr>
        <w:t>–</w:t>
      </w:r>
      <w:r w:rsidR="008537E1" w:rsidRPr="00BF0050">
        <w:rPr>
          <w:sz w:val="26"/>
          <w:szCs w:val="26"/>
        </w:rPr>
        <w:t> </w:t>
      </w:r>
      <w:r w:rsidRPr="00BF0050">
        <w:rPr>
          <w:sz w:val="26"/>
          <w:szCs w:val="26"/>
        </w:rPr>
        <w:t xml:space="preserve">2019 гг. среднегодовые темпы роста реальной заработной </w:t>
      </w:r>
      <w:r w:rsidR="00B12F53" w:rsidRPr="00BF0050">
        <w:rPr>
          <w:sz w:val="26"/>
          <w:szCs w:val="26"/>
        </w:rPr>
        <w:t xml:space="preserve">платы </w:t>
      </w:r>
      <w:r w:rsidRPr="00BF0050">
        <w:rPr>
          <w:sz w:val="26"/>
          <w:szCs w:val="26"/>
        </w:rPr>
        <w:t xml:space="preserve">ускорятся и будут на </w:t>
      </w:r>
      <w:r w:rsidR="00172565" w:rsidRPr="00BF0050">
        <w:rPr>
          <w:sz w:val="26"/>
          <w:szCs w:val="26"/>
        </w:rPr>
        <w:t>1,3</w:t>
      </w:r>
      <w:r w:rsidRPr="00BF0050">
        <w:rPr>
          <w:sz w:val="26"/>
          <w:szCs w:val="26"/>
        </w:rPr>
        <w:t xml:space="preserve"> п. п. выше, чем в базовом варианте прогноза, стимулируя потребительский спрос.</w:t>
      </w:r>
      <w:bookmarkStart w:id="62" w:name="_GoBack"/>
      <w:bookmarkEnd w:id="62"/>
      <w:r w:rsidRPr="00992CB9">
        <w:rPr>
          <w:sz w:val="26"/>
          <w:szCs w:val="26"/>
        </w:rPr>
        <w:t xml:space="preserve"> </w:t>
      </w:r>
    </w:p>
    <w:p w:rsidR="00AD67D2" w:rsidRDefault="00AD67D2">
      <w:pPr>
        <w:spacing w:before="0" w:after="0" w:line="240" w:lineRule="auto"/>
        <w:ind w:firstLine="0"/>
        <w:rPr>
          <w:rFonts w:eastAsiaTheme="minorHAnsi"/>
          <w:bCs/>
          <w:sz w:val="26"/>
          <w:szCs w:val="26"/>
          <w:lang w:eastAsia="en-US"/>
        </w:rPr>
      </w:pPr>
    </w:p>
    <w:sectPr w:rsidR="00AD67D2" w:rsidSect="00B460B2">
      <w:headerReference w:type="even" r:id="rId26"/>
      <w:headerReference w:type="default" r:id="rId27"/>
      <w:footerReference w:type="even" r:id="rId28"/>
      <w:footerReference w:type="default" r:id="rId29"/>
      <w:footnotePr>
        <w:numFmt w:val="chicago"/>
      </w:footnotePr>
      <w:pgSz w:w="11906" w:h="16838"/>
      <w:pgMar w:top="851"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B6" w:rsidRDefault="00E715B6">
      <w:r>
        <w:separator/>
      </w:r>
    </w:p>
  </w:endnote>
  <w:endnote w:type="continuationSeparator" w:id="0">
    <w:p w:rsidR="00E715B6" w:rsidRDefault="00E715B6">
      <w:r>
        <w:continuationSeparator/>
      </w:r>
    </w:p>
  </w:endnote>
  <w:endnote w:type="continuationNotice" w:id="1">
    <w:p w:rsidR="00E715B6" w:rsidRDefault="00E715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CSR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fficinaSansCTT">
    <w:altName w:val="Times New Roman"/>
    <w:charset w:val="CC"/>
    <w:family w:val="auto"/>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JournalSans">
    <w:altName w:val="Times New Roman"/>
    <w:charset w:val="00"/>
    <w:family w:val="auto"/>
    <w:pitch w:val="variable"/>
    <w:sig w:usb0="00000003" w:usb1="00000000" w:usb2="00000000" w:usb3="00000000" w:csb0="00000001" w:csb1="00000000"/>
  </w:font>
  <w:font w:name="hebrew">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B778E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B6AAA" w:rsidRDefault="007B6AAA" w:rsidP="00CC038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B778EE">
    <w:pPr>
      <w:pStyle w:val="aa"/>
      <w:framePr w:wrap="around" w:vAnchor="text" w:hAnchor="margin" w:xAlign="right" w:y="1"/>
      <w:rPr>
        <w:rStyle w:val="ac"/>
      </w:rPr>
    </w:pPr>
  </w:p>
  <w:p w:rsidR="007B6AAA" w:rsidRDefault="007B6AAA" w:rsidP="00CC0381">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B778E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B6AAA" w:rsidRDefault="007B6AAA" w:rsidP="00CC0381">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B778EE">
    <w:pPr>
      <w:pStyle w:val="aa"/>
      <w:framePr w:wrap="around" w:vAnchor="text" w:hAnchor="margin" w:xAlign="right" w:y="1"/>
      <w:rPr>
        <w:rStyle w:val="ac"/>
      </w:rPr>
    </w:pPr>
  </w:p>
  <w:p w:rsidR="007B6AAA" w:rsidRDefault="007B6AAA" w:rsidP="00CC038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B6" w:rsidRDefault="00E715B6">
      <w:r>
        <w:separator/>
      </w:r>
    </w:p>
  </w:footnote>
  <w:footnote w:type="continuationSeparator" w:id="0">
    <w:p w:rsidR="00E715B6" w:rsidRDefault="00E715B6">
      <w:r>
        <w:continuationSeparator/>
      </w:r>
    </w:p>
  </w:footnote>
  <w:footnote w:type="continuationNotice" w:id="1">
    <w:p w:rsidR="00E715B6" w:rsidRDefault="00E715B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BD3151">
    <w:pPr>
      <w:pStyle w:val="af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6AAA" w:rsidRDefault="007B6AA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806F00">
    <w:pPr>
      <w:pStyle w:val="af4"/>
      <w:framePr w:wrap="around" w:vAnchor="text" w:hAnchor="page" w:x="5970" w:y="-191"/>
      <w:ind w:firstLine="0"/>
      <w:rPr>
        <w:rStyle w:val="ac"/>
        <w:szCs w:val="24"/>
      </w:rPr>
    </w:pPr>
    <w:r>
      <w:rPr>
        <w:rStyle w:val="ac"/>
      </w:rPr>
      <w:fldChar w:fldCharType="begin"/>
    </w:r>
    <w:r>
      <w:rPr>
        <w:rStyle w:val="ac"/>
      </w:rPr>
      <w:instrText xml:space="preserve">PAGE  </w:instrText>
    </w:r>
    <w:r>
      <w:rPr>
        <w:rStyle w:val="ac"/>
      </w:rPr>
      <w:fldChar w:fldCharType="separate"/>
    </w:r>
    <w:r w:rsidR="00BF0050">
      <w:rPr>
        <w:rStyle w:val="ac"/>
        <w:noProof/>
      </w:rPr>
      <w:t>8</w:t>
    </w:r>
    <w:r>
      <w:rPr>
        <w:rStyle w:val="ac"/>
      </w:rPr>
      <w:fldChar w:fldCharType="end"/>
    </w:r>
  </w:p>
  <w:p w:rsidR="007B6AAA" w:rsidRDefault="007B6AAA">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71788"/>
      <w:docPartObj>
        <w:docPartGallery w:val="Page Numbers (Top of Page)"/>
        <w:docPartUnique/>
      </w:docPartObj>
    </w:sdtPr>
    <w:sdtEndPr/>
    <w:sdtContent>
      <w:p w:rsidR="007B6AAA" w:rsidRDefault="007B6AAA" w:rsidP="008E3EA0">
        <w:pPr>
          <w:pStyle w:val="af4"/>
          <w:ind w:firstLine="0"/>
          <w:jc w:val="center"/>
        </w:pPr>
        <w:r>
          <w:fldChar w:fldCharType="begin"/>
        </w:r>
        <w:r>
          <w:instrText>PAGE   \* MERGEFORMAT</w:instrText>
        </w:r>
        <w:r>
          <w:fldChar w:fldCharType="separate"/>
        </w:r>
        <w:r w:rsidR="00BF0050">
          <w:rPr>
            <w:noProof/>
          </w:rPr>
          <w:t>10</w:t>
        </w:r>
        <w:r>
          <w:fldChar w:fldCharType="end"/>
        </w:r>
      </w:p>
    </w:sdtContent>
  </w:sdt>
  <w:p w:rsidR="007B6AAA" w:rsidRPr="002C0E6B" w:rsidRDefault="007B6AAA" w:rsidP="002C0E6B">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BD3151">
    <w:pPr>
      <w:pStyle w:val="af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6AAA" w:rsidRDefault="007B6AAA">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AA" w:rsidRDefault="007B6AAA" w:rsidP="00BE7F7D">
    <w:pPr>
      <w:pStyle w:val="af4"/>
      <w:framePr w:wrap="around" w:vAnchor="text" w:hAnchor="page" w:x="5896" w:y="-197"/>
      <w:ind w:firstLine="0"/>
      <w:rPr>
        <w:rStyle w:val="ac"/>
        <w:szCs w:val="24"/>
      </w:rPr>
    </w:pPr>
    <w:r w:rsidRPr="00D66F58">
      <w:rPr>
        <w:rStyle w:val="ac"/>
      </w:rPr>
      <w:fldChar w:fldCharType="begin"/>
    </w:r>
    <w:r w:rsidRPr="00D66F58">
      <w:rPr>
        <w:rStyle w:val="ac"/>
      </w:rPr>
      <w:instrText xml:space="preserve">PAGE  </w:instrText>
    </w:r>
    <w:r w:rsidRPr="00D66F58">
      <w:rPr>
        <w:rStyle w:val="ac"/>
      </w:rPr>
      <w:fldChar w:fldCharType="separate"/>
    </w:r>
    <w:r w:rsidR="00BF0050">
      <w:rPr>
        <w:rStyle w:val="ac"/>
        <w:noProof/>
      </w:rPr>
      <w:t>56</w:t>
    </w:r>
    <w:r w:rsidRPr="00D66F58">
      <w:rPr>
        <w:rStyle w:val="ac"/>
      </w:rPr>
      <w:fldChar w:fldCharType="end"/>
    </w:r>
  </w:p>
  <w:p w:rsidR="007B6AAA" w:rsidRDefault="007B6AA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5"/>
    <w:multiLevelType w:val="multilevel"/>
    <w:tmpl w:val="9A9CDB58"/>
    <w:lvl w:ilvl="0">
      <w:start w:val="1"/>
      <w:numFmt w:val="decimal"/>
      <w:lvlText w:val="%1."/>
      <w:lvlJc w:val="left"/>
      <w:pPr>
        <w:ind w:left="786" w:hanging="360"/>
      </w:pPr>
      <w:rPr>
        <w:rFonts w:ascii="Times New Roman" w:hAnsi="Times New Roman" w:cs="Times New Roman" w:hint="default"/>
        <w:b/>
        <w:i w:val="0"/>
        <w:color w:val="00000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0A755D16"/>
    <w:multiLevelType w:val="hybridMultilevel"/>
    <w:tmpl w:val="C7165542"/>
    <w:lvl w:ilvl="0" w:tplc="5D3890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8366ED"/>
    <w:multiLevelType w:val="hybridMultilevel"/>
    <w:tmpl w:val="CF1859FE"/>
    <w:lvl w:ilvl="0" w:tplc="B0E24760">
      <w:start w:val="1"/>
      <w:numFmt w:val="bullet"/>
      <w:pStyle w:val="a"/>
      <w:lvlText w:val=""/>
      <w:lvlJc w:val="left"/>
      <w:pPr>
        <w:tabs>
          <w:tab w:val="num" w:pos="217"/>
        </w:tabs>
        <w:ind w:left="784" w:hanging="283"/>
      </w:pPr>
      <w:rPr>
        <w:rFonts w:ascii="Symbol" w:hAnsi="Symbol" w:hint="default"/>
      </w:rPr>
    </w:lvl>
    <w:lvl w:ilvl="1" w:tplc="04190003">
      <w:start w:val="1"/>
      <w:numFmt w:val="bullet"/>
      <w:lvlText w:val="o"/>
      <w:lvlJc w:val="left"/>
      <w:pPr>
        <w:tabs>
          <w:tab w:val="num" w:pos="1657"/>
        </w:tabs>
        <w:ind w:left="1657" w:hanging="360"/>
      </w:pPr>
      <w:rPr>
        <w:rFonts w:ascii="Courier New" w:hAnsi="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3097"/>
        </w:tabs>
        <w:ind w:left="3097" w:hanging="360"/>
      </w:pPr>
      <w:rPr>
        <w:rFonts w:ascii="Symbol" w:hAnsi="Symbol" w:hint="default"/>
      </w:rPr>
    </w:lvl>
    <w:lvl w:ilvl="4" w:tplc="04190003" w:tentative="1">
      <w:start w:val="1"/>
      <w:numFmt w:val="bullet"/>
      <w:lvlText w:val="o"/>
      <w:lvlJc w:val="left"/>
      <w:pPr>
        <w:tabs>
          <w:tab w:val="num" w:pos="3817"/>
        </w:tabs>
        <w:ind w:left="3817" w:hanging="360"/>
      </w:pPr>
      <w:rPr>
        <w:rFonts w:ascii="Courier New" w:hAnsi="Courier New" w:hint="default"/>
      </w:rPr>
    </w:lvl>
    <w:lvl w:ilvl="5" w:tplc="04190005" w:tentative="1">
      <w:start w:val="1"/>
      <w:numFmt w:val="bullet"/>
      <w:lvlText w:val=""/>
      <w:lvlJc w:val="left"/>
      <w:pPr>
        <w:tabs>
          <w:tab w:val="num" w:pos="4537"/>
        </w:tabs>
        <w:ind w:left="4537" w:hanging="360"/>
      </w:pPr>
      <w:rPr>
        <w:rFonts w:ascii="Wingdings" w:hAnsi="Wingdings" w:hint="default"/>
      </w:rPr>
    </w:lvl>
    <w:lvl w:ilvl="6" w:tplc="04190001" w:tentative="1">
      <w:start w:val="1"/>
      <w:numFmt w:val="bullet"/>
      <w:lvlText w:val=""/>
      <w:lvlJc w:val="left"/>
      <w:pPr>
        <w:tabs>
          <w:tab w:val="num" w:pos="5257"/>
        </w:tabs>
        <w:ind w:left="5257" w:hanging="360"/>
      </w:pPr>
      <w:rPr>
        <w:rFonts w:ascii="Symbol" w:hAnsi="Symbol" w:hint="default"/>
      </w:rPr>
    </w:lvl>
    <w:lvl w:ilvl="7" w:tplc="04190003" w:tentative="1">
      <w:start w:val="1"/>
      <w:numFmt w:val="bullet"/>
      <w:lvlText w:val="o"/>
      <w:lvlJc w:val="left"/>
      <w:pPr>
        <w:tabs>
          <w:tab w:val="num" w:pos="5977"/>
        </w:tabs>
        <w:ind w:left="5977" w:hanging="360"/>
      </w:pPr>
      <w:rPr>
        <w:rFonts w:ascii="Courier New" w:hAnsi="Courier New" w:hint="default"/>
      </w:rPr>
    </w:lvl>
    <w:lvl w:ilvl="8" w:tplc="04190005" w:tentative="1">
      <w:start w:val="1"/>
      <w:numFmt w:val="bullet"/>
      <w:lvlText w:val=""/>
      <w:lvlJc w:val="left"/>
      <w:pPr>
        <w:tabs>
          <w:tab w:val="num" w:pos="6697"/>
        </w:tabs>
        <w:ind w:left="6697" w:hanging="360"/>
      </w:pPr>
      <w:rPr>
        <w:rFonts w:ascii="Wingdings" w:hAnsi="Wingdings" w:hint="default"/>
      </w:rPr>
    </w:lvl>
  </w:abstractNum>
  <w:abstractNum w:abstractNumId="3">
    <w:nsid w:val="0ECE1483"/>
    <w:multiLevelType w:val="hybridMultilevel"/>
    <w:tmpl w:val="425E5F42"/>
    <w:lvl w:ilvl="0" w:tplc="C4DCCFDE">
      <w:start w:val="4"/>
      <w:numFmt w:val="decimal"/>
      <w:lvlText w:val="%1."/>
      <w:lvlJc w:val="left"/>
      <w:pPr>
        <w:ind w:left="1070" w:hanging="360"/>
      </w:pPr>
      <w:rPr>
        <w:rFonts w:ascii="Times New Roman" w:hAnsi="Times New Roman" w:cs="Times New Roman" w:hint="default"/>
        <w:b/>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1D97786"/>
    <w:multiLevelType w:val="hybridMultilevel"/>
    <w:tmpl w:val="5A40B20A"/>
    <w:lvl w:ilvl="0" w:tplc="5D389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B6E40"/>
    <w:multiLevelType w:val="multilevel"/>
    <w:tmpl w:val="164222FC"/>
    <w:lvl w:ilvl="0">
      <w:start w:val="1"/>
      <w:numFmt w:val="decimal"/>
      <w:lvlText w:val="%1."/>
      <w:lvlJc w:val="left"/>
      <w:pPr>
        <w:ind w:left="1069"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BB22A73"/>
    <w:multiLevelType w:val="multilevel"/>
    <w:tmpl w:val="9A9CDB58"/>
    <w:lvl w:ilvl="0">
      <w:start w:val="1"/>
      <w:numFmt w:val="decimal"/>
      <w:lvlText w:val="%1."/>
      <w:lvlJc w:val="left"/>
      <w:pPr>
        <w:ind w:left="786" w:hanging="360"/>
      </w:pPr>
      <w:rPr>
        <w:rFonts w:ascii="Times New Roman" w:hAnsi="Times New Roman" w:cs="Times New Roman" w:hint="default"/>
        <w:b/>
        <w:i w:val="0"/>
        <w:color w:val="00000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nsid w:val="1C9830B9"/>
    <w:multiLevelType w:val="hybridMultilevel"/>
    <w:tmpl w:val="425E5F42"/>
    <w:lvl w:ilvl="0" w:tplc="C4DCCFDE">
      <w:start w:val="4"/>
      <w:numFmt w:val="decimal"/>
      <w:lvlText w:val="%1."/>
      <w:lvlJc w:val="left"/>
      <w:pPr>
        <w:ind w:left="1070" w:hanging="360"/>
      </w:pPr>
      <w:rPr>
        <w:rFonts w:ascii="Times New Roman" w:hAnsi="Times New Roman" w:cs="Times New Roman" w:hint="default"/>
        <w:b/>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1D824B2D"/>
    <w:multiLevelType w:val="hybridMultilevel"/>
    <w:tmpl w:val="5DD4FF4C"/>
    <w:lvl w:ilvl="0" w:tplc="64963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D4364D"/>
    <w:multiLevelType w:val="hybridMultilevel"/>
    <w:tmpl w:val="FE48A552"/>
    <w:lvl w:ilvl="0" w:tplc="5D389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4C1944"/>
    <w:multiLevelType w:val="hybridMultilevel"/>
    <w:tmpl w:val="B47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63FD6"/>
    <w:multiLevelType w:val="hybridMultilevel"/>
    <w:tmpl w:val="583A1066"/>
    <w:lvl w:ilvl="0" w:tplc="5D389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FF2475"/>
    <w:multiLevelType w:val="hybridMultilevel"/>
    <w:tmpl w:val="9BC6A66C"/>
    <w:lvl w:ilvl="0" w:tplc="E4CAA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7313A9"/>
    <w:multiLevelType w:val="hybridMultilevel"/>
    <w:tmpl w:val="425E5F42"/>
    <w:lvl w:ilvl="0" w:tplc="C4DCCFDE">
      <w:start w:val="4"/>
      <w:numFmt w:val="decimal"/>
      <w:lvlText w:val="%1."/>
      <w:lvlJc w:val="left"/>
      <w:pPr>
        <w:ind w:left="1070" w:hanging="360"/>
      </w:pPr>
      <w:rPr>
        <w:rFonts w:ascii="Times New Roman" w:hAnsi="Times New Roman" w:cs="Times New Roman" w:hint="default"/>
        <w:b/>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4BD9199C"/>
    <w:multiLevelType w:val="hybridMultilevel"/>
    <w:tmpl w:val="425E5F42"/>
    <w:lvl w:ilvl="0" w:tplc="C4DCCFDE">
      <w:start w:val="4"/>
      <w:numFmt w:val="decimal"/>
      <w:lvlText w:val="%1."/>
      <w:lvlJc w:val="left"/>
      <w:pPr>
        <w:ind w:left="5606" w:hanging="360"/>
      </w:pPr>
      <w:rPr>
        <w:rFonts w:ascii="Times New Roman" w:hAnsi="Times New Roman" w:cs="Times New Roman" w:hint="default"/>
        <w:b/>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549805B8"/>
    <w:multiLevelType w:val="hybridMultilevel"/>
    <w:tmpl w:val="F926B8C2"/>
    <w:lvl w:ilvl="0" w:tplc="EB9657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6AA760A"/>
    <w:multiLevelType w:val="hybridMultilevel"/>
    <w:tmpl w:val="4386D7AE"/>
    <w:lvl w:ilvl="0" w:tplc="2EBC701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7B74150"/>
    <w:multiLevelType w:val="hybridMultilevel"/>
    <w:tmpl w:val="FF5AB8E2"/>
    <w:lvl w:ilvl="0" w:tplc="0BB69B4A">
      <w:start w:val="1"/>
      <w:numFmt w:val="decimal"/>
      <w:lvlText w:val="%1."/>
      <w:lvlJc w:val="left"/>
      <w:pPr>
        <w:tabs>
          <w:tab w:val="num" w:pos="1744"/>
        </w:tabs>
        <w:ind w:left="1744" w:hanging="1035"/>
      </w:pPr>
      <w:rPr>
        <w:rFonts w:hint="default"/>
        <w:sz w:val="26"/>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8165D9F"/>
    <w:multiLevelType w:val="hybridMultilevel"/>
    <w:tmpl w:val="BA700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57EC2"/>
    <w:multiLevelType w:val="hybridMultilevel"/>
    <w:tmpl w:val="7E2866F2"/>
    <w:lvl w:ilvl="0" w:tplc="5D389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000958"/>
    <w:multiLevelType w:val="hybridMultilevel"/>
    <w:tmpl w:val="41A49B6A"/>
    <w:lvl w:ilvl="0" w:tplc="5D389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643F5B"/>
    <w:multiLevelType w:val="hybridMultilevel"/>
    <w:tmpl w:val="425E5F42"/>
    <w:lvl w:ilvl="0" w:tplc="C4DCCFDE">
      <w:start w:val="4"/>
      <w:numFmt w:val="decimal"/>
      <w:lvlText w:val="%1."/>
      <w:lvlJc w:val="left"/>
      <w:pPr>
        <w:ind w:left="1070" w:hanging="360"/>
      </w:pPr>
      <w:rPr>
        <w:rFonts w:ascii="Times New Roman" w:hAnsi="Times New Roman" w:cs="Times New Roman" w:hint="default"/>
        <w:b/>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7FD971B7"/>
    <w:multiLevelType w:val="hybridMultilevel"/>
    <w:tmpl w:val="194E2D54"/>
    <w:lvl w:ilvl="0" w:tplc="8CD0B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4"/>
  </w:num>
  <w:num w:numId="4">
    <w:abstractNumId w:val="17"/>
  </w:num>
  <w:num w:numId="5">
    <w:abstractNumId w:val="8"/>
  </w:num>
  <w:num w:numId="6">
    <w:abstractNumId w:val="10"/>
  </w:num>
  <w:num w:numId="7">
    <w:abstractNumId w:val="18"/>
  </w:num>
  <w:num w:numId="8">
    <w:abstractNumId w:val="22"/>
  </w:num>
  <w:num w:numId="9">
    <w:abstractNumId w:val="16"/>
  </w:num>
  <w:num w:numId="10">
    <w:abstractNumId w:val="5"/>
  </w:num>
  <w:num w:numId="11">
    <w:abstractNumId w:val="20"/>
  </w:num>
  <w:num w:numId="12">
    <w:abstractNumId w:val="11"/>
  </w:num>
  <w:num w:numId="13">
    <w:abstractNumId w:val="19"/>
  </w:num>
  <w:num w:numId="14">
    <w:abstractNumId w:val="1"/>
  </w:num>
  <w:num w:numId="15">
    <w:abstractNumId w:val="9"/>
  </w:num>
  <w:num w:numId="16">
    <w:abstractNumId w:val="4"/>
  </w:num>
  <w:num w:numId="17">
    <w:abstractNumId w:val="12"/>
  </w:num>
  <w:num w:numId="18">
    <w:abstractNumId w:val="21"/>
  </w:num>
  <w:num w:numId="19">
    <w:abstractNumId w:val="13"/>
  </w:num>
  <w:num w:numId="20">
    <w:abstractNumId w:val="7"/>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3D"/>
    <w:rsid w:val="000004C9"/>
    <w:rsid w:val="00000805"/>
    <w:rsid w:val="00000D9C"/>
    <w:rsid w:val="00000EC2"/>
    <w:rsid w:val="000012E9"/>
    <w:rsid w:val="00001406"/>
    <w:rsid w:val="00001BEF"/>
    <w:rsid w:val="000024A6"/>
    <w:rsid w:val="00002880"/>
    <w:rsid w:val="00002BDC"/>
    <w:rsid w:val="00002E63"/>
    <w:rsid w:val="000035A7"/>
    <w:rsid w:val="000038E0"/>
    <w:rsid w:val="00003A68"/>
    <w:rsid w:val="00003BAB"/>
    <w:rsid w:val="00003D25"/>
    <w:rsid w:val="0000416B"/>
    <w:rsid w:val="00004231"/>
    <w:rsid w:val="000049D3"/>
    <w:rsid w:val="00004A74"/>
    <w:rsid w:val="00005299"/>
    <w:rsid w:val="0000539B"/>
    <w:rsid w:val="00005CC7"/>
    <w:rsid w:val="00005FC3"/>
    <w:rsid w:val="00006400"/>
    <w:rsid w:val="000067D5"/>
    <w:rsid w:val="00006A1D"/>
    <w:rsid w:val="00006C56"/>
    <w:rsid w:val="000072C1"/>
    <w:rsid w:val="00007343"/>
    <w:rsid w:val="00007379"/>
    <w:rsid w:val="0001006C"/>
    <w:rsid w:val="00010348"/>
    <w:rsid w:val="0001142C"/>
    <w:rsid w:val="00011E34"/>
    <w:rsid w:val="00011EEF"/>
    <w:rsid w:val="00011FE5"/>
    <w:rsid w:val="00011FF7"/>
    <w:rsid w:val="000121B2"/>
    <w:rsid w:val="000126A0"/>
    <w:rsid w:val="00012FA7"/>
    <w:rsid w:val="000137AB"/>
    <w:rsid w:val="00013A0C"/>
    <w:rsid w:val="00013AB7"/>
    <w:rsid w:val="00013D49"/>
    <w:rsid w:val="00013F48"/>
    <w:rsid w:val="00014731"/>
    <w:rsid w:val="0001491F"/>
    <w:rsid w:val="00014962"/>
    <w:rsid w:val="000149B4"/>
    <w:rsid w:val="000153B1"/>
    <w:rsid w:val="0001549F"/>
    <w:rsid w:val="000156B3"/>
    <w:rsid w:val="000157CB"/>
    <w:rsid w:val="000157F6"/>
    <w:rsid w:val="00015D09"/>
    <w:rsid w:val="0001642B"/>
    <w:rsid w:val="000165E4"/>
    <w:rsid w:val="00016640"/>
    <w:rsid w:val="00016D96"/>
    <w:rsid w:val="000170C5"/>
    <w:rsid w:val="0001738D"/>
    <w:rsid w:val="00017402"/>
    <w:rsid w:val="00017EF2"/>
    <w:rsid w:val="000202B3"/>
    <w:rsid w:val="000203F2"/>
    <w:rsid w:val="000204AF"/>
    <w:rsid w:val="0002090E"/>
    <w:rsid w:val="00020D6B"/>
    <w:rsid w:val="00021DE3"/>
    <w:rsid w:val="00021ECA"/>
    <w:rsid w:val="000222E3"/>
    <w:rsid w:val="00023088"/>
    <w:rsid w:val="0002348B"/>
    <w:rsid w:val="00023EFC"/>
    <w:rsid w:val="000242F9"/>
    <w:rsid w:val="0002479B"/>
    <w:rsid w:val="00024C68"/>
    <w:rsid w:val="00024D66"/>
    <w:rsid w:val="00024DB0"/>
    <w:rsid w:val="000251D0"/>
    <w:rsid w:val="000251FC"/>
    <w:rsid w:val="00025B87"/>
    <w:rsid w:val="00026249"/>
    <w:rsid w:val="0002630C"/>
    <w:rsid w:val="00026563"/>
    <w:rsid w:val="0002685E"/>
    <w:rsid w:val="0002688C"/>
    <w:rsid w:val="00026903"/>
    <w:rsid w:val="000272C0"/>
    <w:rsid w:val="000274DF"/>
    <w:rsid w:val="00027840"/>
    <w:rsid w:val="00027AF7"/>
    <w:rsid w:val="00027B15"/>
    <w:rsid w:val="00027D23"/>
    <w:rsid w:val="0003029D"/>
    <w:rsid w:val="00030349"/>
    <w:rsid w:val="00030760"/>
    <w:rsid w:val="000313D5"/>
    <w:rsid w:val="0003153C"/>
    <w:rsid w:val="000315AD"/>
    <w:rsid w:val="000316FC"/>
    <w:rsid w:val="000321BE"/>
    <w:rsid w:val="0003265F"/>
    <w:rsid w:val="00032B83"/>
    <w:rsid w:val="00032C18"/>
    <w:rsid w:val="00032C62"/>
    <w:rsid w:val="000336C3"/>
    <w:rsid w:val="000339AB"/>
    <w:rsid w:val="00034B48"/>
    <w:rsid w:val="000350FC"/>
    <w:rsid w:val="0003569D"/>
    <w:rsid w:val="0003590B"/>
    <w:rsid w:val="00035E2C"/>
    <w:rsid w:val="00035E45"/>
    <w:rsid w:val="000360E5"/>
    <w:rsid w:val="0003649A"/>
    <w:rsid w:val="000366DC"/>
    <w:rsid w:val="000369A9"/>
    <w:rsid w:val="00036CF3"/>
    <w:rsid w:val="00036D3F"/>
    <w:rsid w:val="00036EE4"/>
    <w:rsid w:val="0003706E"/>
    <w:rsid w:val="000372BC"/>
    <w:rsid w:val="00037FB4"/>
    <w:rsid w:val="00037FE4"/>
    <w:rsid w:val="0004017A"/>
    <w:rsid w:val="00040204"/>
    <w:rsid w:val="00040458"/>
    <w:rsid w:val="00040580"/>
    <w:rsid w:val="00041469"/>
    <w:rsid w:val="00041CA7"/>
    <w:rsid w:val="00041DFD"/>
    <w:rsid w:val="00041FFA"/>
    <w:rsid w:val="00042413"/>
    <w:rsid w:val="00042A15"/>
    <w:rsid w:val="000434CD"/>
    <w:rsid w:val="000436C1"/>
    <w:rsid w:val="0004401D"/>
    <w:rsid w:val="0004474D"/>
    <w:rsid w:val="00044A8B"/>
    <w:rsid w:val="00044E1A"/>
    <w:rsid w:val="0004518C"/>
    <w:rsid w:val="000451D9"/>
    <w:rsid w:val="00045515"/>
    <w:rsid w:val="00045B5B"/>
    <w:rsid w:val="00045D01"/>
    <w:rsid w:val="00046514"/>
    <w:rsid w:val="00047291"/>
    <w:rsid w:val="00047913"/>
    <w:rsid w:val="00047C8F"/>
    <w:rsid w:val="00047CDF"/>
    <w:rsid w:val="00047DE8"/>
    <w:rsid w:val="00050169"/>
    <w:rsid w:val="0005038C"/>
    <w:rsid w:val="00050DCC"/>
    <w:rsid w:val="000519AE"/>
    <w:rsid w:val="00052347"/>
    <w:rsid w:val="00052B5A"/>
    <w:rsid w:val="00053136"/>
    <w:rsid w:val="00053776"/>
    <w:rsid w:val="0005377C"/>
    <w:rsid w:val="00053EAB"/>
    <w:rsid w:val="00053FF0"/>
    <w:rsid w:val="00054000"/>
    <w:rsid w:val="0005406E"/>
    <w:rsid w:val="000540A1"/>
    <w:rsid w:val="00054B08"/>
    <w:rsid w:val="00054F10"/>
    <w:rsid w:val="000552FD"/>
    <w:rsid w:val="000557C5"/>
    <w:rsid w:val="000558B5"/>
    <w:rsid w:val="000560A8"/>
    <w:rsid w:val="000562A1"/>
    <w:rsid w:val="00056457"/>
    <w:rsid w:val="0005657A"/>
    <w:rsid w:val="00056AD0"/>
    <w:rsid w:val="00056E75"/>
    <w:rsid w:val="00057D61"/>
    <w:rsid w:val="0006050C"/>
    <w:rsid w:val="000607D6"/>
    <w:rsid w:val="00060AB2"/>
    <w:rsid w:val="00060F2E"/>
    <w:rsid w:val="0006103F"/>
    <w:rsid w:val="000615A9"/>
    <w:rsid w:val="00061724"/>
    <w:rsid w:val="0006184F"/>
    <w:rsid w:val="00061946"/>
    <w:rsid w:val="00061957"/>
    <w:rsid w:val="00061B94"/>
    <w:rsid w:val="00061BFD"/>
    <w:rsid w:val="00061CB4"/>
    <w:rsid w:val="000620CE"/>
    <w:rsid w:val="000623C7"/>
    <w:rsid w:val="00062E62"/>
    <w:rsid w:val="00063014"/>
    <w:rsid w:val="00063513"/>
    <w:rsid w:val="00063CA9"/>
    <w:rsid w:val="00063D30"/>
    <w:rsid w:val="00064E52"/>
    <w:rsid w:val="00064E7B"/>
    <w:rsid w:val="00065199"/>
    <w:rsid w:val="0006592A"/>
    <w:rsid w:val="00065C26"/>
    <w:rsid w:val="00066C82"/>
    <w:rsid w:val="00066CCC"/>
    <w:rsid w:val="00067AF2"/>
    <w:rsid w:val="00067C2F"/>
    <w:rsid w:val="00067CA8"/>
    <w:rsid w:val="00067D79"/>
    <w:rsid w:val="000706E1"/>
    <w:rsid w:val="000706E3"/>
    <w:rsid w:val="0007089E"/>
    <w:rsid w:val="000717C9"/>
    <w:rsid w:val="00071AA8"/>
    <w:rsid w:val="00072004"/>
    <w:rsid w:val="0007279B"/>
    <w:rsid w:val="00072BB6"/>
    <w:rsid w:val="00072BF5"/>
    <w:rsid w:val="00073394"/>
    <w:rsid w:val="000737FE"/>
    <w:rsid w:val="000743BF"/>
    <w:rsid w:val="0007460B"/>
    <w:rsid w:val="0007466F"/>
    <w:rsid w:val="00074BF0"/>
    <w:rsid w:val="00074FCA"/>
    <w:rsid w:val="0007511C"/>
    <w:rsid w:val="00075AC7"/>
    <w:rsid w:val="000767DB"/>
    <w:rsid w:val="00076B82"/>
    <w:rsid w:val="00076D92"/>
    <w:rsid w:val="00077194"/>
    <w:rsid w:val="00077767"/>
    <w:rsid w:val="000777DA"/>
    <w:rsid w:val="00077BED"/>
    <w:rsid w:val="000800F7"/>
    <w:rsid w:val="00080747"/>
    <w:rsid w:val="00080955"/>
    <w:rsid w:val="00080B4C"/>
    <w:rsid w:val="00080FBE"/>
    <w:rsid w:val="00080FF4"/>
    <w:rsid w:val="000811AA"/>
    <w:rsid w:val="0008125A"/>
    <w:rsid w:val="00081683"/>
    <w:rsid w:val="000817E1"/>
    <w:rsid w:val="000823C7"/>
    <w:rsid w:val="00082766"/>
    <w:rsid w:val="00082A6A"/>
    <w:rsid w:val="00082AF2"/>
    <w:rsid w:val="000836BD"/>
    <w:rsid w:val="000845C0"/>
    <w:rsid w:val="00084AA8"/>
    <w:rsid w:val="00084D80"/>
    <w:rsid w:val="00084F1C"/>
    <w:rsid w:val="00084F20"/>
    <w:rsid w:val="000855E3"/>
    <w:rsid w:val="000859E3"/>
    <w:rsid w:val="00085C24"/>
    <w:rsid w:val="00085F37"/>
    <w:rsid w:val="00086060"/>
    <w:rsid w:val="0008672D"/>
    <w:rsid w:val="00087063"/>
    <w:rsid w:val="0009006D"/>
    <w:rsid w:val="000901FE"/>
    <w:rsid w:val="00091401"/>
    <w:rsid w:val="000914F1"/>
    <w:rsid w:val="00091512"/>
    <w:rsid w:val="000918E5"/>
    <w:rsid w:val="00091932"/>
    <w:rsid w:val="00091AFA"/>
    <w:rsid w:val="00091BD2"/>
    <w:rsid w:val="00091E6A"/>
    <w:rsid w:val="00091FBB"/>
    <w:rsid w:val="00092A40"/>
    <w:rsid w:val="00092C22"/>
    <w:rsid w:val="00092D80"/>
    <w:rsid w:val="00092DB0"/>
    <w:rsid w:val="00093404"/>
    <w:rsid w:val="000934B3"/>
    <w:rsid w:val="0009366B"/>
    <w:rsid w:val="00093C49"/>
    <w:rsid w:val="00093F97"/>
    <w:rsid w:val="00094221"/>
    <w:rsid w:val="00094901"/>
    <w:rsid w:val="00094CCA"/>
    <w:rsid w:val="00094D51"/>
    <w:rsid w:val="0009521C"/>
    <w:rsid w:val="00095B2B"/>
    <w:rsid w:val="00095E6D"/>
    <w:rsid w:val="00095E84"/>
    <w:rsid w:val="00096123"/>
    <w:rsid w:val="00096271"/>
    <w:rsid w:val="00096968"/>
    <w:rsid w:val="000969E9"/>
    <w:rsid w:val="00096B39"/>
    <w:rsid w:val="00096F40"/>
    <w:rsid w:val="0009767D"/>
    <w:rsid w:val="00097976"/>
    <w:rsid w:val="000A04E5"/>
    <w:rsid w:val="000A0619"/>
    <w:rsid w:val="000A0A96"/>
    <w:rsid w:val="000A151E"/>
    <w:rsid w:val="000A15DB"/>
    <w:rsid w:val="000A1636"/>
    <w:rsid w:val="000A166A"/>
    <w:rsid w:val="000A1788"/>
    <w:rsid w:val="000A2244"/>
    <w:rsid w:val="000A24FA"/>
    <w:rsid w:val="000A2BA0"/>
    <w:rsid w:val="000A303C"/>
    <w:rsid w:val="000A323D"/>
    <w:rsid w:val="000A347F"/>
    <w:rsid w:val="000A3E24"/>
    <w:rsid w:val="000A3E4B"/>
    <w:rsid w:val="000A4C45"/>
    <w:rsid w:val="000A51CA"/>
    <w:rsid w:val="000A5D4C"/>
    <w:rsid w:val="000A620E"/>
    <w:rsid w:val="000A6451"/>
    <w:rsid w:val="000A6690"/>
    <w:rsid w:val="000A672C"/>
    <w:rsid w:val="000A6A02"/>
    <w:rsid w:val="000A7000"/>
    <w:rsid w:val="000A7084"/>
    <w:rsid w:val="000A7BD9"/>
    <w:rsid w:val="000A7EE0"/>
    <w:rsid w:val="000B0AA8"/>
    <w:rsid w:val="000B0F9F"/>
    <w:rsid w:val="000B1130"/>
    <w:rsid w:val="000B1410"/>
    <w:rsid w:val="000B1466"/>
    <w:rsid w:val="000B18FA"/>
    <w:rsid w:val="000B1BFC"/>
    <w:rsid w:val="000B1F14"/>
    <w:rsid w:val="000B1F79"/>
    <w:rsid w:val="000B25F5"/>
    <w:rsid w:val="000B274A"/>
    <w:rsid w:val="000B279D"/>
    <w:rsid w:val="000B2DE8"/>
    <w:rsid w:val="000B31B1"/>
    <w:rsid w:val="000B3743"/>
    <w:rsid w:val="000B3785"/>
    <w:rsid w:val="000B39B7"/>
    <w:rsid w:val="000B3B72"/>
    <w:rsid w:val="000B4380"/>
    <w:rsid w:val="000B444B"/>
    <w:rsid w:val="000B56F0"/>
    <w:rsid w:val="000B575C"/>
    <w:rsid w:val="000B5FB7"/>
    <w:rsid w:val="000B6369"/>
    <w:rsid w:val="000B63F6"/>
    <w:rsid w:val="000B6B27"/>
    <w:rsid w:val="000B6FA3"/>
    <w:rsid w:val="000B7417"/>
    <w:rsid w:val="000B7880"/>
    <w:rsid w:val="000B795E"/>
    <w:rsid w:val="000C008F"/>
    <w:rsid w:val="000C066B"/>
    <w:rsid w:val="000C0AD2"/>
    <w:rsid w:val="000C1040"/>
    <w:rsid w:val="000C16F7"/>
    <w:rsid w:val="000C1727"/>
    <w:rsid w:val="000C1DEE"/>
    <w:rsid w:val="000C228D"/>
    <w:rsid w:val="000C25EC"/>
    <w:rsid w:val="000C2800"/>
    <w:rsid w:val="000C292E"/>
    <w:rsid w:val="000C33D6"/>
    <w:rsid w:val="000C354E"/>
    <w:rsid w:val="000C3CD5"/>
    <w:rsid w:val="000C4689"/>
    <w:rsid w:val="000C496A"/>
    <w:rsid w:val="000C4A0C"/>
    <w:rsid w:val="000C4D96"/>
    <w:rsid w:val="000C4EF1"/>
    <w:rsid w:val="000C51C7"/>
    <w:rsid w:val="000C532E"/>
    <w:rsid w:val="000C582C"/>
    <w:rsid w:val="000C59B0"/>
    <w:rsid w:val="000C5A7E"/>
    <w:rsid w:val="000C5AEE"/>
    <w:rsid w:val="000C5FE4"/>
    <w:rsid w:val="000C63B7"/>
    <w:rsid w:val="000C6967"/>
    <w:rsid w:val="000C6DDF"/>
    <w:rsid w:val="000C70AA"/>
    <w:rsid w:val="000C7128"/>
    <w:rsid w:val="000C71A4"/>
    <w:rsid w:val="000C734E"/>
    <w:rsid w:val="000C74CC"/>
    <w:rsid w:val="000C7A6B"/>
    <w:rsid w:val="000D01E0"/>
    <w:rsid w:val="000D0F4F"/>
    <w:rsid w:val="000D1090"/>
    <w:rsid w:val="000D13B1"/>
    <w:rsid w:val="000D1A0E"/>
    <w:rsid w:val="000D1B87"/>
    <w:rsid w:val="000D1D00"/>
    <w:rsid w:val="000D2345"/>
    <w:rsid w:val="000D2A49"/>
    <w:rsid w:val="000D2AFE"/>
    <w:rsid w:val="000D35CE"/>
    <w:rsid w:val="000D3711"/>
    <w:rsid w:val="000D3A21"/>
    <w:rsid w:val="000D3EE9"/>
    <w:rsid w:val="000D45D3"/>
    <w:rsid w:val="000D5072"/>
    <w:rsid w:val="000D5110"/>
    <w:rsid w:val="000D5E09"/>
    <w:rsid w:val="000D63E4"/>
    <w:rsid w:val="000D71BF"/>
    <w:rsid w:val="000D758D"/>
    <w:rsid w:val="000D7B4B"/>
    <w:rsid w:val="000D7D55"/>
    <w:rsid w:val="000D7FB9"/>
    <w:rsid w:val="000E08D9"/>
    <w:rsid w:val="000E097C"/>
    <w:rsid w:val="000E0BF6"/>
    <w:rsid w:val="000E107D"/>
    <w:rsid w:val="000E11FC"/>
    <w:rsid w:val="000E128D"/>
    <w:rsid w:val="000E14B4"/>
    <w:rsid w:val="000E18E3"/>
    <w:rsid w:val="000E1947"/>
    <w:rsid w:val="000E1EA1"/>
    <w:rsid w:val="000E2120"/>
    <w:rsid w:val="000E23B2"/>
    <w:rsid w:val="000E2434"/>
    <w:rsid w:val="000E24F4"/>
    <w:rsid w:val="000E2950"/>
    <w:rsid w:val="000E2BE7"/>
    <w:rsid w:val="000E305C"/>
    <w:rsid w:val="000E31E5"/>
    <w:rsid w:val="000E3356"/>
    <w:rsid w:val="000E35A1"/>
    <w:rsid w:val="000E35C3"/>
    <w:rsid w:val="000E3610"/>
    <w:rsid w:val="000E3DBD"/>
    <w:rsid w:val="000E468F"/>
    <w:rsid w:val="000E4B52"/>
    <w:rsid w:val="000E4B88"/>
    <w:rsid w:val="000E4F53"/>
    <w:rsid w:val="000E54AD"/>
    <w:rsid w:val="000E5964"/>
    <w:rsid w:val="000E5B0B"/>
    <w:rsid w:val="000E620A"/>
    <w:rsid w:val="000E6764"/>
    <w:rsid w:val="000E67B6"/>
    <w:rsid w:val="000E6839"/>
    <w:rsid w:val="000E694D"/>
    <w:rsid w:val="000E6D63"/>
    <w:rsid w:val="000E78CA"/>
    <w:rsid w:val="000E7DC2"/>
    <w:rsid w:val="000F0023"/>
    <w:rsid w:val="000F0291"/>
    <w:rsid w:val="000F0556"/>
    <w:rsid w:val="000F0588"/>
    <w:rsid w:val="000F06D4"/>
    <w:rsid w:val="000F0EE3"/>
    <w:rsid w:val="000F2724"/>
    <w:rsid w:val="000F2AA9"/>
    <w:rsid w:val="000F2ADD"/>
    <w:rsid w:val="000F2D10"/>
    <w:rsid w:val="000F2E84"/>
    <w:rsid w:val="000F3166"/>
    <w:rsid w:val="000F32AC"/>
    <w:rsid w:val="000F33C9"/>
    <w:rsid w:val="000F3583"/>
    <w:rsid w:val="000F427B"/>
    <w:rsid w:val="000F44BC"/>
    <w:rsid w:val="000F48E8"/>
    <w:rsid w:val="000F4C5B"/>
    <w:rsid w:val="000F518B"/>
    <w:rsid w:val="000F5444"/>
    <w:rsid w:val="000F5489"/>
    <w:rsid w:val="000F57D3"/>
    <w:rsid w:val="000F5B53"/>
    <w:rsid w:val="000F5BBE"/>
    <w:rsid w:val="000F5F53"/>
    <w:rsid w:val="000F65EA"/>
    <w:rsid w:val="000F65FE"/>
    <w:rsid w:val="000F6835"/>
    <w:rsid w:val="000F6EF5"/>
    <w:rsid w:val="000F70DF"/>
    <w:rsid w:val="000F746B"/>
    <w:rsid w:val="0010007A"/>
    <w:rsid w:val="00100146"/>
    <w:rsid w:val="0010051E"/>
    <w:rsid w:val="0010058D"/>
    <w:rsid w:val="001006F9"/>
    <w:rsid w:val="001007DA"/>
    <w:rsid w:val="00100836"/>
    <w:rsid w:val="00100A9C"/>
    <w:rsid w:val="001013DC"/>
    <w:rsid w:val="001022FC"/>
    <w:rsid w:val="00102643"/>
    <w:rsid w:val="00102D91"/>
    <w:rsid w:val="00102E4D"/>
    <w:rsid w:val="00103F48"/>
    <w:rsid w:val="0010454E"/>
    <w:rsid w:val="001047AA"/>
    <w:rsid w:val="00104913"/>
    <w:rsid w:val="00104978"/>
    <w:rsid w:val="00104D5F"/>
    <w:rsid w:val="00104D83"/>
    <w:rsid w:val="00105509"/>
    <w:rsid w:val="001055B9"/>
    <w:rsid w:val="0010597B"/>
    <w:rsid w:val="00105ADD"/>
    <w:rsid w:val="00105CE5"/>
    <w:rsid w:val="00105D51"/>
    <w:rsid w:val="0010613A"/>
    <w:rsid w:val="00106412"/>
    <w:rsid w:val="001064F4"/>
    <w:rsid w:val="001066B9"/>
    <w:rsid w:val="0010685B"/>
    <w:rsid w:val="00107058"/>
    <w:rsid w:val="00107598"/>
    <w:rsid w:val="001076F8"/>
    <w:rsid w:val="00107715"/>
    <w:rsid w:val="0010777D"/>
    <w:rsid w:val="00107F25"/>
    <w:rsid w:val="00107F60"/>
    <w:rsid w:val="0011034E"/>
    <w:rsid w:val="00110685"/>
    <w:rsid w:val="00110770"/>
    <w:rsid w:val="00110858"/>
    <w:rsid w:val="001108F7"/>
    <w:rsid w:val="00110EE4"/>
    <w:rsid w:val="00110F3E"/>
    <w:rsid w:val="0011129B"/>
    <w:rsid w:val="001113C7"/>
    <w:rsid w:val="00111B76"/>
    <w:rsid w:val="00111BB9"/>
    <w:rsid w:val="0011230A"/>
    <w:rsid w:val="00112694"/>
    <w:rsid w:val="00112717"/>
    <w:rsid w:val="00112BBB"/>
    <w:rsid w:val="0011355D"/>
    <w:rsid w:val="00113788"/>
    <w:rsid w:val="001138A7"/>
    <w:rsid w:val="00113A11"/>
    <w:rsid w:val="00113C5C"/>
    <w:rsid w:val="00113E86"/>
    <w:rsid w:val="00113FFF"/>
    <w:rsid w:val="001144DF"/>
    <w:rsid w:val="00114959"/>
    <w:rsid w:val="00114BB6"/>
    <w:rsid w:val="00114C4D"/>
    <w:rsid w:val="001152DF"/>
    <w:rsid w:val="00115726"/>
    <w:rsid w:val="00115C4C"/>
    <w:rsid w:val="00115CD6"/>
    <w:rsid w:val="001160BF"/>
    <w:rsid w:val="00116622"/>
    <w:rsid w:val="0011677E"/>
    <w:rsid w:val="00116864"/>
    <w:rsid w:val="0011748D"/>
    <w:rsid w:val="00117538"/>
    <w:rsid w:val="00117623"/>
    <w:rsid w:val="001178A4"/>
    <w:rsid w:val="00117933"/>
    <w:rsid w:val="00117952"/>
    <w:rsid w:val="00117B5E"/>
    <w:rsid w:val="00117C7C"/>
    <w:rsid w:val="00117EF2"/>
    <w:rsid w:val="00120351"/>
    <w:rsid w:val="0012049A"/>
    <w:rsid w:val="00120D4E"/>
    <w:rsid w:val="001218B5"/>
    <w:rsid w:val="00121A4E"/>
    <w:rsid w:val="00121B36"/>
    <w:rsid w:val="00121BBD"/>
    <w:rsid w:val="00122191"/>
    <w:rsid w:val="001224F2"/>
    <w:rsid w:val="00122EF1"/>
    <w:rsid w:val="00122F96"/>
    <w:rsid w:val="00123311"/>
    <w:rsid w:val="001235CE"/>
    <w:rsid w:val="00123696"/>
    <w:rsid w:val="00123BBE"/>
    <w:rsid w:val="001244DC"/>
    <w:rsid w:val="0012455C"/>
    <w:rsid w:val="00124690"/>
    <w:rsid w:val="001249D7"/>
    <w:rsid w:val="00124B18"/>
    <w:rsid w:val="00124B74"/>
    <w:rsid w:val="00125041"/>
    <w:rsid w:val="001253E3"/>
    <w:rsid w:val="001258E8"/>
    <w:rsid w:val="001259D6"/>
    <w:rsid w:val="00125B12"/>
    <w:rsid w:val="00125D7C"/>
    <w:rsid w:val="00125DB9"/>
    <w:rsid w:val="00126455"/>
    <w:rsid w:val="00126558"/>
    <w:rsid w:val="00126B3B"/>
    <w:rsid w:val="00126DF9"/>
    <w:rsid w:val="00127854"/>
    <w:rsid w:val="0012794F"/>
    <w:rsid w:val="00127D01"/>
    <w:rsid w:val="00127EB8"/>
    <w:rsid w:val="00130769"/>
    <w:rsid w:val="00130E24"/>
    <w:rsid w:val="00131B0B"/>
    <w:rsid w:val="00131B5E"/>
    <w:rsid w:val="0013231E"/>
    <w:rsid w:val="001325FD"/>
    <w:rsid w:val="00132935"/>
    <w:rsid w:val="00132E64"/>
    <w:rsid w:val="00133750"/>
    <w:rsid w:val="00133B33"/>
    <w:rsid w:val="00133C80"/>
    <w:rsid w:val="00133E54"/>
    <w:rsid w:val="00133F21"/>
    <w:rsid w:val="001342DC"/>
    <w:rsid w:val="00134AE2"/>
    <w:rsid w:val="001354CD"/>
    <w:rsid w:val="00135AA5"/>
    <w:rsid w:val="00135E12"/>
    <w:rsid w:val="00135EC4"/>
    <w:rsid w:val="0013609D"/>
    <w:rsid w:val="001362BD"/>
    <w:rsid w:val="00136389"/>
    <w:rsid w:val="001365C1"/>
    <w:rsid w:val="001370AB"/>
    <w:rsid w:val="001371EF"/>
    <w:rsid w:val="00137263"/>
    <w:rsid w:val="001378B9"/>
    <w:rsid w:val="0013791F"/>
    <w:rsid w:val="00137950"/>
    <w:rsid w:val="00137C8D"/>
    <w:rsid w:val="001404E5"/>
    <w:rsid w:val="001410D7"/>
    <w:rsid w:val="00141229"/>
    <w:rsid w:val="00141529"/>
    <w:rsid w:val="00143E95"/>
    <w:rsid w:val="00144B57"/>
    <w:rsid w:val="00144B6E"/>
    <w:rsid w:val="00144D9A"/>
    <w:rsid w:val="001453E3"/>
    <w:rsid w:val="001455E0"/>
    <w:rsid w:val="001456A3"/>
    <w:rsid w:val="00145A20"/>
    <w:rsid w:val="0014630A"/>
    <w:rsid w:val="00146CEE"/>
    <w:rsid w:val="001470A1"/>
    <w:rsid w:val="00147103"/>
    <w:rsid w:val="001471B3"/>
    <w:rsid w:val="001471D9"/>
    <w:rsid w:val="00150532"/>
    <w:rsid w:val="00150899"/>
    <w:rsid w:val="00150E06"/>
    <w:rsid w:val="00151481"/>
    <w:rsid w:val="00151909"/>
    <w:rsid w:val="00151BCF"/>
    <w:rsid w:val="00151BD4"/>
    <w:rsid w:val="0015298C"/>
    <w:rsid w:val="00152C22"/>
    <w:rsid w:val="00152C2F"/>
    <w:rsid w:val="00153BEE"/>
    <w:rsid w:val="001543B0"/>
    <w:rsid w:val="0015484F"/>
    <w:rsid w:val="00154951"/>
    <w:rsid w:val="00155478"/>
    <w:rsid w:val="00155C4F"/>
    <w:rsid w:val="00155D8D"/>
    <w:rsid w:val="00155E94"/>
    <w:rsid w:val="00155ED7"/>
    <w:rsid w:val="00155F12"/>
    <w:rsid w:val="00156111"/>
    <w:rsid w:val="001566DD"/>
    <w:rsid w:val="0015683F"/>
    <w:rsid w:val="00156CE1"/>
    <w:rsid w:val="00156F85"/>
    <w:rsid w:val="001574C4"/>
    <w:rsid w:val="00157530"/>
    <w:rsid w:val="00157E14"/>
    <w:rsid w:val="00157FAC"/>
    <w:rsid w:val="00160147"/>
    <w:rsid w:val="0016025E"/>
    <w:rsid w:val="001602FC"/>
    <w:rsid w:val="00160596"/>
    <w:rsid w:val="001610D1"/>
    <w:rsid w:val="00161356"/>
    <w:rsid w:val="0016156E"/>
    <w:rsid w:val="0016189E"/>
    <w:rsid w:val="001618AB"/>
    <w:rsid w:val="00161F55"/>
    <w:rsid w:val="0016246A"/>
    <w:rsid w:val="00162B4B"/>
    <w:rsid w:val="001631B5"/>
    <w:rsid w:val="0016395D"/>
    <w:rsid w:val="00163BEA"/>
    <w:rsid w:val="00163ED6"/>
    <w:rsid w:val="001640F5"/>
    <w:rsid w:val="001647BE"/>
    <w:rsid w:val="00164C7F"/>
    <w:rsid w:val="0016516C"/>
    <w:rsid w:val="00165235"/>
    <w:rsid w:val="00165271"/>
    <w:rsid w:val="00165CD4"/>
    <w:rsid w:val="001662C3"/>
    <w:rsid w:val="001669CE"/>
    <w:rsid w:val="001669DF"/>
    <w:rsid w:val="00166D92"/>
    <w:rsid w:val="00167075"/>
    <w:rsid w:val="00167C4B"/>
    <w:rsid w:val="001701DD"/>
    <w:rsid w:val="00170352"/>
    <w:rsid w:val="0017079E"/>
    <w:rsid w:val="001708D4"/>
    <w:rsid w:val="00170BB2"/>
    <w:rsid w:val="00170D06"/>
    <w:rsid w:val="001712AD"/>
    <w:rsid w:val="00171366"/>
    <w:rsid w:val="001714CD"/>
    <w:rsid w:val="00171DAC"/>
    <w:rsid w:val="00172095"/>
    <w:rsid w:val="001723FA"/>
    <w:rsid w:val="00172409"/>
    <w:rsid w:val="00172565"/>
    <w:rsid w:val="001726F7"/>
    <w:rsid w:val="00173085"/>
    <w:rsid w:val="0017323A"/>
    <w:rsid w:val="001739BF"/>
    <w:rsid w:val="00173EFF"/>
    <w:rsid w:val="001740CA"/>
    <w:rsid w:val="00174212"/>
    <w:rsid w:val="00174D83"/>
    <w:rsid w:val="00175D9A"/>
    <w:rsid w:val="001769AD"/>
    <w:rsid w:val="00176A0D"/>
    <w:rsid w:val="001778EB"/>
    <w:rsid w:val="001779F0"/>
    <w:rsid w:val="00177FCF"/>
    <w:rsid w:val="00177FE6"/>
    <w:rsid w:val="00180A64"/>
    <w:rsid w:val="00180BA8"/>
    <w:rsid w:val="00181804"/>
    <w:rsid w:val="0018184D"/>
    <w:rsid w:val="00181924"/>
    <w:rsid w:val="001821D8"/>
    <w:rsid w:val="0018337F"/>
    <w:rsid w:val="001834FE"/>
    <w:rsid w:val="001838BB"/>
    <w:rsid w:val="00183AB3"/>
    <w:rsid w:val="00183C1B"/>
    <w:rsid w:val="00183CDA"/>
    <w:rsid w:val="00183EB7"/>
    <w:rsid w:val="00184DB6"/>
    <w:rsid w:val="00185132"/>
    <w:rsid w:val="0018580D"/>
    <w:rsid w:val="00185ED4"/>
    <w:rsid w:val="00185FC8"/>
    <w:rsid w:val="001864EE"/>
    <w:rsid w:val="00186BBB"/>
    <w:rsid w:val="00186C01"/>
    <w:rsid w:val="0019008A"/>
    <w:rsid w:val="0019023D"/>
    <w:rsid w:val="00190316"/>
    <w:rsid w:val="00190C85"/>
    <w:rsid w:val="001911B6"/>
    <w:rsid w:val="00191507"/>
    <w:rsid w:val="00191563"/>
    <w:rsid w:val="00191C0B"/>
    <w:rsid w:val="00191C6C"/>
    <w:rsid w:val="001920CA"/>
    <w:rsid w:val="00192260"/>
    <w:rsid w:val="00192704"/>
    <w:rsid w:val="00192970"/>
    <w:rsid w:val="0019297C"/>
    <w:rsid w:val="0019299A"/>
    <w:rsid w:val="001929DB"/>
    <w:rsid w:val="00192B49"/>
    <w:rsid w:val="00192C48"/>
    <w:rsid w:val="00192FFE"/>
    <w:rsid w:val="0019349D"/>
    <w:rsid w:val="00193584"/>
    <w:rsid w:val="0019378F"/>
    <w:rsid w:val="001939A7"/>
    <w:rsid w:val="001942AD"/>
    <w:rsid w:val="0019491B"/>
    <w:rsid w:val="00194AAA"/>
    <w:rsid w:val="00194ABE"/>
    <w:rsid w:val="00194F3D"/>
    <w:rsid w:val="001959C3"/>
    <w:rsid w:val="0019617D"/>
    <w:rsid w:val="0019677D"/>
    <w:rsid w:val="001969F6"/>
    <w:rsid w:val="00196BF3"/>
    <w:rsid w:val="00196D3C"/>
    <w:rsid w:val="0019777A"/>
    <w:rsid w:val="00197CC2"/>
    <w:rsid w:val="001A00E3"/>
    <w:rsid w:val="001A028F"/>
    <w:rsid w:val="001A0459"/>
    <w:rsid w:val="001A0B07"/>
    <w:rsid w:val="001A0FA0"/>
    <w:rsid w:val="001A10A2"/>
    <w:rsid w:val="001A1137"/>
    <w:rsid w:val="001A1149"/>
    <w:rsid w:val="001A1CA2"/>
    <w:rsid w:val="001A1E84"/>
    <w:rsid w:val="001A2492"/>
    <w:rsid w:val="001A2B3E"/>
    <w:rsid w:val="001A2E95"/>
    <w:rsid w:val="001A33F2"/>
    <w:rsid w:val="001A3FA0"/>
    <w:rsid w:val="001A462C"/>
    <w:rsid w:val="001A4B9C"/>
    <w:rsid w:val="001A4BB1"/>
    <w:rsid w:val="001A4D24"/>
    <w:rsid w:val="001A4D62"/>
    <w:rsid w:val="001A4DF8"/>
    <w:rsid w:val="001A4E6C"/>
    <w:rsid w:val="001A5621"/>
    <w:rsid w:val="001A5B84"/>
    <w:rsid w:val="001A5CD3"/>
    <w:rsid w:val="001A5D41"/>
    <w:rsid w:val="001A67D6"/>
    <w:rsid w:val="001A6B2A"/>
    <w:rsid w:val="001A6CB8"/>
    <w:rsid w:val="001A6DC9"/>
    <w:rsid w:val="001A6FF8"/>
    <w:rsid w:val="001A713C"/>
    <w:rsid w:val="001A71F5"/>
    <w:rsid w:val="001A721C"/>
    <w:rsid w:val="001A772C"/>
    <w:rsid w:val="001A7940"/>
    <w:rsid w:val="001A7E1E"/>
    <w:rsid w:val="001B043E"/>
    <w:rsid w:val="001B044B"/>
    <w:rsid w:val="001B0554"/>
    <w:rsid w:val="001B0F3B"/>
    <w:rsid w:val="001B1112"/>
    <w:rsid w:val="001B13E6"/>
    <w:rsid w:val="001B1553"/>
    <w:rsid w:val="001B24D6"/>
    <w:rsid w:val="001B251B"/>
    <w:rsid w:val="001B28DB"/>
    <w:rsid w:val="001B33EC"/>
    <w:rsid w:val="001B3CA8"/>
    <w:rsid w:val="001B3F54"/>
    <w:rsid w:val="001B4AAA"/>
    <w:rsid w:val="001B4BAF"/>
    <w:rsid w:val="001B4DF2"/>
    <w:rsid w:val="001B56F0"/>
    <w:rsid w:val="001B57E1"/>
    <w:rsid w:val="001B5AEE"/>
    <w:rsid w:val="001B6477"/>
    <w:rsid w:val="001B7A6D"/>
    <w:rsid w:val="001B7CC8"/>
    <w:rsid w:val="001B7DCB"/>
    <w:rsid w:val="001C0116"/>
    <w:rsid w:val="001C09EC"/>
    <w:rsid w:val="001C0C93"/>
    <w:rsid w:val="001C0CD5"/>
    <w:rsid w:val="001C1837"/>
    <w:rsid w:val="001C190B"/>
    <w:rsid w:val="001C2006"/>
    <w:rsid w:val="001C2348"/>
    <w:rsid w:val="001C29E3"/>
    <w:rsid w:val="001C2A99"/>
    <w:rsid w:val="001C2B1A"/>
    <w:rsid w:val="001C2F8C"/>
    <w:rsid w:val="001C31CF"/>
    <w:rsid w:val="001C3829"/>
    <w:rsid w:val="001C39D2"/>
    <w:rsid w:val="001C3ADB"/>
    <w:rsid w:val="001C42D8"/>
    <w:rsid w:val="001C4768"/>
    <w:rsid w:val="001C4850"/>
    <w:rsid w:val="001C4BB2"/>
    <w:rsid w:val="001C4C4E"/>
    <w:rsid w:val="001C4C5B"/>
    <w:rsid w:val="001C4F9F"/>
    <w:rsid w:val="001C52C6"/>
    <w:rsid w:val="001C53EF"/>
    <w:rsid w:val="001C5704"/>
    <w:rsid w:val="001C5902"/>
    <w:rsid w:val="001C5AE9"/>
    <w:rsid w:val="001C6158"/>
    <w:rsid w:val="001C6DCE"/>
    <w:rsid w:val="001C715B"/>
    <w:rsid w:val="001C727D"/>
    <w:rsid w:val="001C74DE"/>
    <w:rsid w:val="001C759F"/>
    <w:rsid w:val="001C76FF"/>
    <w:rsid w:val="001C79B5"/>
    <w:rsid w:val="001D006B"/>
    <w:rsid w:val="001D0282"/>
    <w:rsid w:val="001D0835"/>
    <w:rsid w:val="001D0A43"/>
    <w:rsid w:val="001D0A9A"/>
    <w:rsid w:val="001D10AF"/>
    <w:rsid w:val="001D10CD"/>
    <w:rsid w:val="001D12F1"/>
    <w:rsid w:val="001D1655"/>
    <w:rsid w:val="001D1D77"/>
    <w:rsid w:val="001D20D4"/>
    <w:rsid w:val="001D27AD"/>
    <w:rsid w:val="001D2BDB"/>
    <w:rsid w:val="001D35FD"/>
    <w:rsid w:val="001D3A84"/>
    <w:rsid w:val="001D3AE8"/>
    <w:rsid w:val="001D4069"/>
    <w:rsid w:val="001D4434"/>
    <w:rsid w:val="001D47B6"/>
    <w:rsid w:val="001D482A"/>
    <w:rsid w:val="001D48DC"/>
    <w:rsid w:val="001D4A83"/>
    <w:rsid w:val="001D50BE"/>
    <w:rsid w:val="001D52BC"/>
    <w:rsid w:val="001D5488"/>
    <w:rsid w:val="001D55FE"/>
    <w:rsid w:val="001D5877"/>
    <w:rsid w:val="001D5B99"/>
    <w:rsid w:val="001D5D32"/>
    <w:rsid w:val="001D6101"/>
    <w:rsid w:val="001D6723"/>
    <w:rsid w:val="001D71A8"/>
    <w:rsid w:val="001D775D"/>
    <w:rsid w:val="001D79B3"/>
    <w:rsid w:val="001D7E4B"/>
    <w:rsid w:val="001E01DE"/>
    <w:rsid w:val="001E063A"/>
    <w:rsid w:val="001E067B"/>
    <w:rsid w:val="001E0C8B"/>
    <w:rsid w:val="001E113E"/>
    <w:rsid w:val="001E1B76"/>
    <w:rsid w:val="001E1EA7"/>
    <w:rsid w:val="001E215E"/>
    <w:rsid w:val="001E2F85"/>
    <w:rsid w:val="001E300D"/>
    <w:rsid w:val="001E3846"/>
    <w:rsid w:val="001E423D"/>
    <w:rsid w:val="001E44F0"/>
    <w:rsid w:val="001E4D3B"/>
    <w:rsid w:val="001E520D"/>
    <w:rsid w:val="001E524C"/>
    <w:rsid w:val="001E54F2"/>
    <w:rsid w:val="001E5D6F"/>
    <w:rsid w:val="001E5E85"/>
    <w:rsid w:val="001E6540"/>
    <w:rsid w:val="001E6858"/>
    <w:rsid w:val="001E6A7B"/>
    <w:rsid w:val="001E6AE7"/>
    <w:rsid w:val="001E6C29"/>
    <w:rsid w:val="001E7A51"/>
    <w:rsid w:val="001E7D27"/>
    <w:rsid w:val="001F0959"/>
    <w:rsid w:val="001F0E17"/>
    <w:rsid w:val="001F14D2"/>
    <w:rsid w:val="001F1B00"/>
    <w:rsid w:val="001F2353"/>
    <w:rsid w:val="001F2F35"/>
    <w:rsid w:val="001F313F"/>
    <w:rsid w:val="001F3267"/>
    <w:rsid w:val="001F407B"/>
    <w:rsid w:val="001F4312"/>
    <w:rsid w:val="001F4B5C"/>
    <w:rsid w:val="001F5582"/>
    <w:rsid w:val="001F5793"/>
    <w:rsid w:val="001F5867"/>
    <w:rsid w:val="001F6049"/>
    <w:rsid w:val="001F6306"/>
    <w:rsid w:val="001F6835"/>
    <w:rsid w:val="001F72FC"/>
    <w:rsid w:val="001F7320"/>
    <w:rsid w:val="001F7370"/>
    <w:rsid w:val="001F7E5A"/>
    <w:rsid w:val="00200365"/>
    <w:rsid w:val="00200E37"/>
    <w:rsid w:val="002010B6"/>
    <w:rsid w:val="002016E4"/>
    <w:rsid w:val="00201939"/>
    <w:rsid w:val="00201D14"/>
    <w:rsid w:val="002022BA"/>
    <w:rsid w:val="00202BB8"/>
    <w:rsid w:val="002031ED"/>
    <w:rsid w:val="00203636"/>
    <w:rsid w:val="00203864"/>
    <w:rsid w:val="00203A7B"/>
    <w:rsid w:val="00203D74"/>
    <w:rsid w:val="00203EF1"/>
    <w:rsid w:val="00203F8C"/>
    <w:rsid w:val="002045D7"/>
    <w:rsid w:val="00204D9D"/>
    <w:rsid w:val="00205B3C"/>
    <w:rsid w:val="002061D4"/>
    <w:rsid w:val="002065FC"/>
    <w:rsid w:val="00206FA0"/>
    <w:rsid w:val="00207659"/>
    <w:rsid w:val="00207FCE"/>
    <w:rsid w:val="00210254"/>
    <w:rsid w:val="0021042F"/>
    <w:rsid w:val="00210CAD"/>
    <w:rsid w:val="00210F43"/>
    <w:rsid w:val="00210F86"/>
    <w:rsid w:val="002111A1"/>
    <w:rsid w:val="002113CF"/>
    <w:rsid w:val="00211946"/>
    <w:rsid w:val="00211D62"/>
    <w:rsid w:val="00211DDD"/>
    <w:rsid w:val="00211F22"/>
    <w:rsid w:val="00211FCA"/>
    <w:rsid w:val="002121EC"/>
    <w:rsid w:val="00212673"/>
    <w:rsid w:val="0021276F"/>
    <w:rsid w:val="00212861"/>
    <w:rsid w:val="00212AA4"/>
    <w:rsid w:val="00213874"/>
    <w:rsid w:val="002139DF"/>
    <w:rsid w:val="00213A92"/>
    <w:rsid w:val="00213E33"/>
    <w:rsid w:val="00214440"/>
    <w:rsid w:val="00214786"/>
    <w:rsid w:val="00214B3D"/>
    <w:rsid w:val="00214B79"/>
    <w:rsid w:val="00214FCE"/>
    <w:rsid w:val="0021555F"/>
    <w:rsid w:val="002159E6"/>
    <w:rsid w:val="00215C96"/>
    <w:rsid w:val="00216220"/>
    <w:rsid w:val="0021662C"/>
    <w:rsid w:val="002168A9"/>
    <w:rsid w:val="00216CA2"/>
    <w:rsid w:val="00217677"/>
    <w:rsid w:val="002179B9"/>
    <w:rsid w:val="00217A49"/>
    <w:rsid w:val="00217F4C"/>
    <w:rsid w:val="00217F51"/>
    <w:rsid w:val="00220022"/>
    <w:rsid w:val="00220143"/>
    <w:rsid w:val="0022093E"/>
    <w:rsid w:val="00220E32"/>
    <w:rsid w:val="00221544"/>
    <w:rsid w:val="002217A7"/>
    <w:rsid w:val="00221AAA"/>
    <w:rsid w:val="00222290"/>
    <w:rsid w:val="00222461"/>
    <w:rsid w:val="00222596"/>
    <w:rsid w:val="002228B3"/>
    <w:rsid w:val="002234AF"/>
    <w:rsid w:val="00223919"/>
    <w:rsid w:val="0022397D"/>
    <w:rsid w:val="00223CC7"/>
    <w:rsid w:val="00223D80"/>
    <w:rsid w:val="00223E18"/>
    <w:rsid w:val="00223F69"/>
    <w:rsid w:val="002246D5"/>
    <w:rsid w:val="002246E6"/>
    <w:rsid w:val="00224E64"/>
    <w:rsid w:val="00225267"/>
    <w:rsid w:val="00225BAE"/>
    <w:rsid w:val="00225E99"/>
    <w:rsid w:val="00226005"/>
    <w:rsid w:val="00226990"/>
    <w:rsid w:val="00226C04"/>
    <w:rsid w:val="002276D3"/>
    <w:rsid w:val="00227EFD"/>
    <w:rsid w:val="00230439"/>
    <w:rsid w:val="0023056E"/>
    <w:rsid w:val="00230D51"/>
    <w:rsid w:val="0023121C"/>
    <w:rsid w:val="00231403"/>
    <w:rsid w:val="00231468"/>
    <w:rsid w:val="002314FC"/>
    <w:rsid w:val="00231A14"/>
    <w:rsid w:val="00231C1E"/>
    <w:rsid w:val="00231C4D"/>
    <w:rsid w:val="002330EE"/>
    <w:rsid w:val="002331C5"/>
    <w:rsid w:val="00234285"/>
    <w:rsid w:val="00234843"/>
    <w:rsid w:val="0023492B"/>
    <w:rsid w:val="00234D52"/>
    <w:rsid w:val="00235554"/>
    <w:rsid w:val="0023568A"/>
    <w:rsid w:val="002357A3"/>
    <w:rsid w:val="00235A69"/>
    <w:rsid w:val="00235B18"/>
    <w:rsid w:val="00235DC3"/>
    <w:rsid w:val="00235F38"/>
    <w:rsid w:val="0023619D"/>
    <w:rsid w:val="002367B1"/>
    <w:rsid w:val="00236D0E"/>
    <w:rsid w:val="00236DB7"/>
    <w:rsid w:val="00237339"/>
    <w:rsid w:val="00237708"/>
    <w:rsid w:val="00237738"/>
    <w:rsid w:val="002377DE"/>
    <w:rsid w:val="00237885"/>
    <w:rsid w:val="00237B53"/>
    <w:rsid w:val="00237E88"/>
    <w:rsid w:val="0024018D"/>
    <w:rsid w:val="00240312"/>
    <w:rsid w:val="002408A5"/>
    <w:rsid w:val="00240AEF"/>
    <w:rsid w:val="00240C2D"/>
    <w:rsid w:val="00240D64"/>
    <w:rsid w:val="00241792"/>
    <w:rsid w:val="00241AD1"/>
    <w:rsid w:val="00241BD3"/>
    <w:rsid w:val="00242C15"/>
    <w:rsid w:val="00242C38"/>
    <w:rsid w:val="00242D0C"/>
    <w:rsid w:val="00242E60"/>
    <w:rsid w:val="00243148"/>
    <w:rsid w:val="00243477"/>
    <w:rsid w:val="00243586"/>
    <w:rsid w:val="00243F9B"/>
    <w:rsid w:val="0024461B"/>
    <w:rsid w:val="00244674"/>
    <w:rsid w:val="00244878"/>
    <w:rsid w:val="00245395"/>
    <w:rsid w:val="00245756"/>
    <w:rsid w:val="00245897"/>
    <w:rsid w:val="00245BD8"/>
    <w:rsid w:val="00246797"/>
    <w:rsid w:val="00246AA7"/>
    <w:rsid w:val="002478A3"/>
    <w:rsid w:val="00247CAF"/>
    <w:rsid w:val="00247E7A"/>
    <w:rsid w:val="00247F04"/>
    <w:rsid w:val="00247F1C"/>
    <w:rsid w:val="00250302"/>
    <w:rsid w:val="00250365"/>
    <w:rsid w:val="00250597"/>
    <w:rsid w:val="002507F3"/>
    <w:rsid w:val="0025088D"/>
    <w:rsid w:val="00250D8E"/>
    <w:rsid w:val="00250DAC"/>
    <w:rsid w:val="002511A4"/>
    <w:rsid w:val="0025139E"/>
    <w:rsid w:val="0025173A"/>
    <w:rsid w:val="0025197F"/>
    <w:rsid w:val="00251CB3"/>
    <w:rsid w:val="00251D74"/>
    <w:rsid w:val="00251F38"/>
    <w:rsid w:val="00252414"/>
    <w:rsid w:val="0025242B"/>
    <w:rsid w:val="00252485"/>
    <w:rsid w:val="00252595"/>
    <w:rsid w:val="002529DC"/>
    <w:rsid w:val="00252D50"/>
    <w:rsid w:val="00252E64"/>
    <w:rsid w:val="0025356C"/>
    <w:rsid w:val="002543C6"/>
    <w:rsid w:val="002545A7"/>
    <w:rsid w:val="00254A14"/>
    <w:rsid w:val="00255145"/>
    <w:rsid w:val="0025520B"/>
    <w:rsid w:val="00255286"/>
    <w:rsid w:val="00255CFC"/>
    <w:rsid w:val="00256202"/>
    <w:rsid w:val="002562E2"/>
    <w:rsid w:val="00256BE6"/>
    <w:rsid w:val="00256C01"/>
    <w:rsid w:val="00256FA5"/>
    <w:rsid w:val="0025717F"/>
    <w:rsid w:val="00257211"/>
    <w:rsid w:val="002579D9"/>
    <w:rsid w:val="00257D86"/>
    <w:rsid w:val="00257F71"/>
    <w:rsid w:val="0026095B"/>
    <w:rsid w:val="00260FEA"/>
    <w:rsid w:val="002613C7"/>
    <w:rsid w:val="00261537"/>
    <w:rsid w:val="002617AE"/>
    <w:rsid w:val="002618EA"/>
    <w:rsid w:val="00261AC3"/>
    <w:rsid w:val="002623BB"/>
    <w:rsid w:val="00262724"/>
    <w:rsid w:val="00262B2F"/>
    <w:rsid w:val="00262CA6"/>
    <w:rsid w:val="00263987"/>
    <w:rsid w:val="00263AD0"/>
    <w:rsid w:val="00263DA0"/>
    <w:rsid w:val="0026443C"/>
    <w:rsid w:val="00265450"/>
    <w:rsid w:val="00265727"/>
    <w:rsid w:val="00265774"/>
    <w:rsid w:val="0026582C"/>
    <w:rsid w:val="00265ABF"/>
    <w:rsid w:val="00265BE8"/>
    <w:rsid w:val="00265BF3"/>
    <w:rsid w:val="00265FD1"/>
    <w:rsid w:val="002660A3"/>
    <w:rsid w:val="002660B3"/>
    <w:rsid w:val="002663D1"/>
    <w:rsid w:val="002665CD"/>
    <w:rsid w:val="00266B75"/>
    <w:rsid w:val="00266EFF"/>
    <w:rsid w:val="00267969"/>
    <w:rsid w:val="002702C6"/>
    <w:rsid w:val="00270D55"/>
    <w:rsid w:val="002713BF"/>
    <w:rsid w:val="00271E1B"/>
    <w:rsid w:val="00272449"/>
    <w:rsid w:val="00272ECF"/>
    <w:rsid w:val="00272FE1"/>
    <w:rsid w:val="0027357F"/>
    <w:rsid w:val="00273740"/>
    <w:rsid w:val="00273A1B"/>
    <w:rsid w:val="00273FC9"/>
    <w:rsid w:val="002744CD"/>
    <w:rsid w:val="00274506"/>
    <w:rsid w:val="0027467A"/>
    <w:rsid w:val="002748A6"/>
    <w:rsid w:val="00274EF9"/>
    <w:rsid w:val="00274F5C"/>
    <w:rsid w:val="002750C6"/>
    <w:rsid w:val="0027521D"/>
    <w:rsid w:val="002755E4"/>
    <w:rsid w:val="00275ACA"/>
    <w:rsid w:val="002760CA"/>
    <w:rsid w:val="00276C6E"/>
    <w:rsid w:val="00276D0D"/>
    <w:rsid w:val="00277512"/>
    <w:rsid w:val="00277748"/>
    <w:rsid w:val="00277882"/>
    <w:rsid w:val="00277BBC"/>
    <w:rsid w:val="00277F13"/>
    <w:rsid w:val="00280471"/>
    <w:rsid w:val="002807EF"/>
    <w:rsid w:val="00280ACC"/>
    <w:rsid w:val="00280B4E"/>
    <w:rsid w:val="00280EE8"/>
    <w:rsid w:val="002813D7"/>
    <w:rsid w:val="002816F7"/>
    <w:rsid w:val="00281AC6"/>
    <w:rsid w:val="00281BB6"/>
    <w:rsid w:val="00282381"/>
    <w:rsid w:val="00282634"/>
    <w:rsid w:val="00282B31"/>
    <w:rsid w:val="00282CF9"/>
    <w:rsid w:val="002831CD"/>
    <w:rsid w:val="002833D2"/>
    <w:rsid w:val="00283BE0"/>
    <w:rsid w:val="00283C27"/>
    <w:rsid w:val="00283C56"/>
    <w:rsid w:val="00283D1B"/>
    <w:rsid w:val="00283DC3"/>
    <w:rsid w:val="002840AE"/>
    <w:rsid w:val="00284150"/>
    <w:rsid w:val="002841DD"/>
    <w:rsid w:val="002843D9"/>
    <w:rsid w:val="0028483B"/>
    <w:rsid w:val="00284E7C"/>
    <w:rsid w:val="002858D5"/>
    <w:rsid w:val="00286045"/>
    <w:rsid w:val="0028608E"/>
    <w:rsid w:val="00286781"/>
    <w:rsid w:val="002869E6"/>
    <w:rsid w:val="00286A5A"/>
    <w:rsid w:val="00286B8D"/>
    <w:rsid w:val="0028766D"/>
    <w:rsid w:val="0028779C"/>
    <w:rsid w:val="002878BC"/>
    <w:rsid w:val="002878D9"/>
    <w:rsid w:val="00287ABE"/>
    <w:rsid w:val="00287B7B"/>
    <w:rsid w:val="00287E0B"/>
    <w:rsid w:val="0029031B"/>
    <w:rsid w:val="00290375"/>
    <w:rsid w:val="002903C6"/>
    <w:rsid w:val="00290769"/>
    <w:rsid w:val="00290ED2"/>
    <w:rsid w:val="002918C9"/>
    <w:rsid w:val="00291D3C"/>
    <w:rsid w:val="0029202A"/>
    <w:rsid w:val="00292258"/>
    <w:rsid w:val="0029266F"/>
    <w:rsid w:val="002927DF"/>
    <w:rsid w:val="002927EA"/>
    <w:rsid w:val="00292F67"/>
    <w:rsid w:val="00293898"/>
    <w:rsid w:val="00293BED"/>
    <w:rsid w:val="00293E71"/>
    <w:rsid w:val="00293FE1"/>
    <w:rsid w:val="00294441"/>
    <w:rsid w:val="00294454"/>
    <w:rsid w:val="00294485"/>
    <w:rsid w:val="002946E6"/>
    <w:rsid w:val="00294CF9"/>
    <w:rsid w:val="00294FAB"/>
    <w:rsid w:val="00295050"/>
    <w:rsid w:val="0029528E"/>
    <w:rsid w:val="002954D3"/>
    <w:rsid w:val="0029633E"/>
    <w:rsid w:val="00296671"/>
    <w:rsid w:val="0029667F"/>
    <w:rsid w:val="00296912"/>
    <w:rsid w:val="00296CE4"/>
    <w:rsid w:val="00296F79"/>
    <w:rsid w:val="002970BC"/>
    <w:rsid w:val="0029728B"/>
    <w:rsid w:val="0029734C"/>
    <w:rsid w:val="0029744A"/>
    <w:rsid w:val="0029783D"/>
    <w:rsid w:val="002A02C2"/>
    <w:rsid w:val="002A04D5"/>
    <w:rsid w:val="002A051C"/>
    <w:rsid w:val="002A062B"/>
    <w:rsid w:val="002A11AE"/>
    <w:rsid w:val="002A1660"/>
    <w:rsid w:val="002A193A"/>
    <w:rsid w:val="002A1AC7"/>
    <w:rsid w:val="002A1F4C"/>
    <w:rsid w:val="002A21B6"/>
    <w:rsid w:val="002A22A6"/>
    <w:rsid w:val="002A3236"/>
    <w:rsid w:val="002A3677"/>
    <w:rsid w:val="002A439F"/>
    <w:rsid w:val="002A467D"/>
    <w:rsid w:val="002A4882"/>
    <w:rsid w:val="002A4D7C"/>
    <w:rsid w:val="002A52E4"/>
    <w:rsid w:val="002A535E"/>
    <w:rsid w:val="002A5421"/>
    <w:rsid w:val="002A585C"/>
    <w:rsid w:val="002A5E5D"/>
    <w:rsid w:val="002A6552"/>
    <w:rsid w:val="002A657E"/>
    <w:rsid w:val="002A6924"/>
    <w:rsid w:val="002A6980"/>
    <w:rsid w:val="002A6D79"/>
    <w:rsid w:val="002A74C0"/>
    <w:rsid w:val="002A760C"/>
    <w:rsid w:val="002A7883"/>
    <w:rsid w:val="002A79C6"/>
    <w:rsid w:val="002B098F"/>
    <w:rsid w:val="002B0A57"/>
    <w:rsid w:val="002B1094"/>
    <w:rsid w:val="002B146F"/>
    <w:rsid w:val="002B14CD"/>
    <w:rsid w:val="002B1C5F"/>
    <w:rsid w:val="002B1DB9"/>
    <w:rsid w:val="002B1E13"/>
    <w:rsid w:val="002B1F98"/>
    <w:rsid w:val="002B23BA"/>
    <w:rsid w:val="002B27B2"/>
    <w:rsid w:val="002B327D"/>
    <w:rsid w:val="002B4394"/>
    <w:rsid w:val="002B4ABA"/>
    <w:rsid w:val="002B4D0F"/>
    <w:rsid w:val="002B50DF"/>
    <w:rsid w:val="002B5436"/>
    <w:rsid w:val="002B5C85"/>
    <w:rsid w:val="002B6271"/>
    <w:rsid w:val="002B64CD"/>
    <w:rsid w:val="002B6737"/>
    <w:rsid w:val="002B675E"/>
    <w:rsid w:val="002B67E1"/>
    <w:rsid w:val="002B6956"/>
    <w:rsid w:val="002B7620"/>
    <w:rsid w:val="002B7697"/>
    <w:rsid w:val="002B784C"/>
    <w:rsid w:val="002B7A27"/>
    <w:rsid w:val="002B7F2D"/>
    <w:rsid w:val="002C04CE"/>
    <w:rsid w:val="002C0E02"/>
    <w:rsid w:val="002C0E6B"/>
    <w:rsid w:val="002C1126"/>
    <w:rsid w:val="002C1224"/>
    <w:rsid w:val="002C1321"/>
    <w:rsid w:val="002C17C4"/>
    <w:rsid w:val="002C189B"/>
    <w:rsid w:val="002C1933"/>
    <w:rsid w:val="002C1957"/>
    <w:rsid w:val="002C2244"/>
    <w:rsid w:val="002C2435"/>
    <w:rsid w:val="002C27CD"/>
    <w:rsid w:val="002C2957"/>
    <w:rsid w:val="002C2A60"/>
    <w:rsid w:val="002C2CD1"/>
    <w:rsid w:val="002C30F8"/>
    <w:rsid w:val="002C31E4"/>
    <w:rsid w:val="002C38F4"/>
    <w:rsid w:val="002C40C0"/>
    <w:rsid w:val="002C41DD"/>
    <w:rsid w:val="002C43A6"/>
    <w:rsid w:val="002C4B3C"/>
    <w:rsid w:val="002C4BA5"/>
    <w:rsid w:val="002C4D4B"/>
    <w:rsid w:val="002C58CA"/>
    <w:rsid w:val="002C6274"/>
    <w:rsid w:val="002C62B4"/>
    <w:rsid w:val="002C76CB"/>
    <w:rsid w:val="002D007B"/>
    <w:rsid w:val="002D0159"/>
    <w:rsid w:val="002D085B"/>
    <w:rsid w:val="002D0E3F"/>
    <w:rsid w:val="002D104E"/>
    <w:rsid w:val="002D156C"/>
    <w:rsid w:val="002D1754"/>
    <w:rsid w:val="002D1929"/>
    <w:rsid w:val="002D1ABA"/>
    <w:rsid w:val="002D1FE0"/>
    <w:rsid w:val="002D21C8"/>
    <w:rsid w:val="002D2280"/>
    <w:rsid w:val="002D23E5"/>
    <w:rsid w:val="002D2549"/>
    <w:rsid w:val="002D2850"/>
    <w:rsid w:val="002D2ACF"/>
    <w:rsid w:val="002D3E1E"/>
    <w:rsid w:val="002D4109"/>
    <w:rsid w:val="002D411A"/>
    <w:rsid w:val="002D4224"/>
    <w:rsid w:val="002D467E"/>
    <w:rsid w:val="002D4A44"/>
    <w:rsid w:val="002D4B1C"/>
    <w:rsid w:val="002D4CD6"/>
    <w:rsid w:val="002D4E86"/>
    <w:rsid w:val="002D511B"/>
    <w:rsid w:val="002D5825"/>
    <w:rsid w:val="002D587E"/>
    <w:rsid w:val="002D6D77"/>
    <w:rsid w:val="002D70D9"/>
    <w:rsid w:val="002D71C0"/>
    <w:rsid w:val="002D730F"/>
    <w:rsid w:val="002D758F"/>
    <w:rsid w:val="002D75C4"/>
    <w:rsid w:val="002D7705"/>
    <w:rsid w:val="002E0401"/>
    <w:rsid w:val="002E0A86"/>
    <w:rsid w:val="002E0E34"/>
    <w:rsid w:val="002E10E7"/>
    <w:rsid w:val="002E1D63"/>
    <w:rsid w:val="002E1DCC"/>
    <w:rsid w:val="002E1F45"/>
    <w:rsid w:val="002E2066"/>
    <w:rsid w:val="002E252B"/>
    <w:rsid w:val="002E2C28"/>
    <w:rsid w:val="002E2D4F"/>
    <w:rsid w:val="002E30EC"/>
    <w:rsid w:val="002E31C4"/>
    <w:rsid w:val="002E3FD6"/>
    <w:rsid w:val="002E402B"/>
    <w:rsid w:val="002E4267"/>
    <w:rsid w:val="002E4C55"/>
    <w:rsid w:val="002E4DA1"/>
    <w:rsid w:val="002E52A4"/>
    <w:rsid w:val="002E52E3"/>
    <w:rsid w:val="002E5B57"/>
    <w:rsid w:val="002E5DA6"/>
    <w:rsid w:val="002E61A6"/>
    <w:rsid w:val="002E6D01"/>
    <w:rsid w:val="002E6DAD"/>
    <w:rsid w:val="002E7773"/>
    <w:rsid w:val="002E793A"/>
    <w:rsid w:val="002E79E4"/>
    <w:rsid w:val="002E7B44"/>
    <w:rsid w:val="002F029B"/>
    <w:rsid w:val="002F0B27"/>
    <w:rsid w:val="002F0BDB"/>
    <w:rsid w:val="002F1304"/>
    <w:rsid w:val="002F157C"/>
    <w:rsid w:val="002F17C9"/>
    <w:rsid w:val="002F1A51"/>
    <w:rsid w:val="002F2786"/>
    <w:rsid w:val="002F282E"/>
    <w:rsid w:val="002F2993"/>
    <w:rsid w:val="002F2B9D"/>
    <w:rsid w:val="002F2E24"/>
    <w:rsid w:val="002F2F4C"/>
    <w:rsid w:val="002F30C9"/>
    <w:rsid w:val="002F3659"/>
    <w:rsid w:val="002F3EF5"/>
    <w:rsid w:val="002F4260"/>
    <w:rsid w:val="002F4BEE"/>
    <w:rsid w:val="002F5108"/>
    <w:rsid w:val="002F5350"/>
    <w:rsid w:val="002F5731"/>
    <w:rsid w:val="002F5B72"/>
    <w:rsid w:val="002F5FBD"/>
    <w:rsid w:val="002F6043"/>
    <w:rsid w:val="002F6A13"/>
    <w:rsid w:val="002F6D07"/>
    <w:rsid w:val="002F7300"/>
    <w:rsid w:val="002F7479"/>
    <w:rsid w:val="002F7A88"/>
    <w:rsid w:val="003001E4"/>
    <w:rsid w:val="0030068B"/>
    <w:rsid w:val="00300800"/>
    <w:rsid w:val="00300AD2"/>
    <w:rsid w:val="00300B94"/>
    <w:rsid w:val="00300EF0"/>
    <w:rsid w:val="003016F5"/>
    <w:rsid w:val="00301BE1"/>
    <w:rsid w:val="00301BF1"/>
    <w:rsid w:val="0030254E"/>
    <w:rsid w:val="0030295F"/>
    <w:rsid w:val="00302AAE"/>
    <w:rsid w:val="00302EA7"/>
    <w:rsid w:val="00303059"/>
    <w:rsid w:val="00303380"/>
    <w:rsid w:val="00304093"/>
    <w:rsid w:val="0030484D"/>
    <w:rsid w:val="00304C7D"/>
    <w:rsid w:val="0030556F"/>
    <w:rsid w:val="0030559C"/>
    <w:rsid w:val="003055C6"/>
    <w:rsid w:val="00306548"/>
    <w:rsid w:val="00307A28"/>
    <w:rsid w:val="00307A68"/>
    <w:rsid w:val="00307B7D"/>
    <w:rsid w:val="00307CE8"/>
    <w:rsid w:val="00310505"/>
    <w:rsid w:val="00310558"/>
    <w:rsid w:val="0031088D"/>
    <w:rsid w:val="00310913"/>
    <w:rsid w:val="00310ABE"/>
    <w:rsid w:val="003113B9"/>
    <w:rsid w:val="0031155D"/>
    <w:rsid w:val="00311720"/>
    <w:rsid w:val="00311C4C"/>
    <w:rsid w:val="0031233A"/>
    <w:rsid w:val="00312478"/>
    <w:rsid w:val="00312BB8"/>
    <w:rsid w:val="00312E1F"/>
    <w:rsid w:val="00312F84"/>
    <w:rsid w:val="003130BA"/>
    <w:rsid w:val="003136BD"/>
    <w:rsid w:val="003139E6"/>
    <w:rsid w:val="003148C7"/>
    <w:rsid w:val="0031496F"/>
    <w:rsid w:val="00314C75"/>
    <w:rsid w:val="00314CD3"/>
    <w:rsid w:val="00314D53"/>
    <w:rsid w:val="00314F58"/>
    <w:rsid w:val="00315469"/>
    <w:rsid w:val="00315F9A"/>
    <w:rsid w:val="0031680E"/>
    <w:rsid w:val="0031697E"/>
    <w:rsid w:val="00316B84"/>
    <w:rsid w:val="00316FD1"/>
    <w:rsid w:val="003173EC"/>
    <w:rsid w:val="00317739"/>
    <w:rsid w:val="0032026B"/>
    <w:rsid w:val="003205FC"/>
    <w:rsid w:val="00320DB0"/>
    <w:rsid w:val="00321495"/>
    <w:rsid w:val="00321C22"/>
    <w:rsid w:val="00322852"/>
    <w:rsid w:val="00322994"/>
    <w:rsid w:val="003230A4"/>
    <w:rsid w:val="00323334"/>
    <w:rsid w:val="0032342F"/>
    <w:rsid w:val="0032352A"/>
    <w:rsid w:val="0032355D"/>
    <w:rsid w:val="00323626"/>
    <w:rsid w:val="003239E3"/>
    <w:rsid w:val="00323DEF"/>
    <w:rsid w:val="00323F6F"/>
    <w:rsid w:val="00323FB4"/>
    <w:rsid w:val="00324270"/>
    <w:rsid w:val="0032436C"/>
    <w:rsid w:val="00324636"/>
    <w:rsid w:val="00324DC1"/>
    <w:rsid w:val="00324E8D"/>
    <w:rsid w:val="0032518F"/>
    <w:rsid w:val="00325197"/>
    <w:rsid w:val="003253F9"/>
    <w:rsid w:val="0032540A"/>
    <w:rsid w:val="003255BB"/>
    <w:rsid w:val="00325672"/>
    <w:rsid w:val="00325D69"/>
    <w:rsid w:val="00325DB8"/>
    <w:rsid w:val="00325F5C"/>
    <w:rsid w:val="00326700"/>
    <w:rsid w:val="00326BA1"/>
    <w:rsid w:val="00327587"/>
    <w:rsid w:val="003302C9"/>
    <w:rsid w:val="003303F1"/>
    <w:rsid w:val="0033067E"/>
    <w:rsid w:val="00330708"/>
    <w:rsid w:val="00330B14"/>
    <w:rsid w:val="00330CEA"/>
    <w:rsid w:val="00331396"/>
    <w:rsid w:val="00331B32"/>
    <w:rsid w:val="00331C16"/>
    <w:rsid w:val="00331C8B"/>
    <w:rsid w:val="00332863"/>
    <w:rsid w:val="003328E1"/>
    <w:rsid w:val="00332BD6"/>
    <w:rsid w:val="00332D99"/>
    <w:rsid w:val="00332DA1"/>
    <w:rsid w:val="00332E12"/>
    <w:rsid w:val="00332F87"/>
    <w:rsid w:val="00333052"/>
    <w:rsid w:val="003338DA"/>
    <w:rsid w:val="00333949"/>
    <w:rsid w:val="00333F7A"/>
    <w:rsid w:val="003342E5"/>
    <w:rsid w:val="00334DEE"/>
    <w:rsid w:val="00334EE1"/>
    <w:rsid w:val="00335061"/>
    <w:rsid w:val="00335594"/>
    <w:rsid w:val="00335C27"/>
    <w:rsid w:val="00335F3C"/>
    <w:rsid w:val="003360D7"/>
    <w:rsid w:val="003365F5"/>
    <w:rsid w:val="00336DFB"/>
    <w:rsid w:val="00336EE8"/>
    <w:rsid w:val="00337420"/>
    <w:rsid w:val="00337551"/>
    <w:rsid w:val="00337876"/>
    <w:rsid w:val="00337880"/>
    <w:rsid w:val="0033793F"/>
    <w:rsid w:val="00337B5A"/>
    <w:rsid w:val="00340670"/>
    <w:rsid w:val="00340D39"/>
    <w:rsid w:val="00341475"/>
    <w:rsid w:val="00341596"/>
    <w:rsid w:val="00342BEB"/>
    <w:rsid w:val="00342D33"/>
    <w:rsid w:val="00342F67"/>
    <w:rsid w:val="00343227"/>
    <w:rsid w:val="0034352B"/>
    <w:rsid w:val="0034357E"/>
    <w:rsid w:val="00343F6B"/>
    <w:rsid w:val="00343FA3"/>
    <w:rsid w:val="00344A7C"/>
    <w:rsid w:val="00345453"/>
    <w:rsid w:val="00345617"/>
    <w:rsid w:val="00345C02"/>
    <w:rsid w:val="00345D89"/>
    <w:rsid w:val="003466CA"/>
    <w:rsid w:val="00346C0B"/>
    <w:rsid w:val="0034701F"/>
    <w:rsid w:val="0034727C"/>
    <w:rsid w:val="00347772"/>
    <w:rsid w:val="00347A55"/>
    <w:rsid w:val="00347E2D"/>
    <w:rsid w:val="003504ED"/>
    <w:rsid w:val="0035069A"/>
    <w:rsid w:val="00350B0E"/>
    <w:rsid w:val="003515D3"/>
    <w:rsid w:val="00351BC1"/>
    <w:rsid w:val="00351BFE"/>
    <w:rsid w:val="00351E73"/>
    <w:rsid w:val="0035208C"/>
    <w:rsid w:val="00352908"/>
    <w:rsid w:val="00352999"/>
    <w:rsid w:val="00352A0A"/>
    <w:rsid w:val="00352AE1"/>
    <w:rsid w:val="00352C06"/>
    <w:rsid w:val="00352C12"/>
    <w:rsid w:val="00352E2A"/>
    <w:rsid w:val="003539E7"/>
    <w:rsid w:val="00353AB2"/>
    <w:rsid w:val="00353D88"/>
    <w:rsid w:val="00353DF7"/>
    <w:rsid w:val="003545C8"/>
    <w:rsid w:val="003548C5"/>
    <w:rsid w:val="00354D69"/>
    <w:rsid w:val="00354F99"/>
    <w:rsid w:val="00355014"/>
    <w:rsid w:val="00355269"/>
    <w:rsid w:val="003552DE"/>
    <w:rsid w:val="00355844"/>
    <w:rsid w:val="00355F8B"/>
    <w:rsid w:val="00355FAD"/>
    <w:rsid w:val="00356220"/>
    <w:rsid w:val="0035646E"/>
    <w:rsid w:val="003568B9"/>
    <w:rsid w:val="003573AF"/>
    <w:rsid w:val="0035758F"/>
    <w:rsid w:val="00357C1E"/>
    <w:rsid w:val="00360543"/>
    <w:rsid w:val="003605CA"/>
    <w:rsid w:val="003607AB"/>
    <w:rsid w:val="00360936"/>
    <w:rsid w:val="00360D6D"/>
    <w:rsid w:val="00361463"/>
    <w:rsid w:val="00361823"/>
    <w:rsid w:val="00361BF0"/>
    <w:rsid w:val="00361D2E"/>
    <w:rsid w:val="00361F87"/>
    <w:rsid w:val="0036207C"/>
    <w:rsid w:val="003620C3"/>
    <w:rsid w:val="00362E47"/>
    <w:rsid w:val="00363074"/>
    <w:rsid w:val="003635ED"/>
    <w:rsid w:val="00363883"/>
    <w:rsid w:val="00364665"/>
    <w:rsid w:val="00364927"/>
    <w:rsid w:val="003649DF"/>
    <w:rsid w:val="00365047"/>
    <w:rsid w:val="00365EE1"/>
    <w:rsid w:val="003666E1"/>
    <w:rsid w:val="003669A0"/>
    <w:rsid w:val="003674BD"/>
    <w:rsid w:val="00367572"/>
    <w:rsid w:val="00367C4C"/>
    <w:rsid w:val="00367D09"/>
    <w:rsid w:val="00370535"/>
    <w:rsid w:val="003709CE"/>
    <w:rsid w:val="003712C5"/>
    <w:rsid w:val="0037214F"/>
    <w:rsid w:val="00372861"/>
    <w:rsid w:val="00372EA8"/>
    <w:rsid w:val="00373078"/>
    <w:rsid w:val="003738E9"/>
    <w:rsid w:val="003739B5"/>
    <w:rsid w:val="00373B69"/>
    <w:rsid w:val="0037478D"/>
    <w:rsid w:val="00374D8B"/>
    <w:rsid w:val="0037556D"/>
    <w:rsid w:val="00375F63"/>
    <w:rsid w:val="003761AA"/>
    <w:rsid w:val="00377212"/>
    <w:rsid w:val="003772B3"/>
    <w:rsid w:val="00377334"/>
    <w:rsid w:val="003774B9"/>
    <w:rsid w:val="00377DF3"/>
    <w:rsid w:val="00380119"/>
    <w:rsid w:val="003805A2"/>
    <w:rsid w:val="00380AC3"/>
    <w:rsid w:val="00380BA4"/>
    <w:rsid w:val="0038158E"/>
    <w:rsid w:val="00381921"/>
    <w:rsid w:val="003819BD"/>
    <w:rsid w:val="00381E07"/>
    <w:rsid w:val="00381E82"/>
    <w:rsid w:val="003824DF"/>
    <w:rsid w:val="00382F78"/>
    <w:rsid w:val="00383041"/>
    <w:rsid w:val="003832AA"/>
    <w:rsid w:val="00383BF4"/>
    <w:rsid w:val="00383BFD"/>
    <w:rsid w:val="003841AC"/>
    <w:rsid w:val="003845D8"/>
    <w:rsid w:val="00384605"/>
    <w:rsid w:val="003847AD"/>
    <w:rsid w:val="00384E94"/>
    <w:rsid w:val="00384EA4"/>
    <w:rsid w:val="0038523C"/>
    <w:rsid w:val="00385A62"/>
    <w:rsid w:val="00386623"/>
    <w:rsid w:val="0038666B"/>
    <w:rsid w:val="00386D35"/>
    <w:rsid w:val="003875DF"/>
    <w:rsid w:val="003877C3"/>
    <w:rsid w:val="00387CA2"/>
    <w:rsid w:val="00390063"/>
    <w:rsid w:val="003906B4"/>
    <w:rsid w:val="003906BA"/>
    <w:rsid w:val="00390773"/>
    <w:rsid w:val="00390914"/>
    <w:rsid w:val="00390991"/>
    <w:rsid w:val="00390E6A"/>
    <w:rsid w:val="00391525"/>
    <w:rsid w:val="00391643"/>
    <w:rsid w:val="00391679"/>
    <w:rsid w:val="00391AF0"/>
    <w:rsid w:val="00391D62"/>
    <w:rsid w:val="00391D6D"/>
    <w:rsid w:val="00391DE5"/>
    <w:rsid w:val="0039241C"/>
    <w:rsid w:val="00392735"/>
    <w:rsid w:val="00392CDB"/>
    <w:rsid w:val="00392D70"/>
    <w:rsid w:val="00393211"/>
    <w:rsid w:val="0039341E"/>
    <w:rsid w:val="00393829"/>
    <w:rsid w:val="00393E88"/>
    <w:rsid w:val="00394239"/>
    <w:rsid w:val="0039439D"/>
    <w:rsid w:val="0039555B"/>
    <w:rsid w:val="0039576D"/>
    <w:rsid w:val="00396535"/>
    <w:rsid w:val="003966F8"/>
    <w:rsid w:val="00396C10"/>
    <w:rsid w:val="00397005"/>
    <w:rsid w:val="00397118"/>
    <w:rsid w:val="0039714C"/>
    <w:rsid w:val="003973B3"/>
    <w:rsid w:val="003977EC"/>
    <w:rsid w:val="003A0F10"/>
    <w:rsid w:val="003A10D1"/>
    <w:rsid w:val="003A143E"/>
    <w:rsid w:val="003A169A"/>
    <w:rsid w:val="003A18DE"/>
    <w:rsid w:val="003A19CB"/>
    <w:rsid w:val="003A1A38"/>
    <w:rsid w:val="003A1E72"/>
    <w:rsid w:val="003A2046"/>
    <w:rsid w:val="003A22C7"/>
    <w:rsid w:val="003A249B"/>
    <w:rsid w:val="003A2769"/>
    <w:rsid w:val="003A287E"/>
    <w:rsid w:val="003A2EAA"/>
    <w:rsid w:val="003A3ABB"/>
    <w:rsid w:val="003A3D70"/>
    <w:rsid w:val="003A3ECD"/>
    <w:rsid w:val="003A3F7C"/>
    <w:rsid w:val="003A419E"/>
    <w:rsid w:val="003A48EB"/>
    <w:rsid w:val="003A4AD4"/>
    <w:rsid w:val="003A4D3A"/>
    <w:rsid w:val="003A5AA9"/>
    <w:rsid w:val="003A60D9"/>
    <w:rsid w:val="003A6200"/>
    <w:rsid w:val="003A64F4"/>
    <w:rsid w:val="003A6C71"/>
    <w:rsid w:val="003A6E3F"/>
    <w:rsid w:val="003A71FB"/>
    <w:rsid w:val="003A74DA"/>
    <w:rsid w:val="003A7E67"/>
    <w:rsid w:val="003A7EE6"/>
    <w:rsid w:val="003B03EF"/>
    <w:rsid w:val="003B04C7"/>
    <w:rsid w:val="003B0541"/>
    <w:rsid w:val="003B0577"/>
    <w:rsid w:val="003B0A91"/>
    <w:rsid w:val="003B1497"/>
    <w:rsid w:val="003B17FE"/>
    <w:rsid w:val="003B20C9"/>
    <w:rsid w:val="003B2105"/>
    <w:rsid w:val="003B21AC"/>
    <w:rsid w:val="003B258D"/>
    <w:rsid w:val="003B29C2"/>
    <w:rsid w:val="003B29CD"/>
    <w:rsid w:val="003B2C00"/>
    <w:rsid w:val="003B3021"/>
    <w:rsid w:val="003B302E"/>
    <w:rsid w:val="003B3121"/>
    <w:rsid w:val="003B3347"/>
    <w:rsid w:val="003B3D19"/>
    <w:rsid w:val="003B3DD9"/>
    <w:rsid w:val="003B40F1"/>
    <w:rsid w:val="003B4415"/>
    <w:rsid w:val="003B48C3"/>
    <w:rsid w:val="003B4ABC"/>
    <w:rsid w:val="003B4D2B"/>
    <w:rsid w:val="003B4D2E"/>
    <w:rsid w:val="003B4DC9"/>
    <w:rsid w:val="003B510C"/>
    <w:rsid w:val="003B5284"/>
    <w:rsid w:val="003B55D6"/>
    <w:rsid w:val="003B562C"/>
    <w:rsid w:val="003B58B3"/>
    <w:rsid w:val="003B58D2"/>
    <w:rsid w:val="003B593E"/>
    <w:rsid w:val="003B5CE3"/>
    <w:rsid w:val="003B65E4"/>
    <w:rsid w:val="003B66DE"/>
    <w:rsid w:val="003B68C4"/>
    <w:rsid w:val="003B726C"/>
    <w:rsid w:val="003B72E5"/>
    <w:rsid w:val="003B733A"/>
    <w:rsid w:val="003B743A"/>
    <w:rsid w:val="003B7CB4"/>
    <w:rsid w:val="003C00F4"/>
    <w:rsid w:val="003C02ED"/>
    <w:rsid w:val="003C036F"/>
    <w:rsid w:val="003C0594"/>
    <w:rsid w:val="003C08A4"/>
    <w:rsid w:val="003C1680"/>
    <w:rsid w:val="003C2765"/>
    <w:rsid w:val="003C2A23"/>
    <w:rsid w:val="003C2D1E"/>
    <w:rsid w:val="003C3058"/>
    <w:rsid w:val="003C335D"/>
    <w:rsid w:val="003C37FE"/>
    <w:rsid w:val="003C39EB"/>
    <w:rsid w:val="003C4443"/>
    <w:rsid w:val="003C4DDE"/>
    <w:rsid w:val="003C57BF"/>
    <w:rsid w:val="003C60A9"/>
    <w:rsid w:val="003C62BF"/>
    <w:rsid w:val="003C648E"/>
    <w:rsid w:val="003C6E8B"/>
    <w:rsid w:val="003C706E"/>
    <w:rsid w:val="003C74E7"/>
    <w:rsid w:val="003C74FD"/>
    <w:rsid w:val="003C7F8E"/>
    <w:rsid w:val="003D0514"/>
    <w:rsid w:val="003D0FE4"/>
    <w:rsid w:val="003D13D4"/>
    <w:rsid w:val="003D14F5"/>
    <w:rsid w:val="003D1D6E"/>
    <w:rsid w:val="003D242E"/>
    <w:rsid w:val="003D2B33"/>
    <w:rsid w:val="003D2D54"/>
    <w:rsid w:val="003D2E54"/>
    <w:rsid w:val="003D3290"/>
    <w:rsid w:val="003D3517"/>
    <w:rsid w:val="003D367B"/>
    <w:rsid w:val="003D37D6"/>
    <w:rsid w:val="003D3A23"/>
    <w:rsid w:val="003D3DFA"/>
    <w:rsid w:val="003D3F5E"/>
    <w:rsid w:val="003D4137"/>
    <w:rsid w:val="003D416B"/>
    <w:rsid w:val="003D43E2"/>
    <w:rsid w:val="003D4503"/>
    <w:rsid w:val="003D4F39"/>
    <w:rsid w:val="003D5FE9"/>
    <w:rsid w:val="003D6114"/>
    <w:rsid w:val="003D611F"/>
    <w:rsid w:val="003D7431"/>
    <w:rsid w:val="003D7919"/>
    <w:rsid w:val="003D7C4B"/>
    <w:rsid w:val="003D7CF7"/>
    <w:rsid w:val="003D7EFE"/>
    <w:rsid w:val="003D7F34"/>
    <w:rsid w:val="003D7F8D"/>
    <w:rsid w:val="003D7FA0"/>
    <w:rsid w:val="003E0569"/>
    <w:rsid w:val="003E08C7"/>
    <w:rsid w:val="003E094D"/>
    <w:rsid w:val="003E102D"/>
    <w:rsid w:val="003E1807"/>
    <w:rsid w:val="003E18CA"/>
    <w:rsid w:val="003E1D2B"/>
    <w:rsid w:val="003E218A"/>
    <w:rsid w:val="003E2401"/>
    <w:rsid w:val="003E2AD4"/>
    <w:rsid w:val="003E37BF"/>
    <w:rsid w:val="003E37CF"/>
    <w:rsid w:val="003E3869"/>
    <w:rsid w:val="003E388D"/>
    <w:rsid w:val="003E4291"/>
    <w:rsid w:val="003E469B"/>
    <w:rsid w:val="003E4706"/>
    <w:rsid w:val="003E47AD"/>
    <w:rsid w:val="003E4B10"/>
    <w:rsid w:val="003E4D8F"/>
    <w:rsid w:val="003E4E1D"/>
    <w:rsid w:val="003E58DD"/>
    <w:rsid w:val="003E5A72"/>
    <w:rsid w:val="003E5A88"/>
    <w:rsid w:val="003E6480"/>
    <w:rsid w:val="003E6488"/>
    <w:rsid w:val="003E6606"/>
    <w:rsid w:val="003E6C20"/>
    <w:rsid w:val="003E739A"/>
    <w:rsid w:val="003E75AD"/>
    <w:rsid w:val="003E7B73"/>
    <w:rsid w:val="003E7F68"/>
    <w:rsid w:val="003F0330"/>
    <w:rsid w:val="003F05C5"/>
    <w:rsid w:val="003F05E6"/>
    <w:rsid w:val="003F06C8"/>
    <w:rsid w:val="003F08E1"/>
    <w:rsid w:val="003F0C5F"/>
    <w:rsid w:val="003F1573"/>
    <w:rsid w:val="003F1DBE"/>
    <w:rsid w:val="003F1E87"/>
    <w:rsid w:val="003F1EEA"/>
    <w:rsid w:val="003F2340"/>
    <w:rsid w:val="003F261B"/>
    <w:rsid w:val="003F2D8F"/>
    <w:rsid w:val="003F385F"/>
    <w:rsid w:val="003F3BC2"/>
    <w:rsid w:val="003F401F"/>
    <w:rsid w:val="003F40AC"/>
    <w:rsid w:val="003F43D8"/>
    <w:rsid w:val="003F45F6"/>
    <w:rsid w:val="003F4891"/>
    <w:rsid w:val="003F514A"/>
    <w:rsid w:val="003F5502"/>
    <w:rsid w:val="003F57AE"/>
    <w:rsid w:val="003F6081"/>
    <w:rsid w:val="003F6850"/>
    <w:rsid w:val="003F69DC"/>
    <w:rsid w:val="003F6ADB"/>
    <w:rsid w:val="003F6AF7"/>
    <w:rsid w:val="003F6CD3"/>
    <w:rsid w:val="003F70CD"/>
    <w:rsid w:val="003F790D"/>
    <w:rsid w:val="003F7B1A"/>
    <w:rsid w:val="003F7DFD"/>
    <w:rsid w:val="00400132"/>
    <w:rsid w:val="004001A9"/>
    <w:rsid w:val="0040025A"/>
    <w:rsid w:val="004003ED"/>
    <w:rsid w:val="0040041A"/>
    <w:rsid w:val="00400505"/>
    <w:rsid w:val="00401783"/>
    <w:rsid w:val="004017B0"/>
    <w:rsid w:val="004018F9"/>
    <w:rsid w:val="004018FD"/>
    <w:rsid w:val="00401ACB"/>
    <w:rsid w:val="0040211F"/>
    <w:rsid w:val="004021CD"/>
    <w:rsid w:val="004028BF"/>
    <w:rsid w:val="00402D12"/>
    <w:rsid w:val="0040311A"/>
    <w:rsid w:val="00403397"/>
    <w:rsid w:val="004033AF"/>
    <w:rsid w:val="0040344F"/>
    <w:rsid w:val="00403DB6"/>
    <w:rsid w:val="0040487B"/>
    <w:rsid w:val="004048B7"/>
    <w:rsid w:val="004050F2"/>
    <w:rsid w:val="004053F6"/>
    <w:rsid w:val="0040581F"/>
    <w:rsid w:val="00405A59"/>
    <w:rsid w:val="00406535"/>
    <w:rsid w:val="004065BE"/>
    <w:rsid w:val="00406923"/>
    <w:rsid w:val="00406BC5"/>
    <w:rsid w:val="00406F07"/>
    <w:rsid w:val="0040775A"/>
    <w:rsid w:val="004079A8"/>
    <w:rsid w:val="00407FC4"/>
    <w:rsid w:val="00410422"/>
    <w:rsid w:val="004107E1"/>
    <w:rsid w:val="00410975"/>
    <w:rsid w:val="00410A5E"/>
    <w:rsid w:val="00410AB9"/>
    <w:rsid w:val="0041152E"/>
    <w:rsid w:val="004115D6"/>
    <w:rsid w:val="00411737"/>
    <w:rsid w:val="00411E93"/>
    <w:rsid w:val="0041280E"/>
    <w:rsid w:val="004129CD"/>
    <w:rsid w:val="0041319B"/>
    <w:rsid w:val="00413332"/>
    <w:rsid w:val="004135DE"/>
    <w:rsid w:val="004148DC"/>
    <w:rsid w:val="00414E3D"/>
    <w:rsid w:val="00415315"/>
    <w:rsid w:val="0041591B"/>
    <w:rsid w:val="00415CFC"/>
    <w:rsid w:val="00416043"/>
    <w:rsid w:val="0041639C"/>
    <w:rsid w:val="00416451"/>
    <w:rsid w:val="004166CC"/>
    <w:rsid w:val="00416BDE"/>
    <w:rsid w:val="00417340"/>
    <w:rsid w:val="00417AAD"/>
    <w:rsid w:val="00417ED5"/>
    <w:rsid w:val="00420009"/>
    <w:rsid w:val="00420845"/>
    <w:rsid w:val="00420B59"/>
    <w:rsid w:val="00421450"/>
    <w:rsid w:val="00421C08"/>
    <w:rsid w:val="0042220A"/>
    <w:rsid w:val="004226D8"/>
    <w:rsid w:val="004227C8"/>
    <w:rsid w:val="004233B4"/>
    <w:rsid w:val="004234D9"/>
    <w:rsid w:val="004234F6"/>
    <w:rsid w:val="00423532"/>
    <w:rsid w:val="00423621"/>
    <w:rsid w:val="00423DEB"/>
    <w:rsid w:val="004245BF"/>
    <w:rsid w:val="00424AE0"/>
    <w:rsid w:val="00424E00"/>
    <w:rsid w:val="00425191"/>
    <w:rsid w:val="004252B1"/>
    <w:rsid w:val="00425485"/>
    <w:rsid w:val="00425C62"/>
    <w:rsid w:val="00426296"/>
    <w:rsid w:val="00426A15"/>
    <w:rsid w:val="00426E25"/>
    <w:rsid w:val="004271D0"/>
    <w:rsid w:val="00427582"/>
    <w:rsid w:val="00427811"/>
    <w:rsid w:val="00427DD4"/>
    <w:rsid w:val="0043069D"/>
    <w:rsid w:val="004313CF"/>
    <w:rsid w:val="0043149B"/>
    <w:rsid w:val="00432187"/>
    <w:rsid w:val="00432F40"/>
    <w:rsid w:val="0043322C"/>
    <w:rsid w:val="004335C4"/>
    <w:rsid w:val="004336CA"/>
    <w:rsid w:val="004337CA"/>
    <w:rsid w:val="00433C74"/>
    <w:rsid w:val="00433FC9"/>
    <w:rsid w:val="00434B2B"/>
    <w:rsid w:val="00435263"/>
    <w:rsid w:val="00435306"/>
    <w:rsid w:val="00435EDA"/>
    <w:rsid w:val="00435F55"/>
    <w:rsid w:val="0043645C"/>
    <w:rsid w:val="00436F9D"/>
    <w:rsid w:val="00437D79"/>
    <w:rsid w:val="00437F55"/>
    <w:rsid w:val="00437FED"/>
    <w:rsid w:val="00440086"/>
    <w:rsid w:val="004400BD"/>
    <w:rsid w:val="00440978"/>
    <w:rsid w:val="00440E4B"/>
    <w:rsid w:val="00441423"/>
    <w:rsid w:val="004419F2"/>
    <w:rsid w:val="00441B8C"/>
    <w:rsid w:val="00441FE0"/>
    <w:rsid w:val="0044232B"/>
    <w:rsid w:val="00442545"/>
    <w:rsid w:val="00442561"/>
    <w:rsid w:val="004428AA"/>
    <w:rsid w:val="004428CE"/>
    <w:rsid w:val="00442BB5"/>
    <w:rsid w:val="004430CE"/>
    <w:rsid w:val="00443446"/>
    <w:rsid w:val="00444700"/>
    <w:rsid w:val="00444E3F"/>
    <w:rsid w:val="004452EB"/>
    <w:rsid w:val="0044531F"/>
    <w:rsid w:val="0044559F"/>
    <w:rsid w:val="0044561D"/>
    <w:rsid w:val="00445BDC"/>
    <w:rsid w:val="00445D31"/>
    <w:rsid w:val="00446AE2"/>
    <w:rsid w:val="00446F5E"/>
    <w:rsid w:val="00447092"/>
    <w:rsid w:val="00447204"/>
    <w:rsid w:val="0044738C"/>
    <w:rsid w:val="00450343"/>
    <w:rsid w:val="004504DE"/>
    <w:rsid w:val="00450E98"/>
    <w:rsid w:val="00450FCE"/>
    <w:rsid w:val="00451584"/>
    <w:rsid w:val="00451BA5"/>
    <w:rsid w:val="00451F80"/>
    <w:rsid w:val="00452542"/>
    <w:rsid w:val="00452677"/>
    <w:rsid w:val="004526D2"/>
    <w:rsid w:val="00452E07"/>
    <w:rsid w:val="0045359D"/>
    <w:rsid w:val="00453623"/>
    <w:rsid w:val="004536C6"/>
    <w:rsid w:val="00453726"/>
    <w:rsid w:val="004537D7"/>
    <w:rsid w:val="00453B82"/>
    <w:rsid w:val="00453F7E"/>
    <w:rsid w:val="0045429E"/>
    <w:rsid w:val="00454CAC"/>
    <w:rsid w:val="00454E1E"/>
    <w:rsid w:val="00455227"/>
    <w:rsid w:val="004555D7"/>
    <w:rsid w:val="00455728"/>
    <w:rsid w:val="00455822"/>
    <w:rsid w:val="00455AB9"/>
    <w:rsid w:val="00455D4D"/>
    <w:rsid w:val="0045636F"/>
    <w:rsid w:val="00456FAE"/>
    <w:rsid w:val="00457112"/>
    <w:rsid w:val="0045798B"/>
    <w:rsid w:val="0046031D"/>
    <w:rsid w:val="00460B46"/>
    <w:rsid w:val="00460BCB"/>
    <w:rsid w:val="00460BE2"/>
    <w:rsid w:val="00460D15"/>
    <w:rsid w:val="0046123C"/>
    <w:rsid w:val="00461953"/>
    <w:rsid w:val="004619AE"/>
    <w:rsid w:val="00461C31"/>
    <w:rsid w:val="0046235F"/>
    <w:rsid w:val="00462A3C"/>
    <w:rsid w:val="0046305D"/>
    <w:rsid w:val="00463676"/>
    <w:rsid w:val="004638A8"/>
    <w:rsid w:val="00464301"/>
    <w:rsid w:val="00464558"/>
    <w:rsid w:val="004649AC"/>
    <w:rsid w:val="00464B2A"/>
    <w:rsid w:val="00464D1B"/>
    <w:rsid w:val="00465D14"/>
    <w:rsid w:val="00465E27"/>
    <w:rsid w:val="00466219"/>
    <w:rsid w:val="004667D6"/>
    <w:rsid w:val="00466868"/>
    <w:rsid w:val="004671DF"/>
    <w:rsid w:val="004674DA"/>
    <w:rsid w:val="00467943"/>
    <w:rsid w:val="00467BC7"/>
    <w:rsid w:val="00467D38"/>
    <w:rsid w:val="0047031F"/>
    <w:rsid w:val="004703FA"/>
    <w:rsid w:val="0047058F"/>
    <w:rsid w:val="00470806"/>
    <w:rsid w:val="004711FD"/>
    <w:rsid w:val="00472053"/>
    <w:rsid w:val="004725AA"/>
    <w:rsid w:val="0047263D"/>
    <w:rsid w:val="00472F4F"/>
    <w:rsid w:val="00473083"/>
    <w:rsid w:val="004737D5"/>
    <w:rsid w:val="00473CAF"/>
    <w:rsid w:val="004741F3"/>
    <w:rsid w:val="0047461A"/>
    <w:rsid w:val="004748BD"/>
    <w:rsid w:val="00474991"/>
    <w:rsid w:val="00474EED"/>
    <w:rsid w:val="00474F88"/>
    <w:rsid w:val="004757B9"/>
    <w:rsid w:val="00475893"/>
    <w:rsid w:val="00475ECC"/>
    <w:rsid w:val="00476699"/>
    <w:rsid w:val="004766BE"/>
    <w:rsid w:val="004766E5"/>
    <w:rsid w:val="00476B3B"/>
    <w:rsid w:val="00476F9A"/>
    <w:rsid w:val="004774AC"/>
    <w:rsid w:val="00477658"/>
    <w:rsid w:val="0047784E"/>
    <w:rsid w:val="00477885"/>
    <w:rsid w:val="004779ED"/>
    <w:rsid w:val="00477DA1"/>
    <w:rsid w:val="004808D1"/>
    <w:rsid w:val="00480CDA"/>
    <w:rsid w:val="0048138D"/>
    <w:rsid w:val="00481C8E"/>
    <w:rsid w:val="00481C94"/>
    <w:rsid w:val="004821F7"/>
    <w:rsid w:val="004832C4"/>
    <w:rsid w:val="00483A52"/>
    <w:rsid w:val="00483AEA"/>
    <w:rsid w:val="00484ADB"/>
    <w:rsid w:val="00484C39"/>
    <w:rsid w:val="00485075"/>
    <w:rsid w:val="00485363"/>
    <w:rsid w:val="00485373"/>
    <w:rsid w:val="00485535"/>
    <w:rsid w:val="0048582D"/>
    <w:rsid w:val="0048593A"/>
    <w:rsid w:val="004863F8"/>
    <w:rsid w:val="004868D0"/>
    <w:rsid w:val="00486D77"/>
    <w:rsid w:val="004879CF"/>
    <w:rsid w:val="00487A18"/>
    <w:rsid w:val="00487C47"/>
    <w:rsid w:val="004904FF"/>
    <w:rsid w:val="00490D6C"/>
    <w:rsid w:val="00490E5B"/>
    <w:rsid w:val="00490E9A"/>
    <w:rsid w:val="0049102B"/>
    <w:rsid w:val="00491267"/>
    <w:rsid w:val="0049192E"/>
    <w:rsid w:val="00491AF3"/>
    <w:rsid w:val="004920BE"/>
    <w:rsid w:val="004921C9"/>
    <w:rsid w:val="0049258A"/>
    <w:rsid w:val="00492CD7"/>
    <w:rsid w:val="00492D46"/>
    <w:rsid w:val="004939A4"/>
    <w:rsid w:val="00493A8B"/>
    <w:rsid w:val="00493DE0"/>
    <w:rsid w:val="0049416F"/>
    <w:rsid w:val="0049456C"/>
    <w:rsid w:val="00494D4E"/>
    <w:rsid w:val="004950FC"/>
    <w:rsid w:val="004956EE"/>
    <w:rsid w:val="00495EF4"/>
    <w:rsid w:val="00496085"/>
    <w:rsid w:val="004963C1"/>
    <w:rsid w:val="004970EE"/>
    <w:rsid w:val="00497375"/>
    <w:rsid w:val="004978EA"/>
    <w:rsid w:val="004A0291"/>
    <w:rsid w:val="004A063D"/>
    <w:rsid w:val="004A0CA1"/>
    <w:rsid w:val="004A13B3"/>
    <w:rsid w:val="004A16FA"/>
    <w:rsid w:val="004A1D6C"/>
    <w:rsid w:val="004A2083"/>
    <w:rsid w:val="004A2294"/>
    <w:rsid w:val="004A294B"/>
    <w:rsid w:val="004A3C0D"/>
    <w:rsid w:val="004A3C85"/>
    <w:rsid w:val="004A3F4F"/>
    <w:rsid w:val="004A415E"/>
    <w:rsid w:val="004A434E"/>
    <w:rsid w:val="004A476B"/>
    <w:rsid w:val="004A4C52"/>
    <w:rsid w:val="004A5276"/>
    <w:rsid w:val="004A570F"/>
    <w:rsid w:val="004A571A"/>
    <w:rsid w:val="004A5809"/>
    <w:rsid w:val="004A58FC"/>
    <w:rsid w:val="004A60B9"/>
    <w:rsid w:val="004A611F"/>
    <w:rsid w:val="004A6169"/>
    <w:rsid w:val="004A65C6"/>
    <w:rsid w:val="004A6AA1"/>
    <w:rsid w:val="004A7A2E"/>
    <w:rsid w:val="004A7F1A"/>
    <w:rsid w:val="004B0234"/>
    <w:rsid w:val="004B0737"/>
    <w:rsid w:val="004B11AA"/>
    <w:rsid w:val="004B130E"/>
    <w:rsid w:val="004B2202"/>
    <w:rsid w:val="004B242E"/>
    <w:rsid w:val="004B2735"/>
    <w:rsid w:val="004B27FF"/>
    <w:rsid w:val="004B2949"/>
    <w:rsid w:val="004B2A8D"/>
    <w:rsid w:val="004B2BBE"/>
    <w:rsid w:val="004B2FCF"/>
    <w:rsid w:val="004B3049"/>
    <w:rsid w:val="004B3300"/>
    <w:rsid w:val="004B39CE"/>
    <w:rsid w:val="004B3AA9"/>
    <w:rsid w:val="004B3D91"/>
    <w:rsid w:val="004B4069"/>
    <w:rsid w:val="004B4389"/>
    <w:rsid w:val="004B50F4"/>
    <w:rsid w:val="004B5521"/>
    <w:rsid w:val="004B5802"/>
    <w:rsid w:val="004B5B77"/>
    <w:rsid w:val="004B5F05"/>
    <w:rsid w:val="004B60D8"/>
    <w:rsid w:val="004B61FA"/>
    <w:rsid w:val="004B6DDC"/>
    <w:rsid w:val="004B77F0"/>
    <w:rsid w:val="004C05AF"/>
    <w:rsid w:val="004C06AA"/>
    <w:rsid w:val="004C149B"/>
    <w:rsid w:val="004C15FC"/>
    <w:rsid w:val="004C194F"/>
    <w:rsid w:val="004C1FC2"/>
    <w:rsid w:val="004C2DFA"/>
    <w:rsid w:val="004C33AD"/>
    <w:rsid w:val="004C3445"/>
    <w:rsid w:val="004C35F4"/>
    <w:rsid w:val="004C4657"/>
    <w:rsid w:val="004C46B6"/>
    <w:rsid w:val="004C4F92"/>
    <w:rsid w:val="004C552B"/>
    <w:rsid w:val="004C5B08"/>
    <w:rsid w:val="004C5CAB"/>
    <w:rsid w:val="004C5D8D"/>
    <w:rsid w:val="004C620C"/>
    <w:rsid w:val="004C6226"/>
    <w:rsid w:val="004C6242"/>
    <w:rsid w:val="004C69FE"/>
    <w:rsid w:val="004C6A07"/>
    <w:rsid w:val="004C6BE0"/>
    <w:rsid w:val="004C6FEA"/>
    <w:rsid w:val="004C7A79"/>
    <w:rsid w:val="004C7A82"/>
    <w:rsid w:val="004D00B9"/>
    <w:rsid w:val="004D0285"/>
    <w:rsid w:val="004D03A7"/>
    <w:rsid w:val="004D0478"/>
    <w:rsid w:val="004D060D"/>
    <w:rsid w:val="004D0BDD"/>
    <w:rsid w:val="004D0E97"/>
    <w:rsid w:val="004D125D"/>
    <w:rsid w:val="004D12A9"/>
    <w:rsid w:val="004D27DC"/>
    <w:rsid w:val="004D2BA9"/>
    <w:rsid w:val="004D2C4E"/>
    <w:rsid w:val="004D3163"/>
    <w:rsid w:val="004D31E3"/>
    <w:rsid w:val="004D3356"/>
    <w:rsid w:val="004D362E"/>
    <w:rsid w:val="004D3C87"/>
    <w:rsid w:val="004D453B"/>
    <w:rsid w:val="004D4817"/>
    <w:rsid w:val="004D4F31"/>
    <w:rsid w:val="004D51A0"/>
    <w:rsid w:val="004D51DF"/>
    <w:rsid w:val="004D54D0"/>
    <w:rsid w:val="004D5967"/>
    <w:rsid w:val="004D5998"/>
    <w:rsid w:val="004D5ADE"/>
    <w:rsid w:val="004D60BD"/>
    <w:rsid w:val="004D675F"/>
    <w:rsid w:val="004D686F"/>
    <w:rsid w:val="004D6876"/>
    <w:rsid w:val="004D6C41"/>
    <w:rsid w:val="004D7E4D"/>
    <w:rsid w:val="004D7F1A"/>
    <w:rsid w:val="004D7F3D"/>
    <w:rsid w:val="004D7F45"/>
    <w:rsid w:val="004E01E6"/>
    <w:rsid w:val="004E0B8E"/>
    <w:rsid w:val="004E1322"/>
    <w:rsid w:val="004E158C"/>
    <w:rsid w:val="004E19A9"/>
    <w:rsid w:val="004E1B08"/>
    <w:rsid w:val="004E1C82"/>
    <w:rsid w:val="004E1CAE"/>
    <w:rsid w:val="004E241A"/>
    <w:rsid w:val="004E257C"/>
    <w:rsid w:val="004E2632"/>
    <w:rsid w:val="004E2772"/>
    <w:rsid w:val="004E3023"/>
    <w:rsid w:val="004E323F"/>
    <w:rsid w:val="004E3675"/>
    <w:rsid w:val="004E3889"/>
    <w:rsid w:val="004E443A"/>
    <w:rsid w:val="004E4690"/>
    <w:rsid w:val="004E4AEA"/>
    <w:rsid w:val="004E4CBA"/>
    <w:rsid w:val="004E52A0"/>
    <w:rsid w:val="004E5605"/>
    <w:rsid w:val="004E5E07"/>
    <w:rsid w:val="004E677C"/>
    <w:rsid w:val="004E6AD9"/>
    <w:rsid w:val="004E6F3B"/>
    <w:rsid w:val="004E7012"/>
    <w:rsid w:val="004E76E9"/>
    <w:rsid w:val="004E7F39"/>
    <w:rsid w:val="004F0182"/>
    <w:rsid w:val="004F08F5"/>
    <w:rsid w:val="004F0E8B"/>
    <w:rsid w:val="004F1440"/>
    <w:rsid w:val="004F1527"/>
    <w:rsid w:val="004F16E2"/>
    <w:rsid w:val="004F19E9"/>
    <w:rsid w:val="004F21C7"/>
    <w:rsid w:val="004F2538"/>
    <w:rsid w:val="004F2623"/>
    <w:rsid w:val="004F27A3"/>
    <w:rsid w:val="004F2D94"/>
    <w:rsid w:val="004F31E1"/>
    <w:rsid w:val="004F371E"/>
    <w:rsid w:val="004F407F"/>
    <w:rsid w:val="004F4456"/>
    <w:rsid w:val="004F45FD"/>
    <w:rsid w:val="004F47B5"/>
    <w:rsid w:val="004F483E"/>
    <w:rsid w:val="004F4F27"/>
    <w:rsid w:val="004F55CB"/>
    <w:rsid w:val="004F57AB"/>
    <w:rsid w:val="004F5A9B"/>
    <w:rsid w:val="004F5B56"/>
    <w:rsid w:val="004F5DC0"/>
    <w:rsid w:val="004F6032"/>
    <w:rsid w:val="004F6358"/>
    <w:rsid w:val="004F684D"/>
    <w:rsid w:val="004F6A72"/>
    <w:rsid w:val="004F732D"/>
    <w:rsid w:val="004F77D0"/>
    <w:rsid w:val="004F7E50"/>
    <w:rsid w:val="005001B8"/>
    <w:rsid w:val="0050061B"/>
    <w:rsid w:val="00500B20"/>
    <w:rsid w:val="00500C6E"/>
    <w:rsid w:val="00500D42"/>
    <w:rsid w:val="005010D0"/>
    <w:rsid w:val="005011F1"/>
    <w:rsid w:val="005016F7"/>
    <w:rsid w:val="00501ADE"/>
    <w:rsid w:val="00501C3A"/>
    <w:rsid w:val="005026E6"/>
    <w:rsid w:val="00502752"/>
    <w:rsid w:val="005027B4"/>
    <w:rsid w:val="00502BC5"/>
    <w:rsid w:val="005030DA"/>
    <w:rsid w:val="005035B5"/>
    <w:rsid w:val="0050376D"/>
    <w:rsid w:val="005037C0"/>
    <w:rsid w:val="00504156"/>
    <w:rsid w:val="00504201"/>
    <w:rsid w:val="00504406"/>
    <w:rsid w:val="00505064"/>
    <w:rsid w:val="005051DD"/>
    <w:rsid w:val="005056FB"/>
    <w:rsid w:val="00505720"/>
    <w:rsid w:val="00505E50"/>
    <w:rsid w:val="00506999"/>
    <w:rsid w:val="00507048"/>
    <w:rsid w:val="005070C8"/>
    <w:rsid w:val="005070D7"/>
    <w:rsid w:val="005072E7"/>
    <w:rsid w:val="00507356"/>
    <w:rsid w:val="005075AD"/>
    <w:rsid w:val="0050796B"/>
    <w:rsid w:val="00507A27"/>
    <w:rsid w:val="00507C38"/>
    <w:rsid w:val="005112D7"/>
    <w:rsid w:val="0051145B"/>
    <w:rsid w:val="005114D3"/>
    <w:rsid w:val="005115C4"/>
    <w:rsid w:val="00511A2E"/>
    <w:rsid w:val="00512061"/>
    <w:rsid w:val="005120F2"/>
    <w:rsid w:val="0051236F"/>
    <w:rsid w:val="005130E4"/>
    <w:rsid w:val="00513691"/>
    <w:rsid w:val="00513F25"/>
    <w:rsid w:val="0051490C"/>
    <w:rsid w:val="00514DEC"/>
    <w:rsid w:val="00514E40"/>
    <w:rsid w:val="00514E8C"/>
    <w:rsid w:val="005153CD"/>
    <w:rsid w:val="00515B40"/>
    <w:rsid w:val="00515C1E"/>
    <w:rsid w:val="005162FD"/>
    <w:rsid w:val="00516DA1"/>
    <w:rsid w:val="0051729E"/>
    <w:rsid w:val="005173C7"/>
    <w:rsid w:val="005175DE"/>
    <w:rsid w:val="00517C0A"/>
    <w:rsid w:val="00517C2F"/>
    <w:rsid w:val="00517FE2"/>
    <w:rsid w:val="0052040E"/>
    <w:rsid w:val="005204B9"/>
    <w:rsid w:val="00520C86"/>
    <w:rsid w:val="00520C9A"/>
    <w:rsid w:val="00521B90"/>
    <w:rsid w:val="00521D31"/>
    <w:rsid w:val="00521EAC"/>
    <w:rsid w:val="00522023"/>
    <w:rsid w:val="005229AF"/>
    <w:rsid w:val="00522B94"/>
    <w:rsid w:val="00523146"/>
    <w:rsid w:val="005231B5"/>
    <w:rsid w:val="0052324E"/>
    <w:rsid w:val="00523A30"/>
    <w:rsid w:val="00523C4D"/>
    <w:rsid w:val="00523D4F"/>
    <w:rsid w:val="00523DB9"/>
    <w:rsid w:val="00523E1A"/>
    <w:rsid w:val="00524530"/>
    <w:rsid w:val="00524614"/>
    <w:rsid w:val="0052468C"/>
    <w:rsid w:val="00524AB0"/>
    <w:rsid w:val="00524E45"/>
    <w:rsid w:val="005250C9"/>
    <w:rsid w:val="005251A4"/>
    <w:rsid w:val="0052533D"/>
    <w:rsid w:val="00525DCB"/>
    <w:rsid w:val="00526206"/>
    <w:rsid w:val="00526595"/>
    <w:rsid w:val="0052672E"/>
    <w:rsid w:val="00526C00"/>
    <w:rsid w:val="00527339"/>
    <w:rsid w:val="00527BB8"/>
    <w:rsid w:val="00527C9D"/>
    <w:rsid w:val="00530183"/>
    <w:rsid w:val="00530CCF"/>
    <w:rsid w:val="005312D5"/>
    <w:rsid w:val="00531534"/>
    <w:rsid w:val="00531810"/>
    <w:rsid w:val="00531E30"/>
    <w:rsid w:val="0053221D"/>
    <w:rsid w:val="005323D6"/>
    <w:rsid w:val="0053380C"/>
    <w:rsid w:val="005339E6"/>
    <w:rsid w:val="00533A44"/>
    <w:rsid w:val="005340CD"/>
    <w:rsid w:val="005346D4"/>
    <w:rsid w:val="005346EA"/>
    <w:rsid w:val="00534CAD"/>
    <w:rsid w:val="0053545B"/>
    <w:rsid w:val="00535563"/>
    <w:rsid w:val="005358D1"/>
    <w:rsid w:val="00535D48"/>
    <w:rsid w:val="00535D4F"/>
    <w:rsid w:val="00535E6D"/>
    <w:rsid w:val="00536046"/>
    <w:rsid w:val="0053649C"/>
    <w:rsid w:val="005364A6"/>
    <w:rsid w:val="00536667"/>
    <w:rsid w:val="00536751"/>
    <w:rsid w:val="0053693C"/>
    <w:rsid w:val="00536AB7"/>
    <w:rsid w:val="00536F7C"/>
    <w:rsid w:val="00537822"/>
    <w:rsid w:val="005379AB"/>
    <w:rsid w:val="00537E85"/>
    <w:rsid w:val="00540BFD"/>
    <w:rsid w:val="005416B5"/>
    <w:rsid w:val="00541C29"/>
    <w:rsid w:val="00541CB0"/>
    <w:rsid w:val="00542838"/>
    <w:rsid w:val="00542841"/>
    <w:rsid w:val="00542BBD"/>
    <w:rsid w:val="00542E4F"/>
    <w:rsid w:val="00543319"/>
    <w:rsid w:val="00543D51"/>
    <w:rsid w:val="005448F4"/>
    <w:rsid w:val="00544F25"/>
    <w:rsid w:val="005458C8"/>
    <w:rsid w:val="0054596F"/>
    <w:rsid w:val="00545C35"/>
    <w:rsid w:val="00546231"/>
    <w:rsid w:val="0054639A"/>
    <w:rsid w:val="0054653A"/>
    <w:rsid w:val="005468CE"/>
    <w:rsid w:val="0054696D"/>
    <w:rsid w:val="005470C1"/>
    <w:rsid w:val="00547E18"/>
    <w:rsid w:val="00547EF8"/>
    <w:rsid w:val="0055007E"/>
    <w:rsid w:val="0055062D"/>
    <w:rsid w:val="005506A3"/>
    <w:rsid w:val="00550B5F"/>
    <w:rsid w:val="00550D39"/>
    <w:rsid w:val="00550DA6"/>
    <w:rsid w:val="00551223"/>
    <w:rsid w:val="00551339"/>
    <w:rsid w:val="00551F0F"/>
    <w:rsid w:val="0055225B"/>
    <w:rsid w:val="0055245F"/>
    <w:rsid w:val="005526E6"/>
    <w:rsid w:val="005529B0"/>
    <w:rsid w:val="00552FDA"/>
    <w:rsid w:val="00553121"/>
    <w:rsid w:val="0055334E"/>
    <w:rsid w:val="00553630"/>
    <w:rsid w:val="0055363B"/>
    <w:rsid w:val="00553651"/>
    <w:rsid w:val="005546EB"/>
    <w:rsid w:val="00554923"/>
    <w:rsid w:val="0055498E"/>
    <w:rsid w:val="00554C4D"/>
    <w:rsid w:val="00554E10"/>
    <w:rsid w:val="005550AA"/>
    <w:rsid w:val="00555245"/>
    <w:rsid w:val="005556C7"/>
    <w:rsid w:val="00555C03"/>
    <w:rsid w:val="00555D47"/>
    <w:rsid w:val="00556E94"/>
    <w:rsid w:val="00556EB6"/>
    <w:rsid w:val="00557443"/>
    <w:rsid w:val="005574B2"/>
    <w:rsid w:val="0055770B"/>
    <w:rsid w:val="00557978"/>
    <w:rsid w:val="00557E67"/>
    <w:rsid w:val="00560197"/>
    <w:rsid w:val="0056062F"/>
    <w:rsid w:val="0056083E"/>
    <w:rsid w:val="00560B0D"/>
    <w:rsid w:val="00561022"/>
    <w:rsid w:val="005611A6"/>
    <w:rsid w:val="00561236"/>
    <w:rsid w:val="00561356"/>
    <w:rsid w:val="0056136E"/>
    <w:rsid w:val="005613DF"/>
    <w:rsid w:val="005616F0"/>
    <w:rsid w:val="00561709"/>
    <w:rsid w:val="00561AAC"/>
    <w:rsid w:val="00561B75"/>
    <w:rsid w:val="0056252F"/>
    <w:rsid w:val="00563067"/>
    <w:rsid w:val="00563096"/>
    <w:rsid w:val="0056310D"/>
    <w:rsid w:val="005633EA"/>
    <w:rsid w:val="00563400"/>
    <w:rsid w:val="00563F75"/>
    <w:rsid w:val="005640E1"/>
    <w:rsid w:val="005640F6"/>
    <w:rsid w:val="00564254"/>
    <w:rsid w:val="005645A8"/>
    <w:rsid w:val="005647CF"/>
    <w:rsid w:val="00564A97"/>
    <w:rsid w:val="00564B29"/>
    <w:rsid w:val="00564BF7"/>
    <w:rsid w:val="00565613"/>
    <w:rsid w:val="00565887"/>
    <w:rsid w:val="005659D8"/>
    <w:rsid w:val="00565CAF"/>
    <w:rsid w:val="00565D84"/>
    <w:rsid w:val="00566076"/>
    <w:rsid w:val="005666E0"/>
    <w:rsid w:val="0056689B"/>
    <w:rsid w:val="005668AC"/>
    <w:rsid w:val="0056696E"/>
    <w:rsid w:val="00567765"/>
    <w:rsid w:val="00567939"/>
    <w:rsid w:val="00567BB7"/>
    <w:rsid w:val="00567EA1"/>
    <w:rsid w:val="00570A3A"/>
    <w:rsid w:val="0057117D"/>
    <w:rsid w:val="0057124A"/>
    <w:rsid w:val="0057130E"/>
    <w:rsid w:val="0057169F"/>
    <w:rsid w:val="00571C02"/>
    <w:rsid w:val="00571DDB"/>
    <w:rsid w:val="005728A1"/>
    <w:rsid w:val="00572EF2"/>
    <w:rsid w:val="005730B1"/>
    <w:rsid w:val="00573142"/>
    <w:rsid w:val="00573334"/>
    <w:rsid w:val="00573E08"/>
    <w:rsid w:val="00574227"/>
    <w:rsid w:val="005748EB"/>
    <w:rsid w:val="005749E0"/>
    <w:rsid w:val="00575136"/>
    <w:rsid w:val="0057612B"/>
    <w:rsid w:val="00576474"/>
    <w:rsid w:val="00576483"/>
    <w:rsid w:val="00576E5D"/>
    <w:rsid w:val="00577292"/>
    <w:rsid w:val="005772AD"/>
    <w:rsid w:val="005778EE"/>
    <w:rsid w:val="005779E9"/>
    <w:rsid w:val="00580023"/>
    <w:rsid w:val="00580371"/>
    <w:rsid w:val="00580B54"/>
    <w:rsid w:val="00581959"/>
    <w:rsid w:val="005820B3"/>
    <w:rsid w:val="005827C9"/>
    <w:rsid w:val="00582898"/>
    <w:rsid w:val="00582A44"/>
    <w:rsid w:val="0058300E"/>
    <w:rsid w:val="00583447"/>
    <w:rsid w:val="0058376D"/>
    <w:rsid w:val="00583DCC"/>
    <w:rsid w:val="0058424D"/>
    <w:rsid w:val="005844E9"/>
    <w:rsid w:val="005846F4"/>
    <w:rsid w:val="005848AF"/>
    <w:rsid w:val="00585227"/>
    <w:rsid w:val="005852ED"/>
    <w:rsid w:val="00585598"/>
    <w:rsid w:val="00585CE5"/>
    <w:rsid w:val="0058601F"/>
    <w:rsid w:val="00586026"/>
    <w:rsid w:val="0058606C"/>
    <w:rsid w:val="005869F0"/>
    <w:rsid w:val="005877C2"/>
    <w:rsid w:val="005877DA"/>
    <w:rsid w:val="00587AB5"/>
    <w:rsid w:val="005900E6"/>
    <w:rsid w:val="00590196"/>
    <w:rsid w:val="00590857"/>
    <w:rsid w:val="005908D3"/>
    <w:rsid w:val="00590A3A"/>
    <w:rsid w:val="00590E66"/>
    <w:rsid w:val="005914D6"/>
    <w:rsid w:val="00591584"/>
    <w:rsid w:val="00591FFE"/>
    <w:rsid w:val="00592361"/>
    <w:rsid w:val="00592712"/>
    <w:rsid w:val="0059291F"/>
    <w:rsid w:val="00592EE0"/>
    <w:rsid w:val="00593810"/>
    <w:rsid w:val="0059389B"/>
    <w:rsid w:val="005938A2"/>
    <w:rsid w:val="00593907"/>
    <w:rsid w:val="00593A41"/>
    <w:rsid w:val="00593D36"/>
    <w:rsid w:val="00593E08"/>
    <w:rsid w:val="0059419C"/>
    <w:rsid w:val="00594354"/>
    <w:rsid w:val="0059453E"/>
    <w:rsid w:val="005945B1"/>
    <w:rsid w:val="00594930"/>
    <w:rsid w:val="00594BE9"/>
    <w:rsid w:val="0059526D"/>
    <w:rsid w:val="005952FE"/>
    <w:rsid w:val="005957A8"/>
    <w:rsid w:val="005957F2"/>
    <w:rsid w:val="0059595B"/>
    <w:rsid w:val="00595D2A"/>
    <w:rsid w:val="00595F4D"/>
    <w:rsid w:val="005962DD"/>
    <w:rsid w:val="0059633A"/>
    <w:rsid w:val="00596726"/>
    <w:rsid w:val="005969EF"/>
    <w:rsid w:val="00597349"/>
    <w:rsid w:val="0059776B"/>
    <w:rsid w:val="005979D4"/>
    <w:rsid w:val="00597EBD"/>
    <w:rsid w:val="005A02C6"/>
    <w:rsid w:val="005A08D3"/>
    <w:rsid w:val="005A117D"/>
    <w:rsid w:val="005A1924"/>
    <w:rsid w:val="005A1AA3"/>
    <w:rsid w:val="005A26BA"/>
    <w:rsid w:val="005A27B2"/>
    <w:rsid w:val="005A289A"/>
    <w:rsid w:val="005A2A78"/>
    <w:rsid w:val="005A2EA7"/>
    <w:rsid w:val="005A2F0F"/>
    <w:rsid w:val="005A3AE2"/>
    <w:rsid w:val="005A3DB5"/>
    <w:rsid w:val="005A3E07"/>
    <w:rsid w:val="005A3FEE"/>
    <w:rsid w:val="005A4BE5"/>
    <w:rsid w:val="005A4C8C"/>
    <w:rsid w:val="005A4EFF"/>
    <w:rsid w:val="005A5A3F"/>
    <w:rsid w:val="005A61FC"/>
    <w:rsid w:val="005A670F"/>
    <w:rsid w:val="005A6717"/>
    <w:rsid w:val="005A678D"/>
    <w:rsid w:val="005A6E3C"/>
    <w:rsid w:val="005A6E83"/>
    <w:rsid w:val="005A7397"/>
    <w:rsid w:val="005A7A57"/>
    <w:rsid w:val="005A7D02"/>
    <w:rsid w:val="005B055A"/>
    <w:rsid w:val="005B1147"/>
    <w:rsid w:val="005B17CC"/>
    <w:rsid w:val="005B1B4E"/>
    <w:rsid w:val="005B1C68"/>
    <w:rsid w:val="005B203E"/>
    <w:rsid w:val="005B2860"/>
    <w:rsid w:val="005B342F"/>
    <w:rsid w:val="005B3795"/>
    <w:rsid w:val="005B38FB"/>
    <w:rsid w:val="005B3C1E"/>
    <w:rsid w:val="005B3DF4"/>
    <w:rsid w:val="005B4BB8"/>
    <w:rsid w:val="005B4CD7"/>
    <w:rsid w:val="005B5068"/>
    <w:rsid w:val="005B51BC"/>
    <w:rsid w:val="005B52AC"/>
    <w:rsid w:val="005B52E4"/>
    <w:rsid w:val="005B53C9"/>
    <w:rsid w:val="005B59D2"/>
    <w:rsid w:val="005B66A9"/>
    <w:rsid w:val="005B6F8C"/>
    <w:rsid w:val="005B735F"/>
    <w:rsid w:val="005C06A1"/>
    <w:rsid w:val="005C106F"/>
    <w:rsid w:val="005C1138"/>
    <w:rsid w:val="005C12DD"/>
    <w:rsid w:val="005C209B"/>
    <w:rsid w:val="005C289D"/>
    <w:rsid w:val="005C29D5"/>
    <w:rsid w:val="005C2ED5"/>
    <w:rsid w:val="005C2F6F"/>
    <w:rsid w:val="005C3486"/>
    <w:rsid w:val="005C3ED3"/>
    <w:rsid w:val="005C4052"/>
    <w:rsid w:val="005C42C6"/>
    <w:rsid w:val="005C4491"/>
    <w:rsid w:val="005C4B1A"/>
    <w:rsid w:val="005C4E69"/>
    <w:rsid w:val="005C5508"/>
    <w:rsid w:val="005C6619"/>
    <w:rsid w:val="005C6A8D"/>
    <w:rsid w:val="005C759E"/>
    <w:rsid w:val="005C7733"/>
    <w:rsid w:val="005C7BDC"/>
    <w:rsid w:val="005D08AD"/>
    <w:rsid w:val="005D1719"/>
    <w:rsid w:val="005D194B"/>
    <w:rsid w:val="005D1F69"/>
    <w:rsid w:val="005D2190"/>
    <w:rsid w:val="005D21B0"/>
    <w:rsid w:val="005D24D4"/>
    <w:rsid w:val="005D274A"/>
    <w:rsid w:val="005D2C41"/>
    <w:rsid w:val="005D2C5C"/>
    <w:rsid w:val="005D2D56"/>
    <w:rsid w:val="005D34B6"/>
    <w:rsid w:val="005D3B17"/>
    <w:rsid w:val="005D3B7C"/>
    <w:rsid w:val="005D3E45"/>
    <w:rsid w:val="005D45B0"/>
    <w:rsid w:val="005D49B4"/>
    <w:rsid w:val="005D49B9"/>
    <w:rsid w:val="005D4A88"/>
    <w:rsid w:val="005D4BBC"/>
    <w:rsid w:val="005D5C09"/>
    <w:rsid w:val="005D5E44"/>
    <w:rsid w:val="005D6350"/>
    <w:rsid w:val="005D6424"/>
    <w:rsid w:val="005D66B7"/>
    <w:rsid w:val="005D6BE0"/>
    <w:rsid w:val="005D7347"/>
    <w:rsid w:val="005D735A"/>
    <w:rsid w:val="005D7865"/>
    <w:rsid w:val="005D7A65"/>
    <w:rsid w:val="005D7CB2"/>
    <w:rsid w:val="005E0153"/>
    <w:rsid w:val="005E024E"/>
    <w:rsid w:val="005E04D0"/>
    <w:rsid w:val="005E10E6"/>
    <w:rsid w:val="005E11BF"/>
    <w:rsid w:val="005E140D"/>
    <w:rsid w:val="005E18F6"/>
    <w:rsid w:val="005E1E59"/>
    <w:rsid w:val="005E2647"/>
    <w:rsid w:val="005E2825"/>
    <w:rsid w:val="005E2A65"/>
    <w:rsid w:val="005E2E30"/>
    <w:rsid w:val="005E30EE"/>
    <w:rsid w:val="005E32BE"/>
    <w:rsid w:val="005E338C"/>
    <w:rsid w:val="005E37F4"/>
    <w:rsid w:val="005E3E86"/>
    <w:rsid w:val="005E42B2"/>
    <w:rsid w:val="005E43FB"/>
    <w:rsid w:val="005E503D"/>
    <w:rsid w:val="005E50D8"/>
    <w:rsid w:val="005E522D"/>
    <w:rsid w:val="005E5478"/>
    <w:rsid w:val="005E603E"/>
    <w:rsid w:val="005E659C"/>
    <w:rsid w:val="005E69AC"/>
    <w:rsid w:val="005E6B68"/>
    <w:rsid w:val="005E6D11"/>
    <w:rsid w:val="005E6F08"/>
    <w:rsid w:val="005E713B"/>
    <w:rsid w:val="005E7529"/>
    <w:rsid w:val="005E754C"/>
    <w:rsid w:val="005E77AB"/>
    <w:rsid w:val="005F0276"/>
    <w:rsid w:val="005F0EE7"/>
    <w:rsid w:val="005F0F52"/>
    <w:rsid w:val="005F1311"/>
    <w:rsid w:val="005F135F"/>
    <w:rsid w:val="005F1A9D"/>
    <w:rsid w:val="005F1B10"/>
    <w:rsid w:val="005F1F7B"/>
    <w:rsid w:val="005F282D"/>
    <w:rsid w:val="005F2BEA"/>
    <w:rsid w:val="005F3321"/>
    <w:rsid w:val="005F4231"/>
    <w:rsid w:val="005F44E3"/>
    <w:rsid w:val="005F45AF"/>
    <w:rsid w:val="005F45D6"/>
    <w:rsid w:val="005F4627"/>
    <w:rsid w:val="005F4A3E"/>
    <w:rsid w:val="005F54AC"/>
    <w:rsid w:val="005F59E6"/>
    <w:rsid w:val="005F5B0F"/>
    <w:rsid w:val="005F5DD0"/>
    <w:rsid w:val="005F60CA"/>
    <w:rsid w:val="005F620C"/>
    <w:rsid w:val="005F65FC"/>
    <w:rsid w:val="005F6627"/>
    <w:rsid w:val="005F672D"/>
    <w:rsid w:val="005F6759"/>
    <w:rsid w:val="005F676F"/>
    <w:rsid w:val="005F6A00"/>
    <w:rsid w:val="005F6AE4"/>
    <w:rsid w:val="005F6DDE"/>
    <w:rsid w:val="005F6F2A"/>
    <w:rsid w:val="005F716B"/>
    <w:rsid w:val="005F782D"/>
    <w:rsid w:val="005F78B4"/>
    <w:rsid w:val="005F7BFA"/>
    <w:rsid w:val="005F7E7C"/>
    <w:rsid w:val="005F7EE3"/>
    <w:rsid w:val="006000C5"/>
    <w:rsid w:val="0060010B"/>
    <w:rsid w:val="006003A8"/>
    <w:rsid w:val="00600565"/>
    <w:rsid w:val="00600FD1"/>
    <w:rsid w:val="0060149D"/>
    <w:rsid w:val="006015A3"/>
    <w:rsid w:val="006020AF"/>
    <w:rsid w:val="006021B1"/>
    <w:rsid w:val="006023A4"/>
    <w:rsid w:val="006028F5"/>
    <w:rsid w:val="00602CF1"/>
    <w:rsid w:val="00603226"/>
    <w:rsid w:val="0060382E"/>
    <w:rsid w:val="006038F7"/>
    <w:rsid w:val="0060393F"/>
    <w:rsid w:val="00603D2C"/>
    <w:rsid w:val="00604843"/>
    <w:rsid w:val="0060488D"/>
    <w:rsid w:val="00604D31"/>
    <w:rsid w:val="0060571C"/>
    <w:rsid w:val="00605805"/>
    <w:rsid w:val="006058BF"/>
    <w:rsid w:val="00605D5F"/>
    <w:rsid w:val="00605ED7"/>
    <w:rsid w:val="00606208"/>
    <w:rsid w:val="00606808"/>
    <w:rsid w:val="00606816"/>
    <w:rsid w:val="00606D9F"/>
    <w:rsid w:val="0060778E"/>
    <w:rsid w:val="00607A77"/>
    <w:rsid w:val="0061007A"/>
    <w:rsid w:val="006102CB"/>
    <w:rsid w:val="00610A00"/>
    <w:rsid w:val="0061129E"/>
    <w:rsid w:val="00611675"/>
    <w:rsid w:val="00611B32"/>
    <w:rsid w:val="00611B7A"/>
    <w:rsid w:val="00612479"/>
    <w:rsid w:val="006124DD"/>
    <w:rsid w:val="00612FB3"/>
    <w:rsid w:val="00613052"/>
    <w:rsid w:val="00613152"/>
    <w:rsid w:val="00613C2F"/>
    <w:rsid w:val="0061438E"/>
    <w:rsid w:val="00614792"/>
    <w:rsid w:val="006148ED"/>
    <w:rsid w:val="0061553E"/>
    <w:rsid w:val="00615802"/>
    <w:rsid w:val="006159E5"/>
    <w:rsid w:val="00615B9A"/>
    <w:rsid w:val="00616354"/>
    <w:rsid w:val="006165A8"/>
    <w:rsid w:val="0061668B"/>
    <w:rsid w:val="00616C6E"/>
    <w:rsid w:val="00616EF9"/>
    <w:rsid w:val="00617354"/>
    <w:rsid w:val="0061736E"/>
    <w:rsid w:val="0061744A"/>
    <w:rsid w:val="00617583"/>
    <w:rsid w:val="0061761C"/>
    <w:rsid w:val="00617688"/>
    <w:rsid w:val="006176A2"/>
    <w:rsid w:val="00617A68"/>
    <w:rsid w:val="0062001A"/>
    <w:rsid w:val="0062023F"/>
    <w:rsid w:val="00620A29"/>
    <w:rsid w:val="00620EE8"/>
    <w:rsid w:val="00620FA4"/>
    <w:rsid w:val="006213B1"/>
    <w:rsid w:val="006213D9"/>
    <w:rsid w:val="00621689"/>
    <w:rsid w:val="00621AD6"/>
    <w:rsid w:val="00621C53"/>
    <w:rsid w:val="0062249B"/>
    <w:rsid w:val="006225C2"/>
    <w:rsid w:val="006231C4"/>
    <w:rsid w:val="00623655"/>
    <w:rsid w:val="006239E8"/>
    <w:rsid w:val="00623EED"/>
    <w:rsid w:val="006254B6"/>
    <w:rsid w:val="006257B6"/>
    <w:rsid w:val="00625F0D"/>
    <w:rsid w:val="00625FA1"/>
    <w:rsid w:val="006261B4"/>
    <w:rsid w:val="00626627"/>
    <w:rsid w:val="00626694"/>
    <w:rsid w:val="00626847"/>
    <w:rsid w:val="00627046"/>
    <w:rsid w:val="00630043"/>
    <w:rsid w:val="0063015F"/>
    <w:rsid w:val="00630725"/>
    <w:rsid w:val="00630C8A"/>
    <w:rsid w:val="00630EEC"/>
    <w:rsid w:val="00630F74"/>
    <w:rsid w:val="00630FF1"/>
    <w:rsid w:val="00631003"/>
    <w:rsid w:val="006317AA"/>
    <w:rsid w:val="006318DE"/>
    <w:rsid w:val="006322E9"/>
    <w:rsid w:val="0063247E"/>
    <w:rsid w:val="006324A9"/>
    <w:rsid w:val="00632DE0"/>
    <w:rsid w:val="0063338B"/>
    <w:rsid w:val="00633565"/>
    <w:rsid w:val="00633668"/>
    <w:rsid w:val="0063366F"/>
    <w:rsid w:val="00633C4E"/>
    <w:rsid w:val="00633F1F"/>
    <w:rsid w:val="00633FC3"/>
    <w:rsid w:val="00634383"/>
    <w:rsid w:val="006345A1"/>
    <w:rsid w:val="00634ADC"/>
    <w:rsid w:val="00635512"/>
    <w:rsid w:val="006357B9"/>
    <w:rsid w:val="00635F12"/>
    <w:rsid w:val="00636003"/>
    <w:rsid w:val="00636270"/>
    <w:rsid w:val="006363CD"/>
    <w:rsid w:val="00636864"/>
    <w:rsid w:val="00637170"/>
    <w:rsid w:val="0063718C"/>
    <w:rsid w:val="006372DF"/>
    <w:rsid w:val="0063786E"/>
    <w:rsid w:val="00637ACC"/>
    <w:rsid w:val="00637BF9"/>
    <w:rsid w:val="00637F8A"/>
    <w:rsid w:val="00637FA7"/>
    <w:rsid w:val="0064001E"/>
    <w:rsid w:val="0064041F"/>
    <w:rsid w:val="0064064F"/>
    <w:rsid w:val="006408C5"/>
    <w:rsid w:val="00640AB7"/>
    <w:rsid w:val="00640D31"/>
    <w:rsid w:val="00640E62"/>
    <w:rsid w:val="0064119B"/>
    <w:rsid w:val="00641230"/>
    <w:rsid w:val="006414FF"/>
    <w:rsid w:val="0064158B"/>
    <w:rsid w:val="006415AE"/>
    <w:rsid w:val="006415D7"/>
    <w:rsid w:val="006419C0"/>
    <w:rsid w:val="006420EB"/>
    <w:rsid w:val="00642930"/>
    <w:rsid w:val="00642B36"/>
    <w:rsid w:val="00642C9F"/>
    <w:rsid w:val="00642DAC"/>
    <w:rsid w:val="00644287"/>
    <w:rsid w:val="0064490E"/>
    <w:rsid w:val="00644A42"/>
    <w:rsid w:val="006451C3"/>
    <w:rsid w:val="00645393"/>
    <w:rsid w:val="006458DA"/>
    <w:rsid w:val="00646460"/>
    <w:rsid w:val="00647745"/>
    <w:rsid w:val="00647944"/>
    <w:rsid w:val="006501DC"/>
    <w:rsid w:val="006507F9"/>
    <w:rsid w:val="0065099F"/>
    <w:rsid w:val="00650BBA"/>
    <w:rsid w:val="00650C6E"/>
    <w:rsid w:val="00650CD2"/>
    <w:rsid w:val="00651144"/>
    <w:rsid w:val="006518B8"/>
    <w:rsid w:val="006518CE"/>
    <w:rsid w:val="00651B7B"/>
    <w:rsid w:val="00651C0C"/>
    <w:rsid w:val="00651F38"/>
    <w:rsid w:val="0065272C"/>
    <w:rsid w:val="00653B2F"/>
    <w:rsid w:val="00653DC0"/>
    <w:rsid w:val="00653EC3"/>
    <w:rsid w:val="0065413A"/>
    <w:rsid w:val="00654163"/>
    <w:rsid w:val="00654FF4"/>
    <w:rsid w:val="006551D6"/>
    <w:rsid w:val="00656A70"/>
    <w:rsid w:val="00656B67"/>
    <w:rsid w:val="00656D2E"/>
    <w:rsid w:val="0065729C"/>
    <w:rsid w:val="0065743D"/>
    <w:rsid w:val="00657973"/>
    <w:rsid w:val="0066023E"/>
    <w:rsid w:val="006604AC"/>
    <w:rsid w:val="00660A8D"/>
    <w:rsid w:val="00661458"/>
    <w:rsid w:val="00661470"/>
    <w:rsid w:val="00661E7C"/>
    <w:rsid w:val="00662138"/>
    <w:rsid w:val="006621BF"/>
    <w:rsid w:val="006622DC"/>
    <w:rsid w:val="006629DE"/>
    <w:rsid w:val="006629FC"/>
    <w:rsid w:val="006631D2"/>
    <w:rsid w:val="00663871"/>
    <w:rsid w:val="00663D58"/>
    <w:rsid w:val="00663DEC"/>
    <w:rsid w:val="00664343"/>
    <w:rsid w:val="00664376"/>
    <w:rsid w:val="00664612"/>
    <w:rsid w:val="006651BB"/>
    <w:rsid w:val="00665432"/>
    <w:rsid w:val="00665B4F"/>
    <w:rsid w:val="00665D9E"/>
    <w:rsid w:val="00665F81"/>
    <w:rsid w:val="00666021"/>
    <w:rsid w:val="006663A4"/>
    <w:rsid w:val="0066677A"/>
    <w:rsid w:val="00666943"/>
    <w:rsid w:val="00667B07"/>
    <w:rsid w:val="00667BE7"/>
    <w:rsid w:val="00667C85"/>
    <w:rsid w:val="00667E1C"/>
    <w:rsid w:val="00667F59"/>
    <w:rsid w:val="00670224"/>
    <w:rsid w:val="006704C2"/>
    <w:rsid w:val="00670DD5"/>
    <w:rsid w:val="00671869"/>
    <w:rsid w:val="00671F59"/>
    <w:rsid w:val="006724FD"/>
    <w:rsid w:val="0067256E"/>
    <w:rsid w:val="00672851"/>
    <w:rsid w:val="00672972"/>
    <w:rsid w:val="0067428D"/>
    <w:rsid w:val="006745E1"/>
    <w:rsid w:val="006749B7"/>
    <w:rsid w:val="00674DE4"/>
    <w:rsid w:val="0067501B"/>
    <w:rsid w:val="00675865"/>
    <w:rsid w:val="0067592A"/>
    <w:rsid w:val="00675CD3"/>
    <w:rsid w:val="00675F68"/>
    <w:rsid w:val="006767A2"/>
    <w:rsid w:val="00676DB2"/>
    <w:rsid w:val="00677612"/>
    <w:rsid w:val="00677B54"/>
    <w:rsid w:val="00677B74"/>
    <w:rsid w:val="00677CED"/>
    <w:rsid w:val="00680DA4"/>
    <w:rsid w:val="00680E14"/>
    <w:rsid w:val="0068140E"/>
    <w:rsid w:val="006814AC"/>
    <w:rsid w:val="0068161A"/>
    <w:rsid w:val="0068175D"/>
    <w:rsid w:val="00681A85"/>
    <w:rsid w:val="006825ED"/>
    <w:rsid w:val="006826F1"/>
    <w:rsid w:val="00683739"/>
    <w:rsid w:val="006840DA"/>
    <w:rsid w:val="00684851"/>
    <w:rsid w:val="0068489F"/>
    <w:rsid w:val="0068494B"/>
    <w:rsid w:val="0068537E"/>
    <w:rsid w:val="00685C5B"/>
    <w:rsid w:val="00685D35"/>
    <w:rsid w:val="00686598"/>
    <w:rsid w:val="006865C8"/>
    <w:rsid w:val="0068703C"/>
    <w:rsid w:val="006874D3"/>
    <w:rsid w:val="006875FD"/>
    <w:rsid w:val="00687A9C"/>
    <w:rsid w:val="006901B3"/>
    <w:rsid w:val="006902E4"/>
    <w:rsid w:val="0069031F"/>
    <w:rsid w:val="00690DE5"/>
    <w:rsid w:val="00690DEA"/>
    <w:rsid w:val="006913BE"/>
    <w:rsid w:val="006919ED"/>
    <w:rsid w:val="006922ED"/>
    <w:rsid w:val="00692DED"/>
    <w:rsid w:val="00692ED9"/>
    <w:rsid w:val="00692F53"/>
    <w:rsid w:val="00693528"/>
    <w:rsid w:val="00693FA5"/>
    <w:rsid w:val="00694058"/>
    <w:rsid w:val="00694436"/>
    <w:rsid w:val="00694EBC"/>
    <w:rsid w:val="00694ED9"/>
    <w:rsid w:val="00695388"/>
    <w:rsid w:val="00695677"/>
    <w:rsid w:val="00695B63"/>
    <w:rsid w:val="00695D22"/>
    <w:rsid w:val="006961CB"/>
    <w:rsid w:val="006962C4"/>
    <w:rsid w:val="00696590"/>
    <w:rsid w:val="00696BA4"/>
    <w:rsid w:val="00696DFA"/>
    <w:rsid w:val="00697E93"/>
    <w:rsid w:val="006A04EE"/>
    <w:rsid w:val="006A0A6B"/>
    <w:rsid w:val="006A0BB4"/>
    <w:rsid w:val="006A0CFF"/>
    <w:rsid w:val="006A1676"/>
    <w:rsid w:val="006A17F7"/>
    <w:rsid w:val="006A2817"/>
    <w:rsid w:val="006A296F"/>
    <w:rsid w:val="006A2B39"/>
    <w:rsid w:val="006A3EC3"/>
    <w:rsid w:val="006A4B22"/>
    <w:rsid w:val="006A4E09"/>
    <w:rsid w:val="006A4F21"/>
    <w:rsid w:val="006A4F49"/>
    <w:rsid w:val="006A4FC3"/>
    <w:rsid w:val="006A5D18"/>
    <w:rsid w:val="006A5E79"/>
    <w:rsid w:val="006A69E1"/>
    <w:rsid w:val="006A6C8D"/>
    <w:rsid w:val="006A75C1"/>
    <w:rsid w:val="006A75C6"/>
    <w:rsid w:val="006A7766"/>
    <w:rsid w:val="006B0321"/>
    <w:rsid w:val="006B03AB"/>
    <w:rsid w:val="006B0409"/>
    <w:rsid w:val="006B0531"/>
    <w:rsid w:val="006B0C15"/>
    <w:rsid w:val="006B0CE6"/>
    <w:rsid w:val="006B1086"/>
    <w:rsid w:val="006B1135"/>
    <w:rsid w:val="006B1325"/>
    <w:rsid w:val="006B13B7"/>
    <w:rsid w:val="006B1EF1"/>
    <w:rsid w:val="006B1F69"/>
    <w:rsid w:val="006B2025"/>
    <w:rsid w:val="006B209D"/>
    <w:rsid w:val="006B2A78"/>
    <w:rsid w:val="006B2A92"/>
    <w:rsid w:val="006B2FFA"/>
    <w:rsid w:val="006B3F1D"/>
    <w:rsid w:val="006B4083"/>
    <w:rsid w:val="006B436A"/>
    <w:rsid w:val="006B4777"/>
    <w:rsid w:val="006B4CAB"/>
    <w:rsid w:val="006B5489"/>
    <w:rsid w:val="006B55E7"/>
    <w:rsid w:val="006B58B7"/>
    <w:rsid w:val="006B5D3D"/>
    <w:rsid w:val="006B5EA8"/>
    <w:rsid w:val="006B64A2"/>
    <w:rsid w:val="006B6528"/>
    <w:rsid w:val="006B66FC"/>
    <w:rsid w:val="006B6CC6"/>
    <w:rsid w:val="006B70D3"/>
    <w:rsid w:val="006B736F"/>
    <w:rsid w:val="006B75D7"/>
    <w:rsid w:val="006B7618"/>
    <w:rsid w:val="006B76BF"/>
    <w:rsid w:val="006B7900"/>
    <w:rsid w:val="006B7A77"/>
    <w:rsid w:val="006C061C"/>
    <w:rsid w:val="006C0687"/>
    <w:rsid w:val="006C073E"/>
    <w:rsid w:val="006C0A68"/>
    <w:rsid w:val="006C1391"/>
    <w:rsid w:val="006C1BCA"/>
    <w:rsid w:val="006C20E9"/>
    <w:rsid w:val="006C20F4"/>
    <w:rsid w:val="006C269C"/>
    <w:rsid w:val="006C32D1"/>
    <w:rsid w:val="006C32F8"/>
    <w:rsid w:val="006C347C"/>
    <w:rsid w:val="006C3530"/>
    <w:rsid w:val="006C3EA5"/>
    <w:rsid w:val="006C47C9"/>
    <w:rsid w:val="006C4C3A"/>
    <w:rsid w:val="006C4F3A"/>
    <w:rsid w:val="006C5592"/>
    <w:rsid w:val="006C5DEB"/>
    <w:rsid w:val="006C600C"/>
    <w:rsid w:val="006C6414"/>
    <w:rsid w:val="006C655A"/>
    <w:rsid w:val="006C6BFD"/>
    <w:rsid w:val="006C6DED"/>
    <w:rsid w:val="006C7047"/>
    <w:rsid w:val="006C7355"/>
    <w:rsid w:val="006C74BA"/>
    <w:rsid w:val="006C77BA"/>
    <w:rsid w:val="006C7E5E"/>
    <w:rsid w:val="006D013A"/>
    <w:rsid w:val="006D02F4"/>
    <w:rsid w:val="006D03CF"/>
    <w:rsid w:val="006D0725"/>
    <w:rsid w:val="006D0B15"/>
    <w:rsid w:val="006D0B9C"/>
    <w:rsid w:val="006D0C73"/>
    <w:rsid w:val="006D183D"/>
    <w:rsid w:val="006D199D"/>
    <w:rsid w:val="006D20C8"/>
    <w:rsid w:val="006D31FC"/>
    <w:rsid w:val="006D37C3"/>
    <w:rsid w:val="006D3861"/>
    <w:rsid w:val="006D3994"/>
    <w:rsid w:val="006D4431"/>
    <w:rsid w:val="006D4531"/>
    <w:rsid w:val="006D5097"/>
    <w:rsid w:val="006D5314"/>
    <w:rsid w:val="006D6858"/>
    <w:rsid w:val="006D6A8E"/>
    <w:rsid w:val="006D6E0E"/>
    <w:rsid w:val="006D70B0"/>
    <w:rsid w:val="006D7140"/>
    <w:rsid w:val="006D7177"/>
    <w:rsid w:val="006D72DA"/>
    <w:rsid w:val="006D76AE"/>
    <w:rsid w:val="006E0315"/>
    <w:rsid w:val="006E0551"/>
    <w:rsid w:val="006E0A8D"/>
    <w:rsid w:val="006E0B7A"/>
    <w:rsid w:val="006E0E0D"/>
    <w:rsid w:val="006E0FAD"/>
    <w:rsid w:val="006E1154"/>
    <w:rsid w:val="006E1308"/>
    <w:rsid w:val="006E1393"/>
    <w:rsid w:val="006E14E7"/>
    <w:rsid w:val="006E1891"/>
    <w:rsid w:val="006E1D54"/>
    <w:rsid w:val="006E28B3"/>
    <w:rsid w:val="006E2A0D"/>
    <w:rsid w:val="006E2B2F"/>
    <w:rsid w:val="006E2FB8"/>
    <w:rsid w:val="006E33A1"/>
    <w:rsid w:val="006E345F"/>
    <w:rsid w:val="006E3577"/>
    <w:rsid w:val="006E3CD8"/>
    <w:rsid w:val="006E4DA0"/>
    <w:rsid w:val="006E4F07"/>
    <w:rsid w:val="006E4F82"/>
    <w:rsid w:val="006E5219"/>
    <w:rsid w:val="006E527F"/>
    <w:rsid w:val="006E5C9B"/>
    <w:rsid w:val="006E63A3"/>
    <w:rsid w:val="006E6B37"/>
    <w:rsid w:val="006E72DE"/>
    <w:rsid w:val="006E7447"/>
    <w:rsid w:val="006E75E5"/>
    <w:rsid w:val="006E7AC3"/>
    <w:rsid w:val="006E7BEB"/>
    <w:rsid w:val="006E7FB6"/>
    <w:rsid w:val="006F011E"/>
    <w:rsid w:val="006F01CC"/>
    <w:rsid w:val="006F0F67"/>
    <w:rsid w:val="006F15D0"/>
    <w:rsid w:val="006F185A"/>
    <w:rsid w:val="006F1A3A"/>
    <w:rsid w:val="006F1B8A"/>
    <w:rsid w:val="006F2CB8"/>
    <w:rsid w:val="006F2D1F"/>
    <w:rsid w:val="006F30F8"/>
    <w:rsid w:val="006F362F"/>
    <w:rsid w:val="006F37A6"/>
    <w:rsid w:val="006F37E4"/>
    <w:rsid w:val="006F3AF4"/>
    <w:rsid w:val="006F417A"/>
    <w:rsid w:val="006F420A"/>
    <w:rsid w:val="006F46B4"/>
    <w:rsid w:val="006F4730"/>
    <w:rsid w:val="006F4BBE"/>
    <w:rsid w:val="006F4EB4"/>
    <w:rsid w:val="006F4F88"/>
    <w:rsid w:val="006F5501"/>
    <w:rsid w:val="006F5B66"/>
    <w:rsid w:val="006F6027"/>
    <w:rsid w:val="006F60AC"/>
    <w:rsid w:val="006F618E"/>
    <w:rsid w:val="006F6B37"/>
    <w:rsid w:val="006F6C9D"/>
    <w:rsid w:val="006F7298"/>
    <w:rsid w:val="006F76FC"/>
    <w:rsid w:val="007004EA"/>
    <w:rsid w:val="00700E0C"/>
    <w:rsid w:val="00701200"/>
    <w:rsid w:val="007013AA"/>
    <w:rsid w:val="00701890"/>
    <w:rsid w:val="00701BEA"/>
    <w:rsid w:val="00701F19"/>
    <w:rsid w:val="00702475"/>
    <w:rsid w:val="0070249C"/>
    <w:rsid w:val="007025AE"/>
    <w:rsid w:val="00702630"/>
    <w:rsid w:val="00702954"/>
    <w:rsid w:val="007029DF"/>
    <w:rsid w:val="00702C05"/>
    <w:rsid w:val="00702F17"/>
    <w:rsid w:val="00702F49"/>
    <w:rsid w:val="0070318F"/>
    <w:rsid w:val="007035F5"/>
    <w:rsid w:val="007047E4"/>
    <w:rsid w:val="0070481F"/>
    <w:rsid w:val="00704832"/>
    <w:rsid w:val="007049B7"/>
    <w:rsid w:val="00705110"/>
    <w:rsid w:val="00705287"/>
    <w:rsid w:val="007053CD"/>
    <w:rsid w:val="0070567D"/>
    <w:rsid w:val="00705753"/>
    <w:rsid w:val="0070590F"/>
    <w:rsid w:val="00705A19"/>
    <w:rsid w:val="00706325"/>
    <w:rsid w:val="00706A55"/>
    <w:rsid w:val="007070AA"/>
    <w:rsid w:val="00707112"/>
    <w:rsid w:val="0070713B"/>
    <w:rsid w:val="007077E8"/>
    <w:rsid w:val="0070792E"/>
    <w:rsid w:val="00707A8D"/>
    <w:rsid w:val="00710239"/>
    <w:rsid w:val="00710845"/>
    <w:rsid w:val="00710CBF"/>
    <w:rsid w:val="00710D72"/>
    <w:rsid w:val="00711778"/>
    <w:rsid w:val="00711B2D"/>
    <w:rsid w:val="00711CB8"/>
    <w:rsid w:val="00712242"/>
    <w:rsid w:val="00712E9E"/>
    <w:rsid w:val="007132D9"/>
    <w:rsid w:val="00713FB7"/>
    <w:rsid w:val="007140A0"/>
    <w:rsid w:val="00714411"/>
    <w:rsid w:val="00714536"/>
    <w:rsid w:val="00714CDD"/>
    <w:rsid w:val="0071582D"/>
    <w:rsid w:val="0071590E"/>
    <w:rsid w:val="00715929"/>
    <w:rsid w:val="00715997"/>
    <w:rsid w:val="00716BB1"/>
    <w:rsid w:val="0071703C"/>
    <w:rsid w:val="007179CC"/>
    <w:rsid w:val="00717A18"/>
    <w:rsid w:val="00717D65"/>
    <w:rsid w:val="00717E07"/>
    <w:rsid w:val="007201D2"/>
    <w:rsid w:val="007207E6"/>
    <w:rsid w:val="00720C78"/>
    <w:rsid w:val="00721133"/>
    <w:rsid w:val="007217BB"/>
    <w:rsid w:val="0072186A"/>
    <w:rsid w:val="0072285D"/>
    <w:rsid w:val="00722EC8"/>
    <w:rsid w:val="00722FB1"/>
    <w:rsid w:val="007231BD"/>
    <w:rsid w:val="00723627"/>
    <w:rsid w:val="007238C3"/>
    <w:rsid w:val="00724792"/>
    <w:rsid w:val="00724ADC"/>
    <w:rsid w:val="00724DC4"/>
    <w:rsid w:val="00725047"/>
    <w:rsid w:val="00726276"/>
    <w:rsid w:val="0072639E"/>
    <w:rsid w:val="007275F5"/>
    <w:rsid w:val="00727733"/>
    <w:rsid w:val="007307EF"/>
    <w:rsid w:val="00730E7D"/>
    <w:rsid w:val="00730F7B"/>
    <w:rsid w:val="00731026"/>
    <w:rsid w:val="00731341"/>
    <w:rsid w:val="00731365"/>
    <w:rsid w:val="0073160F"/>
    <w:rsid w:val="00731806"/>
    <w:rsid w:val="00731908"/>
    <w:rsid w:val="0073190C"/>
    <w:rsid w:val="00731BC6"/>
    <w:rsid w:val="00731E83"/>
    <w:rsid w:val="0073230F"/>
    <w:rsid w:val="007327F4"/>
    <w:rsid w:val="00732C3B"/>
    <w:rsid w:val="00732C4C"/>
    <w:rsid w:val="00732D9F"/>
    <w:rsid w:val="00733369"/>
    <w:rsid w:val="00733413"/>
    <w:rsid w:val="0073368C"/>
    <w:rsid w:val="0073369A"/>
    <w:rsid w:val="007339C5"/>
    <w:rsid w:val="00733ACB"/>
    <w:rsid w:val="00733B10"/>
    <w:rsid w:val="007349D1"/>
    <w:rsid w:val="0073567A"/>
    <w:rsid w:val="0073619C"/>
    <w:rsid w:val="00736298"/>
    <w:rsid w:val="0073636D"/>
    <w:rsid w:val="007366EF"/>
    <w:rsid w:val="00736898"/>
    <w:rsid w:val="00737222"/>
    <w:rsid w:val="00737ABE"/>
    <w:rsid w:val="00740045"/>
    <w:rsid w:val="007400E0"/>
    <w:rsid w:val="00740482"/>
    <w:rsid w:val="00740759"/>
    <w:rsid w:val="00741239"/>
    <w:rsid w:val="0074184B"/>
    <w:rsid w:val="007418E7"/>
    <w:rsid w:val="0074212E"/>
    <w:rsid w:val="00742329"/>
    <w:rsid w:val="0074276F"/>
    <w:rsid w:val="007429CD"/>
    <w:rsid w:val="00742A2E"/>
    <w:rsid w:val="00742A8A"/>
    <w:rsid w:val="00743A2F"/>
    <w:rsid w:val="007441AF"/>
    <w:rsid w:val="007441FB"/>
    <w:rsid w:val="0074434F"/>
    <w:rsid w:val="00744601"/>
    <w:rsid w:val="0074483D"/>
    <w:rsid w:val="00744945"/>
    <w:rsid w:val="007449FD"/>
    <w:rsid w:val="00744C0E"/>
    <w:rsid w:val="00744CF6"/>
    <w:rsid w:val="00745632"/>
    <w:rsid w:val="00745B1C"/>
    <w:rsid w:val="00745CDA"/>
    <w:rsid w:val="00745DE2"/>
    <w:rsid w:val="007462E9"/>
    <w:rsid w:val="00746CB7"/>
    <w:rsid w:val="00747195"/>
    <w:rsid w:val="0074784E"/>
    <w:rsid w:val="0074789D"/>
    <w:rsid w:val="00747C00"/>
    <w:rsid w:val="00747C84"/>
    <w:rsid w:val="00747CE3"/>
    <w:rsid w:val="00747F2A"/>
    <w:rsid w:val="007504E9"/>
    <w:rsid w:val="007505AF"/>
    <w:rsid w:val="00750744"/>
    <w:rsid w:val="007508A1"/>
    <w:rsid w:val="00750CEE"/>
    <w:rsid w:val="0075115D"/>
    <w:rsid w:val="00751705"/>
    <w:rsid w:val="00752776"/>
    <w:rsid w:val="007527A0"/>
    <w:rsid w:val="007527F8"/>
    <w:rsid w:val="0075303E"/>
    <w:rsid w:val="00753132"/>
    <w:rsid w:val="00753534"/>
    <w:rsid w:val="007536D4"/>
    <w:rsid w:val="00753800"/>
    <w:rsid w:val="0075389B"/>
    <w:rsid w:val="00753E6D"/>
    <w:rsid w:val="00755702"/>
    <w:rsid w:val="007558E0"/>
    <w:rsid w:val="00755EAF"/>
    <w:rsid w:val="00755FBF"/>
    <w:rsid w:val="007560BB"/>
    <w:rsid w:val="0075636B"/>
    <w:rsid w:val="00756B40"/>
    <w:rsid w:val="00756BD5"/>
    <w:rsid w:val="00756C28"/>
    <w:rsid w:val="00756C4C"/>
    <w:rsid w:val="00756DAA"/>
    <w:rsid w:val="00756FFC"/>
    <w:rsid w:val="007574CC"/>
    <w:rsid w:val="007575D3"/>
    <w:rsid w:val="00757EF3"/>
    <w:rsid w:val="007601C1"/>
    <w:rsid w:val="007609DF"/>
    <w:rsid w:val="00760A98"/>
    <w:rsid w:val="00760B1E"/>
    <w:rsid w:val="00760B26"/>
    <w:rsid w:val="00760B78"/>
    <w:rsid w:val="00760F37"/>
    <w:rsid w:val="007611F5"/>
    <w:rsid w:val="007613EF"/>
    <w:rsid w:val="00761AF6"/>
    <w:rsid w:val="00761B31"/>
    <w:rsid w:val="00761EF7"/>
    <w:rsid w:val="00761F13"/>
    <w:rsid w:val="00762621"/>
    <w:rsid w:val="00762657"/>
    <w:rsid w:val="0076281E"/>
    <w:rsid w:val="0076327F"/>
    <w:rsid w:val="0076332D"/>
    <w:rsid w:val="0076338D"/>
    <w:rsid w:val="0076366E"/>
    <w:rsid w:val="00763DDC"/>
    <w:rsid w:val="00764D53"/>
    <w:rsid w:val="00764EEB"/>
    <w:rsid w:val="007653DA"/>
    <w:rsid w:val="007658B9"/>
    <w:rsid w:val="0076618F"/>
    <w:rsid w:val="007665AB"/>
    <w:rsid w:val="00766799"/>
    <w:rsid w:val="007674FD"/>
    <w:rsid w:val="00767842"/>
    <w:rsid w:val="0076797A"/>
    <w:rsid w:val="00767DD6"/>
    <w:rsid w:val="0077033B"/>
    <w:rsid w:val="00770E5A"/>
    <w:rsid w:val="0077146E"/>
    <w:rsid w:val="00771E22"/>
    <w:rsid w:val="00771F3B"/>
    <w:rsid w:val="0077261C"/>
    <w:rsid w:val="00772E87"/>
    <w:rsid w:val="007739CA"/>
    <w:rsid w:val="007740DF"/>
    <w:rsid w:val="007743A3"/>
    <w:rsid w:val="00774C07"/>
    <w:rsid w:val="00774D1C"/>
    <w:rsid w:val="00774F6F"/>
    <w:rsid w:val="00774FDB"/>
    <w:rsid w:val="00775157"/>
    <w:rsid w:val="0077557D"/>
    <w:rsid w:val="00775DF9"/>
    <w:rsid w:val="00776695"/>
    <w:rsid w:val="007767F1"/>
    <w:rsid w:val="00776E0C"/>
    <w:rsid w:val="007772E0"/>
    <w:rsid w:val="0077798E"/>
    <w:rsid w:val="00780873"/>
    <w:rsid w:val="00780F25"/>
    <w:rsid w:val="00780FD9"/>
    <w:rsid w:val="00781033"/>
    <w:rsid w:val="00781123"/>
    <w:rsid w:val="007815A6"/>
    <w:rsid w:val="0078170E"/>
    <w:rsid w:val="0078186E"/>
    <w:rsid w:val="00781BCF"/>
    <w:rsid w:val="00781DA7"/>
    <w:rsid w:val="00782019"/>
    <w:rsid w:val="007820D8"/>
    <w:rsid w:val="00782433"/>
    <w:rsid w:val="0078250E"/>
    <w:rsid w:val="007828C8"/>
    <w:rsid w:val="00782CC7"/>
    <w:rsid w:val="00782F3D"/>
    <w:rsid w:val="00783B08"/>
    <w:rsid w:val="00783EAF"/>
    <w:rsid w:val="0078433D"/>
    <w:rsid w:val="00784F07"/>
    <w:rsid w:val="007850C1"/>
    <w:rsid w:val="007851B5"/>
    <w:rsid w:val="007851F4"/>
    <w:rsid w:val="00785846"/>
    <w:rsid w:val="00785D54"/>
    <w:rsid w:val="00785DCD"/>
    <w:rsid w:val="00785E6B"/>
    <w:rsid w:val="00786184"/>
    <w:rsid w:val="007861FB"/>
    <w:rsid w:val="0078636B"/>
    <w:rsid w:val="00787279"/>
    <w:rsid w:val="00787521"/>
    <w:rsid w:val="007875BA"/>
    <w:rsid w:val="007879C1"/>
    <w:rsid w:val="00787AF3"/>
    <w:rsid w:val="007904E0"/>
    <w:rsid w:val="00790822"/>
    <w:rsid w:val="007911DA"/>
    <w:rsid w:val="00791275"/>
    <w:rsid w:val="00791305"/>
    <w:rsid w:val="00791965"/>
    <w:rsid w:val="0079253F"/>
    <w:rsid w:val="00792CFF"/>
    <w:rsid w:val="00792D48"/>
    <w:rsid w:val="00792EA4"/>
    <w:rsid w:val="00793225"/>
    <w:rsid w:val="00793692"/>
    <w:rsid w:val="00794BE0"/>
    <w:rsid w:val="00794EA3"/>
    <w:rsid w:val="00795265"/>
    <w:rsid w:val="007962AC"/>
    <w:rsid w:val="007963F2"/>
    <w:rsid w:val="00796A22"/>
    <w:rsid w:val="00797056"/>
    <w:rsid w:val="007973E8"/>
    <w:rsid w:val="00797556"/>
    <w:rsid w:val="00797878"/>
    <w:rsid w:val="00797904"/>
    <w:rsid w:val="007979C8"/>
    <w:rsid w:val="00797C20"/>
    <w:rsid w:val="007A042D"/>
    <w:rsid w:val="007A0BDB"/>
    <w:rsid w:val="007A0C72"/>
    <w:rsid w:val="007A0E8C"/>
    <w:rsid w:val="007A10DB"/>
    <w:rsid w:val="007A1F89"/>
    <w:rsid w:val="007A25C3"/>
    <w:rsid w:val="007A2839"/>
    <w:rsid w:val="007A2BF1"/>
    <w:rsid w:val="007A346E"/>
    <w:rsid w:val="007A3C2D"/>
    <w:rsid w:val="007A3CD8"/>
    <w:rsid w:val="007A437E"/>
    <w:rsid w:val="007A521F"/>
    <w:rsid w:val="007A585A"/>
    <w:rsid w:val="007A5C86"/>
    <w:rsid w:val="007A5FCB"/>
    <w:rsid w:val="007A62D0"/>
    <w:rsid w:val="007A690E"/>
    <w:rsid w:val="007A6C65"/>
    <w:rsid w:val="007A6C7E"/>
    <w:rsid w:val="007A74E6"/>
    <w:rsid w:val="007A7882"/>
    <w:rsid w:val="007A79C8"/>
    <w:rsid w:val="007B0251"/>
    <w:rsid w:val="007B0411"/>
    <w:rsid w:val="007B0A2A"/>
    <w:rsid w:val="007B0BA3"/>
    <w:rsid w:val="007B16E7"/>
    <w:rsid w:val="007B1CE2"/>
    <w:rsid w:val="007B1FDE"/>
    <w:rsid w:val="007B225C"/>
    <w:rsid w:val="007B22CA"/>
    <w:rsid w:val="007B24B3"/>
    <w:rsid w:val="007B26C1"/>
    <w:rsid w:val="007B273B"/>
    <w:rsid w:val="007B2AEA"/>
    <w:rsid w:val="007B305D"/>
    <w:rsid w:val="007B37A2"/>
    <w:rsid w:val="007B3866"/>
    <w:rsid w:val="007B5899"/>
    <w:rsid w:val="007B5B4B"/>
    <w:rsid w:val="007B5EDF"/>
    <w:rsid w:val="007B62C2"/>
    <w:rsid w:val="007B66A9"/>
    <w:rsid w:val="007B6AAA"/>
    <w:rsid w:val="007B6DB1"/>
    <w:rsid w:val="007B7058"/>
    <w:rsid w:val="007B7A3A"/>
    <w:rsid w:val="007C012F"/>
    <w:rsid w:val="007C0334"/>
    <w:rsid w:val="007C03CB"/>
    <w:rsid w:val="007C0D68"/>
    <w:rsid w:val="007C172E"/>
    <w:rsid w:val="007C1966"/>
    <w:rsid w:val="007C196A"/>
    <w:rsid w:val="007C19A1"/>
    <w:rsid w:val="007C1C94"/>
    <w:rsid w:val="007C1F80"/>
    <w:rsid w:val="007C2978"/>
    <w:rsid w:val="007C305D"/>
    <w:rsid w:val="007C3491"/>
    <w:rsid w:val="007C3DDA"/>
    <w:rsid w:val="007C4459"/>
    <w:rsid w:val="007C4F37"/>
    <w:rsid w:val="007C5464"/>
    <w:rsid w:val="007C5478"/>
    <w:rsid w:val="007C54A5"/>
    <w:rsid w:val="007C5B1B"/>
    <w:rsid w:val="007C5BBF"/>
    <w:rsid w:val="007C6051"/>
    <w:rsid w:val="007C645F"/>
    <w:rsid w:val="007C66E8"/>
    <w:rsid w:val="007C6981"/>
    <w:rsid w:val="007C71B4"/>
    <w:rsid w:val="007D06D9"/>
    <w:rsid w:val="007D0D0A"/>
    <w:rsid w:val="007D1065"/>
    <w:rsid w:val="007D148A"/>
    <w:rsid w:val="007D1AA5"/>
    <w:rsid w:val="007D1CC3"/>
    <w:rsid w:val="007D2932"/>
    <w:rsid w:val="007D298C"/>
    <w:rsid w:val="007D2BFF"/>
    <w:rsid w:val="007D2E9D"/>
    <w:rsid w:val="007D3443"/>
    <w:rsid w:val="007D37AD"/>
    <w:rsid w:val="007D3E13"/>
    <w:rsid w:val="007D4674"/>
    <w:rsid w:val="007D46E1"/>
    <w:rsid w:val="007D4975"/>
    <w:rsid w:val="007D49A0"/>
    <w:rsid w:val="007D4A10"/>
    <w:rsid w:val="007D4C6A"/>
    <w:rsid w:val="007D533B"/>
    <w:rsid w:val="007D53E9"/>
    <w:rsid w:val="007D54B7"/>
    <w:rsid w:val="007D5749"/>
    <w:rsid w:val="007D5AB9"/>
    <w:rsid w:val="007D5B37"/>
    <w:rsid w:val="007D670C"/>
    <w:rsid w:val="007D6A63"/>
    <w:rsid w:val="007D7024"/>
    <w:rsid w:val="007D7249"/>
    <w:rsid w:val="007E056D"/>
    <w:rsid w:val="007E060A"/>
    <w:rsid w:val="007E06E1"/>
    <w:rsid w:val="007E074D"/>
    <w:rsid w:val="007E07A1"/>
    <w:rsid w:val="007E11FD"/>
    <w:rsid w:val="007E13AC"/>
    <w:rsid w:val="007E13B1"/>
    <w:rsid w:val="007E19E3"/>
    <w:rsid w:val="007E1A35"/>
    <w:rsid w:val="007E1AA8"/>
    <w:rsid w:val="007E1E76"/>
    <w:rsid w:val="007E22C4"/>
    <w:rsid w:val="007E361C"/>
    <w:rsid w:val="007E375B"/>
    <w:rsid w:val="007E393B"/>
    <w:rsid w:val="007E3A47"/>
    <w:rsid w:val="007E3BF4"/>
    <w:rsid w:val="007E3E89"/>
    <w:rsid w:val="007E41D9"/>
    <w:rsid w:val="007E44D9"/>
    <w:rsid w:val="007E47DE"/>
    <w:rsid w:val="007E4A36"/>
    <w:rsid w:val="007E5092"/>
    <w:rsid w:val="007E5315"/>
    <w:rsid w:val="007E53CE"/>
    <w:rsid w:val="007E54DC"/>
    <w:rsid w:val="007E5894"/>
    <w:rsid w:val="007E5C38"/>
    <w:rsid w:val="007E6360"/>
    <w:rsid w:val="007E6490"/>
    <w:rsid w:val="007E6717"/>
    <w:rsid w:val="007E6AEF"/>
    <w:rsid w:val="007E6EED"/>
    <w:rsid w:val="007E70DD"/>
    <w:rsid w:val="007E73C3"/>
    <w:rsid w:val="007E7454"/>
    <w:rsid w:val="007E7ACC"/>
    <w:rsid w:val="007E7C58"/>
    <w:rsid w:val="007E7FEA"/>
    <w:rsid w:val="007F1262"/>
    <w:rsid w:val="007F14F1"/>
    <w:rsid w:val="007F172B"/>
    <w:rsid w:val="007F18A5"/>
    <w:rsid w:val="007F1A14"/>
    <w:rsid w:val="007F1E56"/>
    <w:rsid w:val="007F2175"/>
    <w:rsid w:val="007F21D7"/>
    <w:rsid w:val="007F2AAF"/>
    <w:rsid w:val="007F2B39"/>
    <w:rsid w:val="007F2E21"/>
    <w:rsid w:val="007F3A6C"/>
    <w:rsid w:val="007F3D1E"/>
    <w:rsid w:val="007F4046"/>
    <w:rsid w:val="007F44EF"/>
    <w:rsid w:val="007F4861"/>
    <w:rsid w:val="007F4ABC"/>
    <w:rsid w:val="007F4AD8"/>
    <w:rsid w:val="007F4B03"/>
    <w:rsid w:val="007F4E24"/>
    <w:rsid w:val="007F58D0"/>
    <w:rsid w:val="007F5D56"/>
    <w:rsid w:val="007F5DF4"/>
    <w:rsid w:val="007F5EBA"/>
    <w:rsid w:val="007F703B"/>
    <w:rsid w:val="007F7880"/>
    <w:rsid w:val="007F793E"/>
    <w:rsid w:val="007F7ECB"/>
    <w:rsid w:val="0080009F"/>
    <w:rsid w:val="00800B67"/>
    <w:rsid w:val="008010F3"/>
    <w:rsid w:val="008013B5"/>
    <w:rsid w:val="0080173F"/>
    <w:rsid w:val="00801AC1"/>
    <w:rsid w:val="00801C37"/>
    <w:rsid w:val="00802287"/>
    <w:rsid w:val="00802806"/>
    <w:rsid w:val="00802B3E"/>
    <w:rsid w:val="00802D24"/>
    <w:rsid w:val="00803296"/>
    <w:rsid w:val="00803551"/>
    <w:rsid w:val="00803614"/>
    <w:rsid w:val="008039F9"/>
    <w:rsid w:val="00803C46"/>
    <w:rsid w:val="00803D3D"/>
    <w:rsid w:val="00803E6A"/>
    <w:rsid w:val="00803F61"/>
    <w:rsid w:val="00804112"/>
    <w:rsid w:val="00804196"/>
    <w:rsid w:val="008041EB"/>
    <w:rsid w:val="0080447F"/>
    <w:rsid w:val="0080455C"/>
    <w:rsid w:val="00804581"/>
    <w:rsid w:val="00804FE4"/>
    <w:rsid w:val="00805094"/>
    <w:rsid w:val="0080555D"/>
    <w:rsid w:val="00805EE6"/>
    <w:rsid w:val="00805F6B"/>
    <w:rsid w:val="00806684"/>
    <w:rsid w:val="00806B76"/>
    <w:rsid w:val="00806DCD"/>
    <w:rsid w:val="00806E0D"/>
    <w:rsid w:val="00806EB3"/>
    <w:rsid w:val="00806F00"/>
    <w:rsid w:val="00807712"/>
    <w:rsid w:val="00807C24"/>
    <w:rsid w:val="008103D7"/>
    <w:rsid w:val="008105A1"/>
    <w:rsid w:val="008106A4"/>
    <w:rsid w:val="008107C2"/>
    <w:rsid w:val="00810C36"/>
    <w:rsid w:val="00810D2E"/>
    <w:rsid w:val="0081126E"/>
    <w:rsid w:val="008113C4"/>
    <w:rsid w:val="008119C3"/>
    <w:rsid w:val="00811FD8"/>
    <w:rsid w:val="00812349"/>
    <w:rsid w:val="00812843"/>
    <w:rsid w:val="00812D47"/>
    <w:rsid w:val="00813AA1"/>
    <w:rsid w:val="00813AEE"/>
    <w:rsid w:val="0081414E"/>
    <w:rsid w:val="008143E7"/>
    <w:rsid w:val="008146A3"/>
    <w:rsid w:val="008148AE"/>
    <w:rsid w:val="00814D99"/>
    <w:rsid w:val="008151BB"/>
    <w:rsid w:val="00815487"/>
    <w:rsid w:val="008162B2"/>
    <w:rsid w:val="008165EA"/>
    <w:rsid w:val="008165F9"/>
    <w:rsid w:val="008168A5"/>
    <w:rsid w:val="00816F35"/>
    <w:rsid w:val="0081740E"/>
    <w:rsid w:val="00817522"/>
    <w:rsid w:val="008200F5"/>
    <w:rsid w:val="008201C4"/>
    <w:rsid w:val="00820766"/>
    <w:rsid w:val="00820C67"/>
    <w:rsid w:val="00820D0A"/>
    <w:rsid w:val="00820FCD"/>
    <w:rsid w:val="008213EB"/>
    <w:rsid w:val="00821561"/>
    <w:rsid w:val="00821E84"/>
    <w:rsid w:val="00822FF2"/>
    <w:rsid w:val="00823212"/>
    <w:rsid w:val="00823576"/>
    <w:rsid w:val="00823EC5"/>
    <w:rsid w:val="0082539F"/>
    <w:rsid w:val="00826049"/>
    <w:rsid w:val="0082650D"/>
    <w:rsid w:val="00826720"/>
    <w:rsid w:val="00826851"/>
    <w:rsid w:val="00826BD3"/>
    <w:rsid w:val="00826E11"/>
    <w:rsid w:val="00827120"/>
    <w:rsid w:val="00827C5F"/>
    <w:rsid w:val="008304EB"/>
    <w:rsid w:val="0083070C"/>
    <w:rsid w:val="00830781"/>
    <w:rsid w:val="00830A0D"/>
    <w:rsid w:val="00830C6E"/>
    <w:rsid w:val="00830D0D"/>
    <w:rsid w:val="00830E69"/>
    <w:rsid w:val="00830E86"/>
    <w:rsid w:val="00830FD4"/>
    <w:rsid w:val="008318C8"/>
    <w:rsid w:val="008319B1"/>
    <w:rsid w:val="00831E04"/>
    <w:rsid w:val="00831F43"/>
    <w:rsid w:val="00832073"/>
    <w:rsid w:val="00833057"/>
    <w:rsid w:val="00833120"/>
    <w:rsid w:val="00833160"/>
    <w:rsid w:val="008337EB"/>
    <w:rsid w:val="00835460"/>
    <w:rsid w:val="00836268"/>
    <w:rsid w:val="00836D14"/>
    <w:rsid w:val="00837083"/>
    <w:rsid w:val="0083721D"/>
    <w:rsid w:val="008379B9"/>
    <w:rsid w:val="00837EC9"/>
    <w:rsid w:val="00840172"/>
    <w:rsid w:val="00840747"/>
    <w:rsid w:val="00840B5F"/>
    <w:rsid w:val="008413F2"/>
    <w:rsid w:val="0084283E"/>
    <w:rsid w:val="00842996"/>
    <w:rsid w:val="0084299D"/>
    <w:rsid w:val="00843760"/>
    <w:rsid w:val="008438CE"/>
    <w:rsid w:val="00843BB4"/>
    <w:rsid w:val="00843EAE"/>
    <w:rsid w:val="00844366"/>
    <w:rsid w:val="00844456"/>
    <w:rsid w:val="00844F52"/>
    <w:rsid w:val="008452CF"/>
    <w:rsid w:val="0084583A"/>
    <w:rsid w:val="008458E0"/>
    <w:rsid w:val="00845B8B"/>
    <w:rsid w:val="0084602B"/>
    <w:rsid w:val="00846262"/>
    <w:rsid w:val="008462CE"/>
    <w:rsid w:val="008465F8"/>
    <w:rsid w:val="0084686A"/>
    <w:rsid w:val="008469F7"/>
    <w:rsid w:val="00846AF4"/>
    <w:rsid w:val="00846FD3"/>
    <w:rsid w:val="00847312"/>
    <w:rsid w:val="00847497"/>
    <w:rsid w:val="00850106"/>
    <w:rsid w:val="00850F98"/>
    <w:rsid w:val="008514B8"/>
    <w:rsid w:val="008519A2"/>
    <w:rsid w:val="00852C30"/>
    <w:rsid w:val="00852C8E"/>
    <w:rsid w:val="00852F3D"/>
    <w:rsid w:val="00853072"/>
    <w:rsid w:val="00853516"/>
    <w:rsid w:val="008537E1"/>
    <w:rsid w:val="00853B4E"/>
    <w:rsid w:val="00853ED1"/>
    <w:rsid w:val="008543C9"/>
    <w:rsid w:val="00854D9A"/>
    <w:rsid w:val="008550DE"/>
    <w:rsid w:val="008555F4"/>
    <w:rsid w:val="00855984"/>
    <w:rsid w:val="00856085"/>
    <w:rsid w:val="0085623B"/>
    <w:rsid w:val="00856425"/>
    <w:rsid w:val="00856A5D"/>
    <w:rsid w:val="00857404"/>
    <w:rsid w:val="00857C79"/>
    <w:rsid w:val="00860044"/>
    <w:rsid w:val="0086028B"/>
    <w:rsid w:val="00860910"/>
    <w:rsid w:val="00860FCB"/>
    <w:rsid w:val="00861327"/>
    <w:rsid w:val="008614B5"/>
    <w:rsid w:val="0086173E"/>
    <w:rsid w:val="0086186C"/>
    <w:rsid w:val="00861DBA"/>
    <w:rsid w:val="00861EC2"/>
    <w:rsid w:val="00862020"/>
    <w:rsid w:val="00862211"/>
    <w:rsid w:val="008628EA"/>
    <w:rsid w:val="00862985"/>
    <w:rsid w:val="00862CC7"/>
    <w:rsid w:val="008637DA"/>
    <w:rsid w:val="00863A7B"/>
    <w:rsid w:val="00864406"/>
    <w:rsid w:val="00864978"/>
    <w:rsid w:val="00864ACA"/>
    <w:rsid w:val="0086516F"/>
    <w:rsid w:val="008652CF"/>
    <w:rsid w:val="008653D9"/>
    <w:rsid w:val="00865520"/>
    <w:rsid w:val="00866852"/>
    <w:rsid w:val="00866C5F"/>
    <w:rsid w:val="008675C4"/>
    <w:rsid w:val="008706F6"/>
    <w:rsid w:val="00870815"/>
    <w:rsid w:val="00870BEA"/>
    <w:rsid w:val="0087127B"/>
    <w:rsid w:val="008712EA"/>
    <w:rsid w:val="00871677"/>
    <w:rsid w:val="00871DD1"/>
    <w:rsid w:val="00871EE1"/>
    <w:rsid w:val="00873029"/>
    <w:rsid w:val="008730CD"/>
    <w:rsid w:val="008735D8"/>
    <w:rsid w:val="00874096"/>
    <w:rsid w:val="008745A1"/>
    <w:rsid w:val="00876113"/>
    <w:rsid w:val="00876161"/>
    <w:rsid w:val="00876211"/>
    <w:rsid w:val="008762AA"/>
    <w:rsid w:val="0087637C"/>
    <w:rsid w:val="00877418"/>
    <w:rsid w:val="00877EC1"/>
    <w:rsid w:val="00877ED6"/>
    <w:rsid w:val="008805D4"/>
    <w:rsid w:val="00880AC8"/>
    <w:rsid w:val="00880DF3"/>
    <w:rsid w:val="0088116C"/>
    <w:rsid w:val="0088123D"/>
    <w:rsid w:val="00881245"/>
    <w:rsid w:val="0088162E"/>
    <w:rsid w:val="00881892"/>
    <w:rsid w:val="00881AC1"/>
    <w:rsid w:val="00881BDE"/>
    <w:rsid w:val="00882101"/>
    <w:rsid w:val="008824FE"/>
    <w:rsid w:val="008826A5"/>
    <w:rsid w:val="00882A0B"/>
    <w:rsid w:val="008831E7"/>
    <w:rsid w:val="0088352B"/>
    <w:rsid w:val="00883531"/>
    <w:rsid w:val="008835FB"/>
    <w:rsid w:val="00883A90"/>
    <w:rsid w:val="00884B70"/>
    <w:rsid w:val="008856B2"/>
    <w:rsid w:val="008858A0"/>
    <w:rsid w:val="008868A4"/>
    <w:rsid w:val="0088693C"/>
    <w:rsid w:val="00887147"/>
    <w:rsid w:val="008873DD"/>
    <w:rsid w:val="00887435"/>
    <w:rsid w:val="008875A9"/>
    <w:rsid w:val="00887976"/>
    <w:rsid w:val="00887E1A"/>
    <w:rsid w:val="00887E7F"/>
    <w:rsid w:val="00887F51"/>
    <w:rsid w:val="0089040A"/>
    <w:rsid w:val="00890771"/>
    <w:rsid w:val="008907D9"/>
    <w:rsid w:val="00891453"/>
    <w:rsid w:val="00891A0A"/>
    <w:rsid w:val="00891B82"/>
    <w:rsid w:val="00891EC7"/>
    <w:rsid w:val="00891FEE"/>
    <w:rsid w:val="00892219"/>
    <w:rsid w:val="008925BD"/>
    <w:rsid w:val="00892ACB"/>
    <w:rsid w:val="00892BF4"/>
    <w:rsid w:val="00892CCD"/>
    <w:rsid w:val="0089302B"/>
    <w:rsid w:val="00893BBF"/>
    <w:rsid w:val="008940F1"/>
    <w:rsid w:val="00894737"/>
    <w:rsid w:val="008949A9"/>
    <w:rsid w:val="008956F4"/>
    <w:rsid w:val="00895E9B"/>
    <w:rsid w:val="00896B12"/>
    <w:rsid w:val="00897648"/>
    <w:rsid w:val="00897980"/>
    <w:rsid w:val="00897AC4"/>
    <w:rsid w:val="00897C07"/>
    <w:rsid w:val="00897C70"/>
    <w:rsid w:val="00897C9C"/>
    <w:rsid w:val="008A0409"/>
    <w:rsid w:val="008A046D"/>
    <w:rsid w:val="008A0AA3"/>
    <w:rsid w:val="008A0DC1"/>
    <w:rsid w:val="008A0F02"/>
    <w:rsid w:val="008A11BF"/>
    <w:rsid w:val="008A1504"/>
    <w:rsid w:val="008A1969"/>
    <w:rsid w:val="008A20C6"/>
    <w:rsid w:val="008A249A"/>
    <w:rsid w:val="008A2827"/>
    <w:rsid w:val="008A29B5"/>
    <w:rsid w:val="008A2C45"/>
    <w:rsid w:val="008A3747"/>
    <w:rsid w:val="008A401D"/>
    <w:rsid w:val="008A407E"/>
    <w:rsid w:val="008A416E"/>
    <w:rsid w:val="008A433B"/>
    <w:rsid w:val="008A4477"/>
    <w:rsid w:val="008A462E"/>
    <w:rsid w:val="008A4CF7"/>
    <w:rsid w:val="008A4D82"/>
    <w:rsid w:val="008A4E14"/>
    <w:rsid w:val="008A581C"/>
    <w:rsid w:val="008A5C87"/>
    <w:rsid w:val="008A6018"/>
    <w:rsid w:val="008A615F"/>
    <w:rsid w:val="008A664A"/>
    <w:rsid w:val="008A6AAD"/>
    <w:rsid w:val="008A6B74"/>
    <w:rsid w:val="008A72AD"/>
    <w:rsid w:val="008A7755"/>
    <w:rsid w:val="008A7828"/>
    <w:rsid w:val="008B0F4A"/>
    <w:rsid w:val="008B1C76"/>
    <w:rsid w:val="008B1FA3"/>
    <w:rsid w:val="008B2CAD"/>
    <w:rsid w:val="008B2D7B"/>
    <w:rsid w:val="008B2F27"/>
    <w:rsid w:val="008B3BA6"/>
    <w:rsid w:val="008B3D71"/>
    <w:rsid w:val="008B4735"/>
    <w:rsid w:val="008B497B"/>
    <w:rsid w:val="008B50E1"/>
    <w:rsid w:val="008B57A8"/>
    <w:rsid w:val="008B57EF"/>
    <w:rsid w:val="008B59F5"/>
    <w:rsid w:val="008B5AE7"/>
    <w:rsid w:val="008B5BED"/>
    <w:rsid w:val="008B6735"/>
    <w:rsid w:val="008B674A"/>
    <w:rsid w:val="008B6857"/>
    <w:rsid w:val="008B6B57"/>
    <w:rsid w:val="008B74F6"/>
    <w:rsid w:val="008C0557"/>
    <w:rsid w:val="008C057C"/>
    <w:rsid w:val="008C0687"/>
    <w:rsid w:val="008C1232"/>
    <w:rsid w:val="008C1287"/>
    <w:rsid w:val="008C168B"/>
    <w:rsid w:val="008C1B3D"/>
    <w:rsid w:val="008C1FBE"/>
    <w:rsid w:val="008C217E"/>
    <w:rsid w:val="008C21FE"/>
    <w:rsid w:val="008C27EF"/>
    <w:rsid w:val="008C28D3"/>
    <w:rsid w:val="008C2A07"/>
    <w:rsid w:val="008C2B4B"/>
    <w:rsid w:val="008C31AC"/>
    <w:rsid w:val="008C38F4"/>
    <w:rsid w:val="008C397E"/>
    <w:rsid w:val="008C3A07"/>
    <w:rsid w:val="008C4123"/>
    <w:rsid w:val="008C459C"/>
    <w:rsid w:val="008C4E82"/>
    <w:rsid w:val="008C58BE"/>
    <w:rsid w:val="008C5AD9"/>
    <w:rsid w:val="008C5D6A"/>
    <w:rsid w:val="008C60E2"/>
    <w:rsid w:val="008C640C"/>
    <w:rsid w:val="008C6567"/>
    <w:rsid w:val="008C687E"/>
    <w:rsid w:val="008C6923"/>
    <w:rsid w:val="008C6DD8"/>
    <w:rsid w:val="008C7DA2"/>
    <w:rsid w:val="008D0014"/>
    <w:rsid w:val="008D0586"/>
    <w:rsid w:val="008D0909"/>
    <w:rsid w:val="008D09A4"/>
    <w:rsid w:val="008D1005"/>
    <w:rsid w:val="008D1B7E"/>
    <w:rsid w:val="008D1F4C"/>
    <w:rsid w:val="008D3DB5"/>
    <w:rsid w:val="008D41D9"/>
    <w:rsid w:val="008D4281"/>
    <w:rsid w:val="008D4394"/>
    <w:rsid w:val="008D463D"/>
    <w:rsid w:val="008D4C47"/>
    <w:rsid w:val="008D56D7"/>
    <w:rsid w:val="008D5837"/>
    <w:rsid w:val="008D5B75"/>
    <w:rsid w:val="008D5BDC"/>
    <w:rsid w:val="008D618A"/>
    <w:rsid w:val="008D6316"/>
    <w:rsid w:val="008D6659"/>
    <w:rsid w:val="008D706F"/>
    <w:rsid w:val="008D771A"/>
    <w:rsid w:val="008D79FD"/>
    <w:rsid w:val="008D7E24"/>
    <w:rsid w:val="008E004B"/>
    <w:rsid w:val="008E008E"/>
    <w:rsid w:val="008E03E9"/>
    <w:rsid w:val="008E0654"/>
    <w:rsid w:val="008E0B6A"/>
    <w:rsid w:val="008E0BFE"/>
    <w:rsid w:val="008E1051"/>
    <w:rsid w:val="008E116F"/>
    <w:rsid w:val="008E139B"/>
    <w:rsid w:val="008E14A7"/>
    <w:rsid w:val="008E19F3"/>
    <w:rsid w:val="008E1BBA"/>
    <w:rsid w:val="008E1E52"/>
    <w:rsid w:val="008E28AD"/>
    <w:rsid w:val="008E31CB"/>
    <w:rsid w:val="008E327E"/>
    <w:rsid w:val="008E32BD"/>
    <w:rsid w:val="008E3488"/>
    <w:rsid w:val="008E34E4"/>
    <w:rsid w:val="008E34F3"/>
    <w:rsid w:val="008E3B22"/>
    <w:rsid w:val="008E3C3F"/>
    <w:rsid w:val="008E3EA0"/>
    <w:rsid w:val="008E3EC7"/>
    <w:rsid w:val="008E4322"/>
    <w:rsid w:val="008E4781"/>
    <w:rsid w:val="008E483E"/>
    <w:rsid w:val="008E4BA9"/>
    <w:rsid w:val="008E4C74"/>
    <w:rsid w:val="008E4DED"/>
    <w:rsid w:val="008E5742"/>
    <w:rsid w:val="008E6141"/>
    <w:rsid w:val="008E7055"/>
    <w:rsid w:val="008E7360"/>
    <w:rsid w:val="008E7669"/>
    <w:rsid w:val="008E79AC"/>
    <w:rsid w:val="008E7AF6"/>
    <w:rsid w:val="008F06FD"/>
    <w:rsid w:val="008F08F2"/>
    <w:rsid w:val="008F0BCE"/>
    <w:rsid w:val="008F1377"/>
    <w:rsid w:val="008F1979"/>
    <w:rsid w:val="008F2080"/>
    <w:rsid w:val="008F2224"/>
    <w:rsid w:val="008F22EA"/>
    <w:rsid w:val="008F285E"/>
    <w:rsid w:val="008F2A1E"/>
    <w:rsid w:val="008F2CB6"/>
    <w:rsid w:val="008F2D1F"/>
    <w:rsid w:val="008F2FDF"/>
    <w:rsid w:val="008F308A"/>
    <w:rsid w:val="008F3456"/>
    <w:rsid w:val="008F3520"/>
    <w:rsid w:val="008F3A1C"/>
    <w:rsid w:val="008F3A21"/>
    <w:rsid w:val="008F3C32"/>
    <w:rsid w:val="008F3CD3"/>
    <w:rsid w:val="008F3CFD"/>
    <w:rsid w:val="008F42AF"/>
    <w:rsid w:val="008F433A"/>
    <w:rsid w:val="008F43B1"/>
    <w:rsid w:val="008F43CF"/>
    <w:rsid w:val="008F4585"/>
    <w:rsid w:val="008F47BA"/>
    <w:rsid w:val="008F4FA2"/>
    <w:rsid w:val="008F5145"/>
    <w:rsid w:val="008F5710"/>
    <w:rsid w:val="008F6C87"/>
    <w:rsid w:val="008F7825"/>
    <w:rsid w:val="008F79BA"/>
    <w:rsid w:val="008F7B22"/>
    <w:rsid w:val="008F7F1D"/>
    <w:rsid w:val="00900536"/>
    <w:rsid w:val="009006EB"/>
    <w:rsid w:val="00900C62"/>
    <w:rsid w:val="00900E49"/>
    <w:rsid w:val="00901093"/>
    <w:rsid w:val="009010AA"/>
    <w:rsid w:val="00901BD1"/>
    <w:rsid w:val="00901D51"/>
    <w:rsid w:val="00902385"/>
    <w:rsid w:val="0090255A"/>
    <w:rsid w:val="0090266B"/>
    <w:rsid w:val="009026BD"/>
    <w:rsid w:val="0090270E"/>
    <w:rsid w:val="00902A1C"/>
    <w:rsid w:val="00902BAF"/>
    <w:rsid w:val="0090355E"/>
    <w:rsid w:val="0090374D"/>
    <w:rsid w:val="00903912"/>
    <w:rsid w:val="00903F83"/>
    <w:rsid w:val="0090426F"/>
    <w:rsid w:val="00904374"/>
    <w:rsid w:val="009044E2"/>
    <w:rsid w:val="009045A0"/>
    <w:rsid w:val="00906330"/>
    <w:rsid w:val="009064E8"/>
    <w:rsid w:val="009068A5"/>
    <w:rsid w:val="00906978"/>
    <w:rsid w:val="00906C1B"/>
    <w:rsid w:val="00906C6C"/>
    <w:rsid w:val="00906E6A"/>
    <w:rsid w:val="00906EB4"/>
    <w:rsid w:val="00907266"/>
    <w:rsid w:val="00907C56"/>
    <w:rsid w:val="009109A3"/>
    <w:rsid w:val="00911AFA"/>
    <w:rsid w:val="00912060"/>
    <w:rsid w:val="00912230"/>
    <w:rsid w:val="009123F4"/>
    <w:rsid w:val="00912699"/>
    <w:rsid w:val="009129C0"/>
    <w:rsid w:val="009132DD"/>
    <w:rsid w:val="0091336C"/>
    <w:rsid w:val="00913AF0"/>
    <w:rsid w:val="00913F8E"/>
    <w:rsid w:val="009141FD"/>
    <w:rsid w:val="00914579"/>
    <w:rsid w:val="00914C29"/>
    <w:rsid w:val="00915028"/>
    <w:rsid w:val="00915387"/>
    <w:rsid w:val="009157F8"/>
    <w:rsid w:val="00916091"/>
    <w:rsid w:val="00916C37"/>
    <w:rsid w:val="00917164"/>
    <w:rsid w:val="009171FA"/>
    <w:rsid w:val="00917636"/>
    <w:rsid w:val="00917F23"/>
    <w:rsid w:val="009202DA"/>
    <w:rsid w:val="009208C9"/>
    <w:rsid w:val="00920E4C"/>
    <w:rsid w:val="00920FDD"/>
    <w:rsid w:val="00921846"/>
    <w:rsid w:val="00922957"/>
    <w:rsid w:val="00922B2C"/>
    <w:rsid w:val="0092324A"/>
    <w:rsid w:val="0092341C"/>
    <w:rsid w:val="00923991"/>
    <w:rsid w:val="009239C3"/>
    <w:rsid w:val="00923CE8"/>
    <w:rsid w:val="00923D93"/>
    <w:rsid w:val="00923FFD"/>
    <w:rsid w:val="00924035"/>
    <w:rsid w:val="009243B4"/>
    <w:rsid w:val="009251A6"/>
    <w:rsid w:val="009251F9"/>
    <w:rsid w:val="009253D6"/>
    <w:rsid w:val="0092544D"/>
    <w:rsid w:val="0092609B"/>
    <w:rsid w:val="00926191"/>
    <w:rsid w:val="00926C4C"/>
    <w:rsid w:val="00926C53"/>
    <w:rsid w:val="00926E85"/>
    <w:rsid w:val="00926E98"/>
    <w:rsid w:val="00926FA0"/>
    <w:rsid w:val="00927105"/>
    <w:rsid w:val="00927576"/>
    <w:rsid w:val="00927C6E"/>
    <w:rsid w:val="00927E84"/>
    <w:rsid w:val="0093023B"/>
    <w:rsid w:val="0093038A"/>
    <w:rsid w:val="009306A5"/>
    <w:rsid w:val="009308A2"/>
    <w:rsid w:val="009317AC"/>
    <w:rsid w:val="00931BDC"/>
    <w:rsid w:val="00931C85"/>
    <w:rsid w:val="00931D73"/>
    <w:rsid w:val="00931DFC"/>
    <w:rsid w:val="00932185"/>
    <w:rsid w:val="00932224"/>
    <w:rsid w:val="00932345"/>
    <w:rsid w:val="009326BF"/>
    <w:rsid w:val="0093270C"/>
    <w:rsid w:val="00932767"/>
    <w:rsid w:val="00932E49"/>
    <w:rsid w:val="00933B63"/>
    <w:rsid w:val="00933B72"/>
    <w:rsid w:val="00933E2F"/>
    <w:rsid w:val="00934016"/>
    <w:rsid w:val="009342CE"/>
    <w:rsid w:val="009342D3"/>
    <w:rsid w:val="00934306"/>
    <w:rsid w:val="009346CB"/>
    <w:rsid w:val="009347EA"/>
    <w:rsid w:val="00934A46"/>
    <w:rsid w:val="00934B49"/>
    <w:rsid w:val="0093511B"/>
    <w:rsid w:val="009351D0"/>
    <w:rsid w:val="00935DED"/>
    <w:rsid w:val="009362B5"/>
    <w:rsid w:val="00936386"/>
    <w:rsid w:val="00936941"/>
    <w:rsid w:val="00936BD3"/>
    <w:rsid w:val="0093724F"/>
    <w:rsid w:val="009373E0"/>
    <w:rsid w:val="00937CA7"/>
    <w:rsid w:val="009406AE"/>
    <w:rsid w:val="00940B68"/>
    <w:rsid w:val="00941039"/>
    <w:rsid w:val="00941144"/>
    <w:rsid w:val="00941A3D"/>
    <w:rsid w:val="009421FE"/>
    <w:rsid w:val="00942565"/>
    <w:rsid w:val="0094262B"/>
    <w:rsid w:val="0094280F"/>
    <w:rsid w:val="00942AFC"/>
    <w:rsid w:val="00942C15"/>
    <w:rsid w:val="00942C24"/>
    <w:rsid w:val="00942F2B"/>
    <w:rsid w:val="00942F56"/>
    <w:rsid w:val="0094371E"/>
    <w:rsid w:val="00943F65"/>
    <w:rsid w:val="00944225"/>
    <w:rsid w:val="00944C06"/>
    <w:rsid w:val="0094569F"/>
    <w:rsid w:val="00945CE2"/>
    <w:rsid w:val="00945DA0"/>
    <w:rsid w:val="0094654C"/>
    <w:rsid w:val="009469B1"/>
    <w:rsid w:val="00946B02"/>
    <w:rsid w:val="00946BB1"/>
    <w:rsid w:val="00946E67"/>
    <w:rsid w:val="009476C8"/>
    <w:rsid w:val="009476E2"/>
    <w:rsid w:val="00947AD1"/>
    <w:rsid w:val="00950681"/>
    <w:rsid w:val="00950B6A"/>
    <w:rsid w:val="00950C93"/>
    <w:rsid w:val="00950C95"/>
    <w:rsid w:val="009510A8"/>
    <w:rsid w:val="00951105"/>
    <w:rsid w:val="009514B6"/>
    <w:rsid w:val="009515E1"/>
    <w:rsid w:val="00951BF7"/>
    <w:rsid w:val="00952079"/>
    <w:rsid w:val="00952C32"/>
    <w:rsid w:val="00952E99"/>
    <w:rsid w:val="00953170"/>
    <w:rsid w:val="009535F4"/>
    <w:rsid w:val="009540FD"/>
    <w:rsid w:val="00954353"/>
    <w:rsid w:val="00954359"/>
    <w:rsid w:val="00954EE3"/>
    <w:rsid w:val="00955135"/>
    <w:rsid w:val="009556F2"/>
    <w:rsid w:val="00955894"/>
    <w:rsid w:val="00955E1E"/>
    <w:rsid w:val="009560D0"/>
    <w:rsid w:val="009563B3"/>
    <w:rsid w:val="0095740F"/>
    <w:rsid w:val="009576C4"/>
    <w:rsid w:val="00957D03"/>
    <w:rsid w:val="00957E97"/>
    <w:rsid w:val="009605E6"/>
    <w:rsid w:val="00960D8D"/>
    <w:rsid w:val="009612A9"/>
    <w:rsid w:val="009612CD"/>
    <w:rsid w:val="009617C1"/>
    <w:rsid w:val="00962055"/>
    <w:rsid w:val="009620C9"/>
    <w:rsid w:val="00962497"/>
    <w:rsid w:val="009625AE"/>
    <w:rsid w:val="00962662"/>
    <w:rsid w:val="00962E27"/>
    <w:rsid w:val="009630C6"/>
    <w:rsid w:val="00963769"/>
    <w:rsid w:val="00963AC1"/>
    <w:rsid w:val="00963F67"/>
    <w:rsid w:val="009640C9"/>
    <w:rsid w:val="00965259"/>
    <w:rsid w:val="00965569"/>
    <w:rsid w:val="00965857"/>
    <w:rsid w:val="00965858"/>
    <w:rsid w:val="00965B18"/>
    <w:rsid w:val="00965DE7"/>
    <w:rsid w:val="00965E0E"/>
    <w:rsid w:val="00965E8D"/>
    <w:rsid w:val="0096603C"/>
    <w:rsid w:val="009662CC"/>
    <w:rsid w:val="009664F1"/>
    <w:rsid w:val="00966912"/>
    <w:rsid w:val="009672F4"/>
    <w:rsid w:val="009673CB"/>
    <w:rsid w:val="00967668"/>
    <w:rsid w:val="009676AB"/>
    <w:rsid w:val="009678F4"/>
    <w:rsid w:val="00970076"/>
    <w:rsid w:val="0097031A"/>
    <w:rsid w:val="0097046A"/>
    <w:rsid w:val="00970951"/>
    <w:rsid w:val="00970B24"/>
    <w:rsid w:val="00971861"/>
    <w:rsid w:val="00971A38"/>
    <w:rsid w:val="00971AAE"/>
    <w:rsid w:val="00971D22"/>
    <w:rsid w:val="0097208B"/>
    <w:rsid w:val="009720E6"/>
    <w:rsid w:val="0097275C"/>
    <w:rsid w:val="0097361E"/>
    <w:rsid w:val="00974610"/>
    <w:rsid w:val="00975050"/>
    <w:rsid w:val="009750B0"/>
    <w:rsid w:val="00975321"/>
    <w:rsid w:val="00975673"/>
    <w:rsid w:val="00975862"/>
    <w:rsid w:val="00975A77"/>
    <w:rsid w:val="00976C3B"/>
    <w:rsid w:val="009771C1"/>
    <w:rsid w:val="00977590"/>
    <w:rsid w:val="00977DD5"/>
    <w:rsid w:val="0098015E"/>
    <w:rsid w:val="009802D8"/>
    <w:rsid w:val="00980B4E"/>
    <w:rsid w:val="00980F93"/>
    <w:rsid w:val="0098132F"/>
    <w:rsid w:val="009813D0"/>
    <w:rsid w:val="00981866"/>
    <w:rsid w:val="00981999"/>
    <w:rsid w:val="0098210A"/>
    <w:rsid w:val="00982328"/>
    <w:rsid w:val="0098260E"/>
    <w:rsid w:val="009827A6"/>
    <w:rsid w:val="00982E2A"/>
    <w:rsid w:val="00983156"/>
    <w:rsid w:val="009837D9"/>
    <w:rsid w:val="0098450B"/>
    <w:rsid w:val="009847F7"/>
    <w:rsid w:val="00984F0B"/>
    <w:rsid w:val="00984F6F"/>
    <w:rsid w:val="009852B7"/>
    <w:rsid w:val="00986D6A"/>
    <w:rsid w:val="00986D78"/>
    <w:rsid w:val="00987171"/>
    <w:rsid w:val="00987219"/>
    <w:rsid w:val="00987700"/>
    <w:rsid w:val="0098798F"/>
    <w:rsid w:val="00987C64"/>
    <w:rsid w:val="0099019B"/>
    <w:rsid w:val="0099071F"/>
    <w:rsid w:val="00990C02"/>
    <w:rsid w:val="00990F05"/>
    <w:rsid w:val="0099139F"/>
    <w:rsid w:val="00992CB9"/>
    <w:rsid w:val="00992EDA"/>
    <w:rsid w:val="009934E7"/>
    <w:rsid w:val="0099380D"/>
    <w:rsid w:val="00993B27"/>
    <w:rsid w:val="00993D37"/>
    <w:rsid w:val="009940D7"/>
    <w:rsid w:val="00994228"/>
    <w:rsid w:val="009944C7"/>
    <w:rsid w:val="0099482E"/>
    <w:rsid w:val="00994988"/>
    <w:rsid w:val="009953CC"/>
    <w:rsid w:val="0099586D"/>
    <w:rsid w:val="0099588A"/>
    <w:rsid w:val="009958DE"/>
    <w:rsid w:val="00995E7F"/>
    <w:rsid w:val="00996362"/>
    <w:rsid w:val="009967FD"/>
    <w:rsid w:val="009968F5"/>
    <w:rsid w:val="00996A95"/>
    <w:rsid w:val="009A0775"/>
    <w:rsid w:val="009A0BE9"/>
    <w:rsid w:val="009A1179"/>
    <w:rsid w:val="009A1321"/>
    <w:rsid w:val="009A1336"/>
    <w:rsid w:val="009A1672"/>
    <w:rsid w:val="009A1B0A"/>
    <w:rsid w:val="009A2269"/>
    <w:rsid w:val="009A23B5"/>
    <w:rsid w:val="009A273D"/>
    <w:rsid w:val="009A2867"/>
    <w:rsid w:val="009A2A39"/>
    <w:rsid w:val="009A322B"/>
    <w:rsid w:val="009A34F1"/>
    <w:rsid w:val="009A3527"/>
    <w:rsid w:val="009A3A36"/>
    <w:rsid w:val="009A3E51"/>
    <w:rsid w:val="009A4428"/>
    <w:rsid w:val="009A4770"/>
    <w:rsid w:val="009A5624"/>
    <w:rsid w:val="009A5AF9"/>
    <w:rsid w:val="009A6014"/>
    <w:rsid w:val="009A6C96"/>
    <w:rsid w:val="009A6D30"/>
    <w:rsid w:val="009A6EFF"/>
    <w:rsid w:val="009A725F"/>
    <w:rsid w:val="009A7D1F"/>
    <w:rsid w:val="009B00CF"/>
    <w:rsid w:val="009B0185"/>
    <w:rsid w:val="009B02D0"/>
    <w:rsid w:val="009B0735"/>
    <w:rsid w:val="009B0811"/>
    <w:rsid w:val="009B08F0"/>
    <w:rsid w:val="009B1891"/>
    <w:rsid w:val="009B1AC2"/>
    <w:rsid w:val="009B1AD9"/>
    <w:rsid w:val="009B1C58"/>
    <w:rsid w:val="009B1CD0"/>
    <w:rsid w:val="009B1DDA"/>
    <w:rsid w:val="009B2795"/>
    <w:rsid w:val="009B293B"/>
    <w:rsid w:val="009B3055"/>
    <w:rsid w:val="009B3AFA"/>
    <w:rsid w:val="009B3C02"/>
    <w:rsid w:val="009B415E"/>
    <w:rsid w:val="009B41FB"/>
    <w:rsid w:val="009B420A"/>
    <w:rsid w:val="009B46FA"/>
    <w:rsid w:val="009B485B"/>
    <w:rsid w:val="009B4E9F"/>
    <w:rsid w:val="009B4FFF"/>
    <w:rsid w:val="009B58F5"/>
    <w:rsid w:val="009B591F"/>
    <w:rsid w:val="009B5DD2"/>
    <w:rsid w:val="009B5DE1"/>
    <w:rsid w:val="009B6124"/>
    <w:rsid w:val="009B6E75"/>
    <w:rsid w:val="009B7061"/>
    <w:rsid w:val="009B7087"/>
    <w:rsid w:val="009B726B"/>
    <w:rsid w:val="009B75D0"/>
    <w:rsid w:val="009C0807"/>
    <w:rsid w:val="009C0886"/>
    <w:rsid w:val="009C0905"/>
    <w:rsid w:val="009C0D96"/>
    <w:rsid w:val="009C10DE"/>
    <w:rsid w:val="009C1AAF"/>
    <w:rsid w:val="009C1F14"/>
    <w:rsid w:val="009C2640"/>
    <w:rsid w:val="009C29D2"/>
    <w:rsid w:val="009C2C2C"/>
    <w:rsid w:val="009C30A8"/>
    <w:rsid w:val="009C31A2"/>
    <w:rsid w:val="009C3475"/>
    <w:rsid w:val="009C3745"/>
    <w:rsid w:val="009C3DF3"/>
    <w:rsid w:val="009C4A06"/>
    <w:rsid w:val="009C509A"/>
    <w:rsid w:val="009C50F3"/>
    <w:rsid w:val="009C5348"/>
    <w:rsid w:val="009C59D8"/>
    <w:rsid w:val="009C5DEE"/>
    <w:rsid w:val="009C635A"/>
    <w:rsid w:val="009C6BB1"/>
    <w:rsid w:val="009C709C"/>
    <w:rsid w:val="009C7721"/>
    <w:rsid w:val="009C7B8F"/>
    <w:rsid w:val="009C7E81"/>
    <w:rsid w:val="009D0371"/>
    <w:rsid w:val="009D0BC2"/>
    <w:rsid w:val="009D0F92"/>
    <w:rsid w:val="009D1211"/>
    <w:rsid w:val="009D1304"/>
    <w:rsid w:val="009D1A33"/>
    <w:rsid w:val="009D1DEC"/>
    <w:rsid w:val="009D1E26"/>
    <w:rsid w:val="009D23D4"/>
    <w:rsid w:val="009D24FF"/>
    <w:rsid w:val="009D2A0F"/>
    <w:rsid w:val="009D2B85"/>
    <w:rsid w:val="009D3094"/>
    <w:rsid w:val="009D30F3"/>
    <w:rsid w:val="009D3283"/>
    <w:rsid w:val="009D37F4"/>
    <w:rsid w:val="009D3CCF"/>
    <w:rsid w:val="009D3D66"/>
    <w:rsid w:val="009D3FFD"/>
    <w:rsid w:val="009D447B"/>
    <w:rsid w:val="009D44AC"/>
    <w:rsid w:val="009D472F"/>
    <w:rsid w:val="009D5563"/>
    <w:rsid w:val="009D63BE"/>
    <w:rsid w:val="009D66B8"/>
    <w:rsid w:val="009D67FC"/>
    <w:rsid w:val="009D698F"/>
    <w:rsid w:val="009D69E9"/>
    <w:rsid w:val="009D6A41"/>
    <w:rsid w:val="009D6BE6"/>
    <w:rsid w:val="009D6F9D"/>
    <w:rsid w:val="009D751C"/>
    <w:rsid w:val="009D7BB2"/>
    <w:rsid w:val="009E00D3"/>
    <w:rsid w:val="009E0238"/>
    <w:rsid w:val="009E0544"/>
    <w:rsid w:val="009E0813"/>
    <w:rsid w:val="009E118A"/>
    <w:rsid w:val="009E1B54"/>
    <w:rsid w:val="009E1D62"/>
    <w:rsid w:val="009E2681"/>
    <w:rsid w:val="009E2ADC"/>
    <w:rsid w:val="009E2B32"/>
    <w:rsid w:val="009E2BAB"/>
    <w:rsid w:val="009E3700"/>
    <w:rsid w:val="009E3735"/>
    <w:rsid w:val="009E3D97"/>
    <w:rsid w:val="009E418D"/>
    <w:rsid w:val="009E41F1"/>
    <w:rsid w:val="009E476A"/>
    <w:rsid w:val="009E4F89"/>
    <w:rsid w:val="009E50FF"/>
    <w:rsid w:val="009E540F"/>
    <w:rsid w:val="009E54BC"/>
    <w:rsid w:val="009E56FC"/>
    <w:rsid w:val="009E695D"/>
    <w:rsid w:val="009E6A87"/>
    <w:rsid w:val="009E6BC9"/>
    <w:rsid w:val="009E6E31"/>
    <w:rsid w:val="009E6E9D"/>
    <w:rsid w:val="009E6ED5"/>
    <w:rsid w:val="009E6F72"/>
    <w:rsid w:val="009E7242"/>
    <w:rsid w:val="009E72EA"/>
    <w:rsid w:val="009E7497"/>
    <w:rsid w:val="009E7A07"/>
    <w:rsid w:val="009E7DED"/>
    <w:rsid w:val="009E7FA3"/>
    <w:rsid w:val="009F0A38"/>
    <w:rsid w:val="009F0EB2"/>
    <w:rsid w:val="009F1126"/>
    <w:rsid w:val="009F156A"/>
    <w:rsid w:val="009F22A4"/>
    <w:rsid w:val="009F2ACA"/>
    <w:rsid w:val="009F2AEE"/>
    <w:rsid w:val="009F2CA2"/>
    <w:rsid w:val="009F34C5"/>
    <w:rsid w:val="009F3E9C"/>
    <w:rsid w:val="009F40C9"/>
    <w:rsid w:val="009F4BC6"/>
    <w:rsid w:val="009F5068"/>
    <w:rsid w:val="009F5198"/>
    <w:rsid w:val="009F51AB"/>
    <w:rsid w:val="009F550A"/>
    <w:rsid w:val="009F5A40"/>
    <w:rsid w:val="009F5EFC"/>
    <w:rsid w:val="009F61B8"/>
    <w:rsid w:val="009F657E"/>
    <w:rsid w:val="009F6915"/>
    <w:rsid w:val="009F69D4"/>
    <w:rsid w:val="009F6AF3"/>
    <w:rsid w:val="009F6EF1"/>
    <w:rsid w:val="009F70B0"/>
    <w:rsid w:val="009F717F"/>
    <w:rsid w:val="009F759C"/>
    <w:rsid w:val="009F75B4"/>
    <w:rsid w:val="00A0001E"/>
    <w:rsid w:val="00A002D9"/>
    <w:rsid w:val="00A00D56"/>
    <w:rsid w:val="00A01197"/>
    <w:rsid w:val="00A011F4"/>
    <w:rsid w:val="00A015E0"/>
    <w:rsid w:val="00A02063"/>
    <w:rsid w:val="00A02566"/>
    <w:rsid w:val="00A02AD2"/>
    <w:rsid w:val="00A02BD3"/>
    <w:rsid w:val="00A02BFE"/>
    <w:rsid w:val="00A02C0D"/>
    <w:rsid w:val="00A03876"/>
    <w:rsid w:val="00A039B8"/>
    <w:rsid w:val="00A03FEA"/>
    <w:rsid w:val="00A0416D"/>
    <w:rsid w:val="00A041CD"/>
    <w:rsid w:val="00A045FB"/>
    <w:rsid w:val="00A046F7"/>
    <w:rsid w:val="00A051EB"/>
    <w:rsid w:val="00A05CE0"/>
    <w:rsid w:val="00A05D7C"/>
    <w:rsid w:val="00A06363"/>
    <w:rsid w:val="00A0698B"/>
    <w:rsid w:val="00A06CBC"/>
    <w:rsid w:val="00A0799C"/>
    <w:rsid w:val="00A07BBB"/>
    <w:rsid w:val="00A07C10"/>
    <w:rsid w:val="00A07E00"/>
    <w:rsid w:val="00A07F84"/>
    <w:rsid w:val="00A1034E"/>
    <w:rsid w:val="00A106A6"/>
    <w:rsid w:val="00A109F2"/>
    <w:rsid w:val="00A10A42"/>
    <w:rsid w:val="00A10B84"/>
    <w:rsid w:val="00A10C45"/>
    <w:rsid w:val="00A11153"/>
    <w:rsid w:val="00A11982"/>
    <w:rsid w:val="00A11A41"/>
    <w:rsid w:val="00A11EC5"/>
    <w:rsid w:val="00A12723"/>
    <w:rsid w:val="00A12918"/>
    <w:rsid w:val="00A12C8F"/>
    <w:rsid w:val="00A12FA9"/>
    <w:rsid w:val="00A13014"/>
    <w:rsid w:val="00A13D53"/>
    <w:rsid w:val="00A14021"/>
    <w:rsid w:val="00A140EE"/>
    <w:rsid w:val="00A14717"/>
    <w:rsid w:val="00A148E0"/>
    <w:rsid w:val="00A150E9"/>
    <w:rsid w:val="00A15382"/>
    <w:rsid w:val="00A155A9"/>
    <w:rsid w:val="00A156D4"/>
    <w:rsid w:val="00A1578F"/>
    <w:rsid w:val="00A158B3"/>
    <w:rsid w:val="00A15AE2"/>
    <w:rsid w:val="00A15FEA"/>
    <w:rsid w:val="00A165FD"/>
    <w:rsid w:val="00A16A45"/>
    <w:rsid w:val="00A16BB1"/>
    <w:rsid w:val="00A16CB8"/>
    <w:rsid w:val="00A16F35"/>
    <w:rsid w:val="00A17308"/>
    <w:rsid w:val="00A1752D"/>
    <w:rsid w:val="00A1756D"/>
    <w:rsid w:val="00A17E6C"/>
    <w:rsid w:val="00A17F79"/>
    <w:rsid w:val="00A2024D"/>
    <w:rsid w:val="00A218E0"/>
    <w:rsid w:val="00A2196E"/>
    <w:rsid w:val="00A21A2D"/>
    <w:rsid w:val="00A22968"/>
    <w:rsid w:val="00A22BAF"/>
    <w:rsid w:val="00A23717"/>
    <w:rsid w:val="00A237B7"/>
    <w:rsid w:val="00A239B4"/>
    <w:rsid w:val="00A23DAF"/>
    <w:rsid w:val="00A23EAD"/>
    <w:rsid w:val="00A2400E"/>
    <w:rsid w:val="00A24481"/>
    <w:rsid w:val="00A24C94"/>
    <w:rsid w:val="00A252D7"/>
    <w:rsid w:val="00A256C9"/>
    <w:rsid w:val="00A2573D"/>
    <w:rsid w:val="00A25BCE"/>
    <w:rsid w:val="00A266B7"/>
    <w:rsid w:val="00A26961"/>
    <w:rsid w:val="00A26C6E"/>
    <w:rsid w:val="00A27029"/>
    <w:rsid w:val="00A2752D"/>
    <w:rsid w:val="00A275E0"/>
    <w:rsid w:val="00A276D4"/>
    <w:rsid w:val="00A27A4A"/>
    <w:rsid w:val="00A27D9A"/>
    <w:rsid w:val="00A303AC"/>
    <w:rsid w:val="00A30418"/>
    <w:rsid w:val="00A30694"/>
    <w:rsid w:val="00A30911"/>
    <w:rsid w:val="00A31903"/>
    <w:rsid w:val="00A31F66"/>
    <w:rsid w:val="00A31FCB"/>
    <w:rsid w:val="00A325E9"/>
    <w:rsid w:val="00A32718"/>
    <w:rsid w:val="00A32772"/>
    <w:rsid w:val="00A32AD3"/>
    <w:rsid w:val="00A33557"/>
    <w:rsid w:val="00A33613"/>
    <w:rsid w:val="00A33AFC"/>
    <w:rsid w:val="00A33C4F"/>
    <w:rsid w:val="00A33DC6"/>
    <w:rsid w:val="00A3460B"/>
    <w:rsid w:val="00A34F28"/>
    <w:rsid w:val="00A35240"/>
    <w:rsid w:val="00A35678"/>
    <w:rsid w:val="00A35843"/>
    <w:rsid w:val="00A36B50"/>
    <w:rsid w:val="00A36C57"/>
    <w:rsid w:val="00A37358"/>
    <w:rsid w:val="00A376DF"/>
    <w:rsid w:val="00A377C8"/>
    <w:rsid w:val="00A378C6"/>
    <w:rsid w:val="00A37AC2"/>
    <w:rsid w:val="00A403AD"/>
    <w:rsid w:val="00A40B30"/>
    <w:rsid w:val="00A40E18"/>
    <w:rsid w:val="00A4143B"/>
    <w:rsid w:val="00A414A4"/>
    <w:rsid w:val="00A419E5"/>
    <w:rsid w:val="00A41E7C"/>
    <w:rsid w:val="00A41E8D"/>
    <w:rsid w:val="00A42418"/>
    <w:rsid w:val="00A4272B"/>
    <w:rsid w:val="00A42843"/>
    <w:rsid w:val="00A437B3"/>
    <w:rsid w:val="00A43A43"/>
    <w:rsid w:val="00A4404E"/>
    <w:rsid w:val="00A44081"/>
    <w:rsid w:val="00A44188"/>
    <w:rsid w:val="00A44691"/>
    <w:rsid w:val="00A44BC8"/>
    <w:rsid w:val="00A4556F"/>
    <w:rsid w:val="00A45A1E"/>
    <w:rsid w:val="00A45A6B"/>
    <w:rsid w:val="00A45B60"/>
    <w:rsid w:val="00A46530"/>
    <w:rsid w:val="00A466BA"/>
    <w:rsid w:val="00A4776F"/>
    <w:rsid w:val="00A477E0"/>
    <w:rsid w:val="00A47998"/>
    <w:rsid w:val="00A47A57"/>
    <w:rsid w:val="00A47C22"/>
    <w:rsid w:val="00A506AD"/>
    <w:rsid w:val="00A50A10"/>
    <w:rsid w:val="00A50C7B"/>
    <w:rsid w:val="00A51348"/>
    <w:rsid w:val="00A51590"/>
    <w:rsid w:val="00A515AC"/>
    <w:rsid w:val="00A516A0"/>
    <w:rsid w:val="00A51BAC"/>
    <w:rsid w:val="00A51C13"/>
    <w:rsid w:val="00A527CB"/>
    <w:rsid w:val="00A52F32"/>
    <w:rsid w:val="00A53237"/>
    <w:rsid w:val="00A53E9B"/>
    <w:rsid w:val="00A540E4"/>
    <w:rsid w:val="00A547B5"/>
    <w:rsid w:val="00A54BA6"/>
    <w:rsid w:val="00A54CD6"/>
    <w:rsid w:val="00A54F92"/>
    <w:rsid w:val="00A551BC"/>
    <w:rsid w:val="00A553E1"/>
    <w:rsid w:val="00A553FA"/>
    <w:rsid w:val="00A554A5"/>
    <w:rsid w:val="00A55546"/>
    <w:rsid w:val="00A55564"/>
    <w:rsid w:val="00A55990"/>
    <w:rsid w:val="00A55AAD"/>
    <w:rsid w:val="00A567A4"/>
    <w:rsid w:val="00A56855"/>
    <w:rsid w:val="00A56E8F"/>
    <w:rsid w:val="00A56F36"/>
    <w:rsid w:val="00A57354"/>
    <w:rsid w:val="00A57767"/>
    <w:rsid w:val="00A577C3"/>
    <w:rsid w:val="00A57DB1"/>
    <w:rsid w:val="00A60065"/>
    <w:rsid w:val="00A602FE"/>
    <w:rsid w:val="00A60C28"/>
    <w:rsid w:val="00A614E6"/>
    <w:rsid w:val="00A61821"/>
    <w:rsid w:val="00A618E7"/>
    <w:rsid w:val="00A61C4D"/>
    <w:rsid w:val="00A61D4A"/>
    <w:rsid w:val="00A623BF"/>
    <w:rsid w:val="00A62E31"/>
    <w:rsid w:val="00A62EFC"/>
    <w:rsid w:val="00A63E62"/>
    <w:rsid w:val="00A64177"/>
    <w:rsid w:val="00A642BE"/>
    <w:rsid w:val="00A6446C"/>
    <w:rsid w:val="00A646A6"/>
    <w:rsid w:val="00A64A2F"/>
    <w:rsid w:val="00A64E7A"/>
    <w:rsid w:val="00A65158"/>
    <w:rsid w:val="00A65403"/>
    <w:rsid w:val="00A65881"/>
    <w:rsid w:val="00A6589B"/>
    <w:rsid w:val="00A65C31"/>
    <w:rsid w:val="00A65E5C"/>
    <w:rsid w:val="00A65F90"/>
    <w:rsid w:val="00A6673F"/>
    <w:rsid w:val="00A669A6"/>
    <w:rsid w:val="00A66AEB"/>
    <w:rsid w:val="00A66DDC"/>
    <w:rsid w:val="00A67388"/>
    <w:rsid w:val="00A673AB"/>
    <w:rsid w:val="00A676A0"/>
    <w:rsid w:val="00A6789D"/>
    <w:rsid w:val="00A702D9"/>
    <w:rsid w:val="00A703B4"/>
    <w:rsid w:val="00A705D0"/>
    <w:rsid w:val="00A7068F"/>
    <w:rsid w:val="00A708CF"/>
    <w:rsid w:val="00A70DAA"/>
    <w:rsid w:val="00A71079"/>
    <w:rsid w:val="00A714A9"/>
    <w:rsid w:val="00A717C0"/>
    <w:rsid w:val="00A71977"/>
    <w:rsid w:val="00A71A70"/>
    <w:rsid w:val="00A71CD0"/>
    <w:rsid w:val="00A72093"/>
    <w:rsid w:val="00A72AB3"/>
    <w:rsid w:val="00A73390"/>
    <w:rsid w:val="00A734CD"/>
    <w:rsid w:val="00A738DE"/>
    <w:rsid w:val="00A757E6"/>
    <w:rsid w:val="00A75BFE"/>
    <w:rsid w:val="00A75C59"/>
    <w:rsid w:val="00A75D91"/>
    <w:rsid w:val="00A763AB"/>
    <w:rsid w:val="00A76DB5"/>
    <w:rsid w:val="00A77CA9"/>
    <w:rsid w:val="00A80309"/>
    <w:rsid w:val="00A8043F"/>
    <w:rsid w:val="00A806DE"/>
    <w:rsid w:val="00A80C81"/>
    <w:rsid w:val="00A82589"/>
    <w:rsid w:val="00A82BEF"/>
    <w:rsid w:val="00A836CE"/>
    <w:rsid w:val="00A83DA6"/>
    <w:rsid w:val="00A84087"/>
    <w:rsid w:val="00A84782"/>
    <w:rsid w:val="00A84C06"/>
    <w:rsid w:val="00A8510F"/>
    <w:rsid w:val="00A854EB"/>
    <w:rsid w:val="00A8555B"/>
    <w:rsid w:val="00A860F7"/>
    <w:rsid w:val="00A868CA"/>
    <w:rsid w:val="00A86FAB"/>
    <w:rsid w:val="00A87300"/>
    <w:rsid w:val="00A87BEA"/>
    <w:rsid w:val="00A87F55"/>
    <w:rsid w:val="00A9015B"/>
    <w:rsid w:val="00A9098A"/>
    <w:rsid w:val="00A90DF2"/>
    <w:rsid w:val="00A90FE8"/>
    <w:rsid w:val="00A91D05"/>
    <w:rsid w:val="00A91E4F"/>
    <w:rsid w:val="00A91F55"/>
    <w:rsid w:val="00A91F94"/>
    <w:rsid w:val="00A920AC"/>
    <w:rsid w:val="00A92369"/>
    <w:rsid w:val="00A927BF"/>
    <w:rsid w:val="00A932B9"/>
    <w:rsid w:val="00A936A3"/>
    <w:rsid w:val="00A93A64"/>
    <w:rsid w:val="00A93E8B"/>
    <w:rsid w:val="00A94BFC"/>
    <w:rsid w:val="00A94C5F"/>
    <w:rsid w:val="00A94C9D"/>
    <w:rsid w:val="00A952D6"/>
    <w:rsid w:val="00A956AD"/>
    <w:rsid w:val="00A9593D"/>
    <w:rsid w:val="00A95E8E"/>
    <w:rsid w:val="00A9604F"/>
    <w:rsid w:val="00A96448"/>
    <w:rsid w:val="00A96779"/>
    <w:rsid w:val="00A96AF8"/>
    <w:rsid w:val="00A9724D"/>
    <w:rsid w:val="00A97517"/>
    <w:rsid w:val="00A97D5D"/>
    <w:rsid w:val="00A97E97"/>
    <w:rsid w:val="00AA0456"/>
    <w:rsid w:val="00AA09F6"/>
    <w:rsid w:val="00AA0EE5"/>
    <w:rsid w:val="00AA2417"/>
    <w:rsid w:val="00AA2669"/>
    <w:rsid w:val="00AA276A"/>
    <w:rsid w:val="00AA2779"/>
    <w:rsid w:val="00AA2B01"/>
    <w:rsid w:val="00AA2C7C"/>
    <w:rsid w:val="00AA3AFB"/>
    <w:rsid w:val="00AA3C73"/>
    <w:rsid w:val="00AA4219"/>
    <w:rsid w:val="00AA4DA3"/>
    <w:rsid w:val="00AA583E"/>
    <w:rsid w:val="00AA5C07"/>
    <w:rsid w:val="00AA5E80"/>
    <w:rsid w:val="00AA5ED6"/>
    <w:rsid w:val="00AA664D"/>
    <w:rsid w:val="00AA6680"/>
    <w:rsid w:val="00AA6918"/>
    <w:rsid w:val="00AA696C"/>
    <w:rsid w:val="00AA742F"/>
    <w:rsid w:val="00AA750B"/>
    <w:rsid w:val="00AA762E"/>
    <w:rsid w:val="00AB00EB"/>
    <w:rsid w:val="00AB0335"/>
    <w:rsid w:val="00AB11E8"/>
    <w:rsid w:val="00AB13AC"/>
    <w:rsid w:val="00AB1820"/>
    <w:rsid w:val="00AB25C4"/>
    <w:rsid w:val="00AB260A"/>
    <w:rsid w:val="00AB2B4D"/>
    <w:rsid w:val="00AB34C3"/>
    <w:rsid w:val="00AB3AE7"/>
    <w:rsid w:val="00AB40C3"/>
    <w:rsid w:val="00AB41F7"/>
    <w:rsid w:val="00AB4ECF"/>
    <w:rsid w:val="00AB52B6"/>
    <w:rsid w:val="00AB5A90"/>
    <w:rsid w:val="00AB5A9B"/>
    <w:rsid w:val="00AB5E9F"/>
    <w:rsid w:val="00AB6273"/>
    <w:rsid w:val="00AB66AE"/>
    <w:rsid w:val="00AB708C"/>
    <w:rsid w:val="00AB70E1"/>
    <w:rsid w:val="00AB7167"/>
    <w:rsid w:val="00AB7B6B"/>
    <w:rsid w:val="00AC0141"/>
    <w:rsid w:val="00AC080E"/>
    <w:rsid w:val="00AC095A"/>
    <w:rsid w:val="00AC0A48"/>
    <w:rsid w:val="00AC293B"/>
    <w:rsid w:val="00AC2A64"/>
    <w:rsid w:val="00AC2D1B"/>
    <w:rsid w:val="00AC2FF8"/>
    <w:rsid w:val="00AC3D62"/>
    <w:rsid w:val="00AC3E4E"/>
    <w:rsid w:val="00AC49CE"/>
    <w:rsid w:val="00AC4CBE"/>
    <w:rsid w:val="00AC4FA3"/>
    <w:rsid w:val="00AC5480"/>
    <w:rsid w:val="00AC63C9"/>
    <w:rsid w:val="00AC6950"/>
    <w:rsid w:val="00AC6F22"/>
    <w:rsid w:val="00AC77FC"/>
    <w:rsid w:val="00AC78CD"/>
    <w:rsid w:val="00AD06FD"/>
    <w:rsid w:val="00AD09E3"/>
    <w:rsid w:val="00AD0A2B"/>
    <w:rsid w:val="00AD0C93"/>
    <w:rsid w:val="00AD135C"/>
    <w:rsid w:val="00AD1912"/>
    <w:rsid w:val="00AD1B1E"/>
    <w:rsid w:val="00AD1B58"/>
    <w:rsid w:val="00AD1F4F"/>
    <w:rsid w:val="00AD2044"/>
    <w:rsid w:val="00AD21D2"/>
    <w:rsid w:val="00AD24B7"/>
    <w:rsid w:val="00AD2858"/>
    <w:rsid w:val="00AD391D"/>
    <w:rsid w:val="00AD3AB0"/>
    <w:rsid w:val="00AD3AD1"/>
    <w:rsid w:val="00AD3C5C"/>
    <w:rsid w:val="00AD4635"/>
    <w:rsid w:val="00AD4765"/>
    <w:rsid w:val="00AD4BEB"/>
    <w:rsid w:val="00AD5AE4"/>
    <w:rsid w:val="00AD5D04"/>
    <w:rsid w:val="00AD5E2B"/>
    <w:rsid w:val="00AD5F01"/>
    <w:rsid w:val="00AD5F16"/>
    <w:rsid w:val="00AD6330"/>
    <w:rsid w:val="00AD64E1"/>
    <w:rsid w:val="00AD67D2"/>
    <w:rsid w:val="00AD6ECB"/>
    <w:rsid w:val="00AD7689"/>
    <w:rsid w:val="00AD79D0"/>
    <w:rsid w:val="00AD7CB6"/>
    <w:rsid w:val="00AD7D72"/>
    <w:rsid w:val="00AE0332"/>
    <w:rsid w:val="00AE05EE"/>
    <w:rsid w:val="00AE0DFA"/>
    <w:rsid w:val="00AE0E50"/>
    <w:rsid w:val="00AE10BA"/>
    <w:rsid w:val="00AE18AF"/>
    <w:rsid w:val="00AE1997"/>
    <w:rsid w:val="00AE1C1F"/>
    <w:rsid w:val="00AE1FC0"/>
    <w:rsid w:val="00AE2172"/>
    <w:rsid w:val="00AE2701"/>
    <w:rsid w:val="00AE274B"/>
    <w:rsid w:val="00AE2D58"/>
    <w:rsid w:val="00AE2EF3"/>
    <w:rsid w:val="00AE306F"/>
    <w:rsid w:val="00AE339A"/>
    <w:rsid w:val="00AE3F2C"/>
    <w:rsid w:val="00AE3F71"/>
    <w:rsid w:val="00AE43EC"/>
    <w:rsid w:val="00AE46F0"/>
    <w:rsid w:val="00AE4857"/>
    <w:rsid w:val="00AE4870"/>
    <w:rsid w:val="00AE4CA1"/>
    <w:rsid w:val="00AE4EBC"/>
    <w:rsid w:val="00AE6243"/>
    <w:rsid w:val="00AE6609"/>
    <w:rsid w:val="00AE6E4A"/>
    <w:rsid w:val="00AE7198"/>
    <w:rsid w:val="00AE7961"/>
    <w:rsid w:val="00AE7A9F"/>
    <w:rsid w:val="00AF0055"/>
    <w:rsid w:val="00AF0233"/>
    <w:rsid w:val="00AF03C4"/>
    <w:rsid w:val="00AF1185"/>
    <w:rsid w:val="00AF12B4"/>
    <w:rsid w:val="00AF1F32"/>
    <w:rsid w:val="00AF20D5"/>
    <w:rsid w:val="00AF21A4"/>
    <w:rsid w:val="00AF238D"/>
    <w:rsid w:val="00AF26E2"/>
    <w:rsid w:val="00AF2830"/>
    <w:rsid w:val="00AF286E"/>
    <w:rsid w:val="00AF2960"/>
    <w:rsid w:val="00AF2CF5"/>
    <w:rsid w:val="00AF3996"/>
    <w:rsid w:val="00AF410B"/>
    <w:rsid w:val="00AF4306"/>
    <w:rsid w:val="00AF479C"/>
    <w:rsid w:val="00AF5533"/>
    <w:rsid w:val="00AF556C"/>
    <w:rsid w:val="00AF5987"/>
    <w:rsid w:val="00AF5A1E"/>
    <w:rsid w:val="00AF6065"/>
    <w:rsid w:val="00AF63CE"/>
    <w:rsid w:val="00AF69E1"/>
    <w:rsid w:val="00AF6A37"/>
    <w:rsid w:val="00AF75A0"/>
    <w:rsid w:val="00AF7A57"/>
    <w:rsid w:val="00B001B6"/>
    <w:rsid w:val="00B00BCF"/>
    <w:rsid w:val="00B00C9A"/>
    <w:rsid w:val="00B00F86"/>
    <w:rsid w:val="00B01252"/>
    <w:rsid w:val="00B01499"/>
    <w:rsid w:val="00B01A69"/>
    <w:rsid w:val="00B02013"/>
    <w:rsid w:val="00B0222F"/>
    <w:rsid w:val="00B02309"/>
    <w:rsid w:val="00B02481"/>
    <w:rsid w:val="00B02CB8"/>
    <w:rsid w:val="00B03016"/>
    <w:rsid w:val="00B03DDD"/>
    <w:rsid w:val="00B04559"/>
    <w:rsid w:val="00B0496A"/>
    <w:rsid w:val="00B04B2B"/>
    <w:rsid w:val="00B04F92"/>
    <w:rsid w:val="00B05145"/>
    <w:rsid w:val="00B05329"/>
    <w:rsid w:val="00B05871"/>
    <w:rsid w:val="00B0658F"/>
    <w:rsid w:val="00B06B79"/>
    <w:rsid w:val="00B06E58"/>
    <w:rsid w:val="00B06E7F"/>
    <w:rsid w:val="00B06FE9"/>
    <w:rsid w:val="00B0733B"/>
    <w:rsid w:val="00B0767C"/>
    <w:rsid w:val="00B07BDF"/>
    <w:rsid w:val="00B07E42"/>
    <w:rsid w:val="00B07E59"/>
    <w:rsid w:val="00B100F7"/>
    <w:rsid w:val="00B10539"/>
    <w:rsid w:val="00B1061E"/>
    <w:rsid w:val="00B10A89"/>
    <w:rsid w:val="00B10D52"/>
    <w:rsid w:val="00B10DAD"/>
    <w:rsid w:val="00B113F5"/>
    <w:rsid w:val="00B11568"/>
    <w:rsid w:val="00B115A8"/>
    <w:rsid w:val="00B11A39"/>
    <w:rsid w:val="00B11CB5"/>
    <w:rsid w:val="00B11D6B"/>
    <w:rsid w:val="00B11DD2"/>
    <w:rsid w:val="00B120B7"/>
    <w:rsid w:val="00B12764"/>
    <w:rsid w:val="00B12D1E"/>
    <w:rsid w:val="00B12ECC"/>
    <w:rsid w:val="00B12F53"/>
    <w:rsid w:val="00B131A3"/>
    <w:rsid w:val="00B133E4"/>
    <w:rsid w:val="00B135F6"/>
    <w:rsid w:val="00B1373A"/>
    <w:rsid w:val="00B13C5C"/>
    <w:rsid w:val="00B13C6E"/>
    <w:rsid w:val="00B13D70"/>
    <w:rsid w:val="00B14779"/>
    <w:rsid w:val="00B14F1E"/>
    <w:rsid w:val="00B14F78"/>
    <w:rsid w:val="00B152F8"/>
    <w:rsid w:val="00B158A9"/>
    <w:rsid w:val="00B15964"/>
    <w:rsid w:val="00B15B01"/>
    <w:rsid w:val="00B15F36"/>
    <w:rsid w:val="00B15F3D"/>
    <w:rsid w:val="00B16A30"/>
    <w:rsid w:val="00B16BFB"/>
    <w:rsid w:val="00B16D86"/>
    <w:rsid w:val="00B17A68"/>
    <w:rsid w:val="00B17CBB"/>
    <w:rsid w:val="00B200D1"/>
    <w:rsid w:val="00B200EC"/>
    <w:rsid w:val="00B20351"/>
    <w:rsid w:val="00B209AE"/>
    <w:rsid w:val="00B20B25"/>
    <w:rsid w:val="00B21356"/>
    <w:rsid w:val="00B21A7B"/>
    <w:rsid w:val="00B2202F"/>
    <w:rsid w:val="00B22D8D"/>
    <w:rsid w:val="00B22FEE"/>
    <w:rsid w:val="00B23425"/>
    <w:rsid w:val="00B23BF7"/>
    <w:rsid w:val="00B23C00"/>
    <w:rsid w:val="00B23DDA"/>
    <w:rsid w:val="00B24B38"/>
    <w:rsid w:val="00B24FF1"/>
    <w:rsid w:val="00B25366"/>
    <w:rsid w:val="00B2544C"/>
    <w:rsid w:val="00B25F8F"/>
    <w:rsid w:val="00B25FDC"/>
    <w:rsid w:val="00B26796"/>
    <w:rsid w:val="00B273F0"/>
    <w:rsid w:val="00B27CC0"/>
    <w:rsid w:val="00B300E1"/>
    <w:rsid w:val="00B30121"/>
    <w:rsid w:val="00B307E7"/>
    <w:rsid w:val="00B31382"/>
    <w:rsid w:val="00B31497"/>
    <w:rsid w:val="00B31575"/>
    <w:rsid w:val="00B317CB"/>
    <w:rsid w:val="00B317DB"/>
    <w:rsid w:val="00B3214E"/>
    <w:rsid w:val="00B32777"/>
    <w:rsid w:val="00B33794"/>
    <w:rsid w:val="00B33A36"/>
    <w:rsid w:val="00B341D3"/>
    <w:rsid w:val="00B34E34"/>
    <w:rsid w:val="00B35292"/>
    <w:rsid w:val="00B356F3"/>
    <w:rsid w:val="00B3653F"/>
    <w:rsid w:val="00B3706F"/>
    <w:rsid w:val="00B37B16"/>
    <w:rsid w:val="00B37DF9"/>
    <w:rsid w:val="00B40ACE"/>
    <w:rsid w:val="00B40CAC"/>
    <w:rsid w:val="00B40F83"/>
    <w:rsid w:val="00B41146"/>
    <w:rsid w:val="00B41582"/>
    <w:rsid w:val="00B41BA6"/>
    <w:rsid w:val="00B41C26"/>
    <w:rsid w:val="00B41DAA"/>
    <w:rsid w:val="00B4217E"/>
    <w:rsid w:val="00B42207"/>
    <w:rsid w:val="00B424E3"/>
    <w:rsid w:val="00B4265E"/>
    <w:rsid w:val="00B42B09"/>
    <w:rsid w:val="00B42C8B"/>
    <w:rsid w:val="00B42E85"/>
    <w:rsid w:val="00B43302"/>
    <w:rsid w:val="00B43549"/>
    <w:rsid w:val="00B437EA"/>
    <w:rsid w:val="00B43C78"/>
    <w:rsid w:val="00B43D9E"/>
    <w:rsid w:val="00B43E2A"/>
    <w:rsid w:val="00B444D9"/>
    <w:rsid w:val="00B445EC"/>
    <w:rsid w:val="00B44885"/>
    <w:rsid w:val="00B44972"/>
    <w:rsid w:val="00B44ABB"/>
    <w:rsid w:val="00B44ADC"/>
    <w:rsid w:val="00B4530F"/>
    <w:rsid w:val="00B45743"/>
    <w:rsid w:val="00B4592D"/>
    <w:rsid w:val="00B45BAF"/>
    <w:rsid w:val="00B45D02"/>
    <w:rsid w:val="00B4605D"/>
    <w:rsid w:val="00B460B2"/>
    <w:rsid w:val="00B46153"/>
    <w:rsid w:val="00B461B7"/>
    <w:rsid w:val="00B46CEF"/>
    <w:rsid w:val="00B470D0"/>
    <w:rsid w:val="00B4721D"/>
    <w:rsid w:val="00B4746B"/>
    <w:rsid w:val="00B479D0"/>
    <w:rsid w:val="00B479F0"/>
    <w:rsid w:val="00B47A59"/>
    <w:rsid w:val="00B47C40"/>
    <w:rsid w:val="00B47F4F"/>
    <w:rsid w:val="00B507E4"/>
    <w:rsid w:val="00B508AF"/>
    <w:rsid w:val="00B513E7"/>
    <w:rsid w:val="00B51463"/>
    <w:rsid w:val="00B515AC"/>
    <w:rsid w:val="00B51CE5"/>
    <w:rsid w:val="00B52363"/>
    <w:rsid w:val="00B52C4E"/>
    <w:rsid w:val="00B52E97"/>
    <w:rsid w:val="00B53004"/>
    <w:rsid w:val="00B5305A"/>
    <w:rsid w:val="00B5307B"/>
    <w:rsid w:val="00B5377D"/>
    <w:rsid w:val="00B537A2"/>
    <w:rsid w:val="00B539E8"/>
    <w:rsid w:val="00B53A89"/>
    <w:rsid w:val="00B54D0F"/>
    <w:rsid w:val="00B55110"/>
    <w:rsid w:val="00B5532F"/>
    <w:rsid w:val="00B566B1"/>
    <w:rsid w:val="00B56F77"/>
    <w:rsid w:val="00B5744A"/>
    <w:rsid w:val="00B577E9"/>
    <w:rsid w:val="00B57F5A"/>
    <w:rsid w:val="00B60181"/>
    <w:rsid w:val="00B607F2"/>
    <w:rsid w:val="00B60D3A"/>
    <w:rsid w:val="00B61422"/>
    <w:rsid w:val="00B6146A"/>
    <w:rsid w:val="00B61A96"/>
    <w:rsid w:val="00B61AC9"/>
    <w:rsid w:val="00B61DB2"/>
    <w:rsid w:val="00B61FEE"/>
    <w:rsid w:val="00B6202F"/>
    <w:rsid w:val="00B62E4B"/>
    <w:rsid w:val="00B62F04"/>
    <w:rsid w:val="00B63226"/>
    <w:rsid w:val="00B6336D"/>
    <w:rsid w:val="00B64377"/>
    <w:rsid w:val="00B6437F"/>
    <w:rsid w:val="00B64415"/>
    <w:rsid w:val="00B6458C"/>
    <w:rsid w:val="00B64B42"/>
    <w:rsid w:val="00B64BF6"/>
    <w:rsid w:val="00B6535B"/>
    <w:rsid w:val="00B6537F"/>
    <w:rsid w:val="00B654CA"/>
    <w:rsid w:val="00B6568B"/>
    <w:rsid w:val="00B65893"/>
    <w:rsid w:val="00B65903"/>
    <w:rsid w:val="00B65A5B"/>
    <w:rsid w:val="00B65C87"/>
    <w:rsid w:val="00B65E5C"/>
    <w:rsid w:val="00B6668A"/>
    <w:rsid w:val="00B66AF6"/>
    <w:rsid w:val="00B67E03"/>
    <w:rsid w:val="00B67F42"/>
    <w:rsid w:val="00B7010F"/>
    <w:rsid w:val="00B7034D"/>
    <w:rsid w:val="00B70509"/>
    <w:rsid w:val="00B70ABD"/>
    <w:rsid w:val="00B70BFA"/>
    <w:rsid w:val="00B70C6A"/>
    <w:rsid w:val="00B70F2D"/>
    <w:rsid w:val="00B71328"/>
    <w:rsid w:val="00B7183C"/>
    <w:rsid w:val="00B73065"/>
    <w:rsid w:val="00B73146"/>
    <w:rsid w:val="00B731A4"/>
    <w:rsid w:val="00B7358F"/>
    <w:rsid w:val="00B736B3"/>
    <w:rsid w:val="00B73F30"/>
    <w:rsid w:val="00B7421C"/>
    <w:rsid w:val="00B74494"/>
    <w:rsid w:val="00B744FE"/>
    <w:rsid w:val="00B74F28"/>
    <w:rsid w:val="00B758A9"/>
    <w:rsid w:val="00B75F24"/>
    <w:rsid w:val="00B763C9"/>
    <w:rsid w:val="00B7641D"/>
    <w:rsid w:val="00B767FB"/>
    <w:rsid w:val="00B77014"/>
    <w:rsid w:val="00B7719A"/>
    <w:rsid w:val="00B77308"/>
    <w:rsid w:val="00B77325"/>
    <w:rsid w:val="00B7741E"/>
    <w:rsid w:val="00B774B3"/>
    <w:rsid w:val="00B77670"/>
    <w:rsid w:val="00B77890"/>
    <w:rsid w:val="00B778E9"/>
    <w:rsid w:val="00B778EE"/>
    <w:rsid w:val="00B77F85"/>
    <w:rsid w:val="00B80750"/>
    <w:rsid w:val="00B81026"/>
    <w:rsid w:val="00B81353"/>
    <w:rsid w:val="00B82367"/>
    <w:rsid w:val="00B8276E"/>
    <w:rsid w:val="00B82790"/>
    <w:rsid w:val="00B82B26"/>
    <w:rsid w:val="00B8316E"/>
    <w:rsid w:val="00B834D2"/>
    <w:rsid w:val="00B83560"/>
    <w:rsid w:val="00B837B6"/>
    <w:rsid w:val="00B8391B"/>
    <w:rsid w:val="00B83983"/>
    <w:rsid w:val="00B83F3E"/>
    <w:rsid w:val="00B83FF0"/>
    <w:rsid w:val="00B848D1"/>
    <w:rsid w:val="00B85EE4"/>
    <w:rsid w:val="00B8654B"/>
    <w:rsid w:val="00B8655C"/>
    <w:rsid w:val="00B865BE"/>
    <w:rsid w:val="00B86618"/>
    <w:rsid w:val="00B86A31"/>
    <w:rsid w:val="00B87777"/>
    <w:rsid w:val="00B90029"/>
    <w:rsid w:val="00B901A8"/>
    <w:rsid w:val="00B903F9"/>
    <w:rsid w:val="00B904E7"/>
    <w:rsid w:val="00B90651"/>
    <w:rsid w:val="00B90F62"/>
    <w:rsid w:val="00B92035"/>
    <w:rsid w:val="00B92336"/>
    <w:rsid w:val="00B92573"/>
    <w:rsid w:val="00B92BA3"/>
    <w:rsid w:val="00B92F47"/>
    <w:rsid w:val="00B93852"/>
    <w:rsid w:val="00B93CD2"/>
    <w:rsid w:val="00B93D13"/>
    <w:rsid w:val="00B93DAA"/>
    <w:rsid w:val="00B93EFF"/>
    <w:rsid w:val="00B94439"/>
    <w:rsid w:val="00B948C0"/>
    <w:rsid w:val="00B94BD7"/>
    <w:rsid w:val="00B94DB4"/>
    <w:rsid w:val="00B94FDB"/>
    <w:rsid w:val="00B95167"/>
    <w:rsid w:val="00B951D3"/>
    <w:rsid w:val="00B95269"/>
    <w:rsid w:val="00B9529C"/>
    <w:rsid w:val="00B95471"/>
    <w:rsid w:val="00B95500"/>
    <w:rsid w:val="00B955A5"/>
    <w:rsid w:val="00B955BD"/>
    <w:rsid w:val="00B964F1"/>
    <w:rsid w:val="00B9651B"/>
    <w:rsid w:val="00B96E82"/>
    <w:rsid w:val="00B97390"/>
    <w:rsid w:val="00B97840"/>
    <w:rsid w:val="00B97C13"/>
    <w:rsid w:val="00B97D85"/>
    <w:rsid w:val="00BA00CD"/>
    <w:rsid w:val="00BA0A2F"/>
    <w:rsid w:val="00BA0EEA"/>
    <w:rsid w:val="00BA166B"/>
    <w:rsid w:val="00BA23B9"/>
    <w:rsid w:val="00BA287C"/>
    <w:rsid w:val="00BA2FBF"/>
    <w:rsid w:val="00BA34DE"/>
    <w:rsid w:val="00BA367D"/>
    <w:rsid w:val="00BA4422"/>
    <w:rsid w:val="00BA4489"/>
    <w:rsid w:val="00BA576D"/>
    <w:rsid w:val="00BA5CDD"/>
    <w:rsid w:val="00BA6087"/>
    <w:rsid w:val="00BA6868"/>
    <w:rsid w:val="00BA6D15"/>
    <w:rsid w:val="00BA6DAB"/>
    <w:rsid w:val="00BA703B"/>
    <w:rsid w:val="00BA7820"/>
    <w:rsid w:val="00BA7A19"/>
    <w:rsid w:val="00BB03B5"/>
    <w:rsid w:val="00BB03C7"/>
    <w:rsid w:val="00BB0523"/>
    <w:rsid w:val="00BB076E"/>
    <w:rsid w:val="00BB16B5"/>
    <w:rsid w:val="00BB16E3"/>
    <w:rsid w:val="00BB1ABF"/>
    <w:rsid w:val="00BB208D"/>
    <w:rsid w:val="00BB24E8"/>
    <w:rsid w:val="00BB2654"/>
    <w:rsid w:val="00BB2B4C"/>
    <w:rsid w:val="00BB2D69"/>
    <w:rsid w:val="00BB2D86"/>
    <w:rsid w:val="00BB2E0B"/>
    <w:rsid w:val="00BB2F9D"/>
    <w:rsid w:val="00BB39C8"/>
    <w:rsid w:val="00BB3BD0"/>
    <w:rsid w:val="00BB46B6"/>
    <w:rsid w:val="00BB5D53"/>
    <w:rsid w:val="00BB5E76"/>
    <w:rsid w:val="00BB5F74"/>
    <w:rsid w:val="00BB68BB"/>
    <w:rsid w:val="00BB6C97"/>
    <w:rsid w:val="00BB788D"/>
    <w:rsid w:val="00BC0167"/>
    <w:rsid w:val="00BC05E4"/>
    <w:rsid w:val="00BC06D3"/>
    <w:rsid w:val="00BC0D65"/>
    <w:rsid w:val="00BC1739"/>
    <w:rsid w:val="00BC19F7"/>
    <w:rsid w:val="00BC1F56"/>
    <w:rsid w:val="00BC1F87"/>
    <w:rsid w:val="00BC20B2"/>
    <w:rsid w:val="00BC213F"/>
    <w:rsid w:val="00BC252D"/>
    <w:rsid w:val="00BC25B0"/>
    <w:rsid w:val="00BC34AA"/>
    <w:rsid w:val="00BC365C"/>
    <w:rsid w:val="00BC38E3"/>
    <w:rsid w:val="00BC3A88"/>
    <w:rsid w:val="00BC3C10"/>
    <w:rsid w:val="00BC3D6E"/>
    <w:rsid w:val="00BC4065"/>
    <w:rsid w:val="00BC40FB"/>
    <w:rsid w:val="00BC4182"/>
    <w:rsid w:val="00BC41DC"/>
    <w:rsid w:val="00BC470C"/>
    <w:rsid w:val="00BC4A1A"/>
    <w:rsid w:val="00BC553A"/>
    <w:rsid w:val="00BC5659"/>
    <w:rsid w:val="00BC57B7"/>
    <w:rsid w:val="00BC5986"/>
    <w:rsid w:val="00BC5D9B"/>
    <w:rsid w:val="00BC5F27"/>
    <w:rsid w:val="00BC6430"/>
    <w:rsid w:val="00BC6C0B"/>
    <w:rsid w:val="00BC6E2D"/>
    <w:rsid w:val="00BC779F"/>
    <w:rsid w:val="00BC7936"/>
    <w:rsid w:val="00BD053C"/>
    <w:rsid w:val="00BD0748"/>
    <w:rsid w:val="00BD079B"/>
    <w:rsid w:val="00BD1117"/>
    <w:rsid w:val="00BD1C64"/>
    <w:rsid w:val="00BD2169"/>
    <w:rsid w:val="00BD21CC"/>
    <w:rsid w:val="00BD227A"/>
    <w:rsid w:val="00BD2956"/>
    <w:rsid w:val="00BD2DD6"/>
    <w:rsid w:val="00BD312A"/>
    <w:rsid w:val="00BD3151"/>
    <w:rsid w:val="00BD34B7"/>
    <w:rsid w:val="00BD36A3"/>
    <w:rsid w:val="00BD36FC"/>
    <w:rsid w:val="00BD3DBA"/>
    <w:rsid w:val="00BD4705"/>
    <w:rsid w:val="00BD4BB9"/>
    <w:rsid w:val="00BD513E"/>
    <w:rsid w:val="00BD5F4F"/>
    <w:rsid w:val="00BD64C2"/>
    <w:rsid w:val="00BD7204"/>
    <w:rsid w:val="00BD7864"/>
    <w:rsid w:val="00BD789D"/>
    <w:rsid w:val="00BD78CA"/>
    <w:rsid w:val="00BD7F13"/>
    <w:rsid w:val="00BE012D"/>
    <w:rsid w:val="00BE0832"/>
    <w:rsid w:val="00BE1079"/>
    <w:rsid w:val="00BE10F2"/>
    <w:rsid w:val="00BE18B0"/>
    <w:rsid w:val="00BE1C72"/>
    <w:rsid w:val="00BE1FBB"/>
    <w:rsid w:val="00BE20F6"/>
    <w:rsid w:val="00BE2A2C"/>
    <w:rsid w:val="00BE2C09"/>
    <w:rsid w:val="00BE2C7E"/>
    <w:rsid w:val="00BE2D08"/>
    <w:rsid w:val="00BE3015"/>
    <w:rsid w:val="00BE3085"/>
    <w:rsid w:val="00BE31AE"/>
    <w:rsid w:val="00BE34BB"/>
    <w:rsid w:val="00BE3AD2"/>
    <w:rsid w:val="00BE3BAD"/>
    <w:rsid w:val="00BE5190"/>
    <w:rsid w:val="00BE57F1"/>
    <w:rsid w:val="00BE5C78"/>
    <w:rsid w:val="00BE5CC9"/>
    <w:rsid w:val="00BE62E8"/>
    <w:rsid w:val="00BE6867"/>
    <w:rsid w:val="00BE6B2C"/>
    <w:rsid w:val="00BE7379"/>
    <w:rsid w:val="00BE7614"/>
    <w:rsid w:val="00BE7770"/>
    <w:rsid w:val="00BE78A9"/>
    <w:rsid w:val="00BE79C9"/>
    <w:rsid w:val="00BE7AE0"/>
    <w:rsid w:val="00BE7BD4"/>
    <w:rsid w:val="00BE7F3E"/>
    <w:rsid w:val="00BE7F7D"/>
    <w:rsid w:val="00BF0050"/>
    <w:rsid w:val="00BF0696"/>
    <w:rsid w:val="00BF0737"/>
    <w:rsid w:val="00BF0873"/>
    <w:rsid w:val="00BF15A0"/>
    <w:rsid w:val="00BF24F6"/>
    <w:rsid w:val="00BF26DE"/>
    <w:rsid w:val="00BF2A9B"/>
    <w:rsid w:val="00BF2C52"/>
    <w:rsid w:val="00BF2F14"/>
    <w:rsid w:val="00BF3AC2"/>
    <w:rsid w:val="00BF5431"/>
    <w:rsid w:val="00BF5BBC"/>
    <w:rsid w:val="00BF5EF2"/>
    <w:rsid w:val="00BF6607"/>
    <w:rsid w:val="00BF665C"/>
    <w:rsid w:val="00BF6937"/>
    <w:rsid w:val="00BF6ABD"/>
    <w:rsid w:val="00BF6B1A"/>
    <w:rsid w:val="00BF6B36"/>
    <w:rsid w:val="00BF7124"/>
    <w:rsid w:val="00BF7FDB"/>
    <w:rsid w:val="00C00053"/>
    <w:rsid w:val="00C004AC"/>
    <w:rsid w:val="00C007A2"/>
    <w:rsid w:val="00C00A48"/>
    <w:rsid w:val="00C00A5C"/>
    <w:rsid w:val="00C00DCF"/>
    <w:rsid w:val="00C00DDC"/>
    <w:rsid w:val="00C01710"/>
    <w:rsid w:val="00C01BF3"/>
    <w:rsid w:val="00C0200F"/>
    <w:rsid w:val="00C030A4"/>
    <w:rsid w:val="00C030FA"/>
    <w:rsid w:val="00C036E6"/>
    <w:rsid w:val="00C03712"/>
    <w:rsid w:val="00C0456B"/>
    <w:rsid w:val="00C049B5"/>
    <w:rsid w:val="00C04C0E"/>
    <w:rsid w:val="00C052DA"/>
    <w:rsid w:val="00C052E0"/>
    <w:rsid w:val="00C0570C"/>
    <w:rsid w:val="00C05BDF"/>
    <w:rsid w:val="00C060FD"/>
    <w:rsid w:val="00C06524"/>
    <w:rsid w:val="00C06C7A"/>
    <w:rsid w:val="00C06FF0"/>
    <w:rsid w:val="00C07C0D"/>
    <w:rsid w:val="00C1004B"/>
    <w:rsid w:val="00C10372"/>
    <w:rsid w:val="00C1056A"/>
    <w:rsid w:val="00C10C8E"/>
    <w:rsid w:val="00C1128F"/>
    <w:rsid w:val="00C11681"/>
    <w:rsid w:val="00C11E75"/>
    <w:rsid w:val="00C124DE"/>
    <w:rsid w:val="00C132A5"/>
    <w:rsid w:val="00C13C49"/>
    <w:rsid w:val="00C14176"/>
    <w:rsid w:val="00C14ACE"/>
    <w:rsid w:val="00C14B78"/>
    <w:rsid w:val="00C14D1B"/>
    <w:rsid w:val="00C14DAC"/>
    <w:rsid w:val="00C1551D"/>
    <w:rsid w:val="00C15F6F"/>
    <w:rsid w:val="00C15FFB"/>
    <w:rsid w:val="00C1626B"/>
    <w:rsid w:val="00C167DE"/>
    <w:rsid w:val="00C16E1F"/>
    <w:rsid w:val="00C173DC"/>
    <w:rsid w:val="00C17B67"/>
    <w:rsid w:val="00C17D91"/>
    <w:rsid w:val="00C20035"/>
    <w:rsid w:val="00C2045C"/>
    <w:rsid w:val="00C2063B"/>
    <w:rsid w:val="00C2080E"/>
    <w:rsid w:val="00C20ACE"/>
    <w:rsid w:val="00C21605"/>
    <w:rsid w:val="00C21940"/>
    <w:rsid w:val="00C21CFB"/>
    <w:rsid w:val="00C21DF9"/>
    <w:rsid w:val="00C21E08"/>
    <w:rsid w:val="00C2230A"/>
    <w:rsid w:val="00C22533"/>
    <w:rsid w:val="00C228D8"/>
    <w:rsid w:val="00C22A9C"/>
    <w:rsid w:val="00C235F9"/>
    <w:rsid w:val="00C23CD3"/>
    <w:rsid w:val="00C23EC4"/>
    <w:rsid w:val="00C245B5"/>
    <w:rsid w:val="00C24AB2"/>
    <w:rsid w:val="00C24BD1"/>
    <w:rsid w:val="00C24D73"/>
    <w:rsid w:val="00C24DBE"/>
    <w:rsid w:val="00C253DE"/>
    <w:rsid w:val="00C25813"/>
    <w:rsid w:val="00C25868"/>
    <w:rsid w:val="00C25877"/>
    <w:rsid w:val="00C25B0C"/>
    <w:rsid w:val="00C2685D"/>
    <w:rsid w:val="00C26F9F"/>
    <w:rsid w:val="00C27750"/>
    <w:rsid w:val="00C27F71"/>
    <w:rsid w:val="00C30541"/>
    <w:rsid w:val="00C305B3"/>
    <w:rsid w:val="00C305B7"/>
    <w:rsid w:val="00C308E4"/>
    <w:rsid w:val="00C30D73"/>
    <w:rsid w:val="00C30DD6"/>
    <w:rsid w:val="00C30F59"/>
    <w:rsid w:val="00C316A6"/>
    <w:rsid w:val="00C31ED7"/>
    <w:rsid w:val="00C321A6"/>
    <w:rsid w:val="00C32319"/>
    <w:rsid w:val="00C32A5C"/>
    <w:rsid w:val="00C32AA9"/>
    <w:rsid w:val="00C334F0"/>
    <w:rsid w:val="00C3368D"/>
    <w:rsid w:val="00C33C88"/>
    <w:rsid w:val="00C33CBB"/>
    <w:rsid w:val="00C3422F"/>
    <w:rsid w:val="00C34539"/>
    <w:rsid w:val="00C34553"/>
    <w:rsid w:val="00C34A52"/>
    <w:rsid w:val="00C34A78"/>
    <w:rsid w:val="00C34AB0"/>
    <w:rsid w:val="00C359FE"/>
    <w:rsid w:val="00C35C43"/>
    <w:rsid w:val="00C35D1B"/>
    <w:rsid w:val="00C374B2"/>
    <w:rsid w:val="00C3778D"/>
    <w:rsid w:val="00C37831"/>
    <w:rsid w:val="00C379D1"/>
    <w:rsid w:val="00C37CDB"/>
    <w:rsid w:val="00C40322"/>
    <w:rsid w:val="00C40855"/>
    <w:rsid w:val="00C4098A"/>
    <w:rsid w:val="00C40CFB"/>
    <w:rsid w:val="00C41258"/>
    <w:rsid w:val="00C41540"/>
    <w:rsid w:val="00C41DD0"/>
    <w:rsid w:val="00C41E6E"/>
    <w:rsid w:val="00C422EC"/>
    <w:rsid w:val="00C4246C"/>
    <w:rsid w:val="00C424FD"/>
    <w:rsid w:val="00C42D51"/>
    <w:rsid w:val="00C42E4B"/>
    <w:rsid w:val="00C43212"/>
    <w:rsid w:val="00C436A9"/>
    <w:rsid w:val="00C43F55"/>
    <w:rsid w:val="00C44247"/>
    <w:rsid w:val="00C444C0"/>
    <w:rsid w:val="00C44674"/>
    <w:rsid w:val="00C44A62"/>
    <w:rsid w:val="00C44C23"/>
    <w:rsid w:val="00C45755"/>
    <w:rsid w:val="00C45B20"/>
    <w:rsid w:val="00C45BD1"/>
    <w:rsid w:val="00C46A1C"/>
    <w:rsid w:val="00C46CC4"/>
    <w:rsid w:val="00C46E73"/>
    <w:rsid w:val="00C473D4"/>
    <w:rsid w:val="00C473E2"/>
    <w:rsid w:val="00C478E3"/>
    <w:rsid w:val="00C47BBF"/>
    <w:rsid w:val="00C47BF3"/>
    <w:rsid w:val="00C47CBA"/>
    <w:rsid w:val="00C47CC7"/>
    <w:rsid w:val="00C47D34"/>
    <w:rsid w:val="00C51D47"/>
    <w:rsid w:val="00C52602"/>
    <w:rsid w:val="00C52E30"/>
    <w:rsid w:val="00C53AE9"/>
    <w:rsid w:val="00C53E5F"/>
    <w:rsid w:val="00C54742"/>
    <w:rsid w:val="00C54A06"/>
    <w:rsid w:val="00C54AC3"/>
    <w:rsid w:val="00C54C8C"/>
    <w:rsid w:val="00C54D4C"/>
    <w:rsid w:val="00C5593A"/>
    <w:rsid w:val="00C565FD"/>
    <w:rsid w:val="00C56681"/>
    <w:rsid w:val="00C56888"/>
    <w:rsid w:val="00C56EAF"/>
    <w:rsid w:val="00C573AE"/>
    <w:rsid w:val="00C575EF"/>
    <w:rsid w:val="00C5763F"/>
    <w:rsid w:val="00C57933"/>
    <w:rsid w:val="00C5794B"/>
    <w:rsid w:val="00C603E9"/>
    <w:rsid w:val="00C610A7"/>
    <w:rsid w:val="00C6145A"/>
    <w:rsid w:val="00C61B53"/>
    <w:rsid w:val="00C62602"/>
    <w:rsid w:val="00C62BB1"/>
    <w:rsid w:val="00C631DE"/>
    <w:rsid w:val="00C6326B"/>
    <w:rsid w:val="00C63A15"/>
    <w:rsid w:val="00C646B6"/>
    <w:rsid w:val="00C647C2"/>
    <w:rsid w:val="00C6569E"/>
    <w:rsid w:val="00C65852"/>
    <w:rsid w:val="00C65F49"/>
    <w:rsid w:val="00C661F9"/>
    <w:rsid w:val="00C66479"/>
    <w:rsid w:val="00C676A4"/>
    <w:rsid w:val="00C676DF"/>
    <w:rsid w:val="00C679A6"/>
    <w:rsid w:val="00C7007C"/>
    <w:rsid w:val="00C700A6"/>
    <w:rsid w:val="00C701DD"/>
    <w:rsid w:val="00C713D9"/>
    <w:rsid w:val="00C719FD"/>
    <w:rsid w:val="00C71A5A"/>
    <w:rsid w:val="00C71D50"/>
    <w:rsid w:val="00C7224C"/>
    <w:rsid w:val="00C72535"/>
    <w:rsid w:val="00C72848"/>
    <w:rsid w:val="00C728BD"/>
    <w:rsid w:val="00C73110"/>
    <w:rsid w:val="00C73937"/>
    <w:rsid w:val="00C73AD3"/>
    <w:rsid w:val="00C73CC3"/>
    <w:rsid w:val="00C73DC0"/>
    <w:rsid w:val="00C742CC"/>
    <w:rsid w:val="00C748B9"/>
    <w:rsid w:val="00C74AB2"/>
    <w:rsid w:val="00C74E07"/>
    <w:rsid w:val="00C75640"/>
    <w:rsid w:val="00C75929"/>
    <w:rsid w:val="00C76276"/>
    <w:rsid w:val="00C764E6"/>
    <w:rsid w:val="00C769AB"/>
    <w:rsid w:val="00C769B4"/>
    <w:rsid w:val="00C77A06"/>
    <w:rsid w:val="00C77E50"/>
    <w:rsid w:val="00C8044D"/>
    <w:rsid w:val="00C808E2"/>
    <w:rsid w:val="00C80901"/>
    <w:rsid w:val="00C8116E"/>
    <w:rsid w:val="00C811F0"/>
    <w:rsid w:val="00C8141A"/>
    <w:rsid w:val="00C81941"/>
    <w:rsid w:val="00C8194B"/>
    <w:rsid w:val="00C81A5E"/>
    <w:rsid w:val="00C8214E"/>
    <w:rsid w:val="00C82359"/>
    <w:rsid w:val="00C82427"/>
    <w:rsid w:val="00C824BF"/>
    <w:rsid w:val="00C8250C"/>
    <w:rsid w:val="00C82594"/>
    <w:rsid w:val="00C825A4"/>
    <w:rsid w:val="00C82821"/>
    <w:rsid w:val="00C829F0"/>
    <w:rsid w:val="00C82CEB"/>
    <w:rsid w:val="00C831AC"/>
    <w:rsid w:val="00C8325C"/>
    <w:rsid w:val="00C83C74"/>
    <w:rsid w:val="00C84081"/>
    <w:rsid w:val="00C8431F"/>
    <w:rsid w:val="00C8463B"/>
    <w:rsid w:val="00C847B8"/>
    <w:rsid w:val="00C84AC6"/>
    <w:rsid w:val="00C84CD9"/>
    <w:rsid w:val="00C84D9C"/>
    <w:rsid w:val="00C84EB7"/>
    <w:rsid w:val="00C85097"/>
    <w:rsid w:val="00C857FD"/>
    <w:rsid w:val="00C860CA"/>
    <w:rsid w:val="00C86A6C"/>
    <w:rsid w:val="00C86F95"/>
    <w:rsid w:val="00C87027"/>
    <w:rsid w:val="00C875D5"/>
    <w:rsid w:val="00C87A77"/>
    <w:rsid w:val="00C87F6B"/>
    <w:rsid w:val="00C90F67"/>
    <w:rsid w:val="00C90F95"/>
    <w:rsid w:val="00C91413"/>
    <w:rsid w:val="00C91691"/>
    <w:rsid w:val="00C91E65"/>
    <w:rsid w:val="00C920D2"/>
    <w:rsid w:val="00C921B0"/>
    <w:rsid w:val="00C92698"/>
    <w:rsid w:val="00C92CBF"/>
    <w:rsid w:val="00C93040"/>
    <w:rsid w:val="00C931C2"/>
    <w:rsid w:val="00C939E5"/>
    <w:rsid w:val="00C93C12"/>
    <w:rsid w:val="00C9431E"/>
    <w:rsid w:val="00C94BBA"/>
    <w:rsid w:val="00C94C8A"/>
    <w:rsid w:val="00C94D61"/>
    <w:rsid w:val="00C953CB"/>
    <w:rsid w:val="00C956BB"/>
    <w:rsid w:val="00C9596E"/>
    <w:rsid w:val="00C95BEC"/>
    <w:rsid w:val="00C96432"/>
    <w:rsid w:val="00C9651C"/>
    <w:rsid w:val="00C96531"/>
    <w:rsid w:val="00C96664"/>
    <w:rsid w:val="00C966F2"/>
    <w:rsid w:val="00C967A7"/>
    <w:rsid w:val="00C96B86"/>
    <w:rsid w:val="00C970D9"/>
    <w:rsid w:val="00C97DF9"/>
    <w:rsid w:val="00CA02B8"/>
    <w:rsid w:val="00CA09FF"/>
    <w:rsid w:val="00CA0BE1"/>
    <w:rsid w:val="00CA0E70"/>
    <w:rsid w:val="00CA0FF7"/>
    <w:rsid w:val="00CA1179"/>
    <w:rsid w:val="00CA1409"/>
    <w:rsid w:val="00CA1635"/>
    <w:rsid w:val="00CA207E"/>
    <w:rsid w:val="00CA2145"/>
    <w:rsid w:val="00CA22E1"/>
    <w:rsid w:val="00CA2AFA"/>
    <w:rsid w:val="00CA2F5A"/>
    <w:rsid w:val="00CA3274"/>
    <w:rsid w:val="00CA3632"/>
    <w:rsid w:val="00CA3F3A"/>
    <w:rsid w:val="00CA4585"/>
    <w:rsid w:val="00CA4ABA"/>
    <w:rsid w:val="00CA4CE8"/>
    <w:rsid w:val="00CA4DDE"/>
    <w:rsid w:val="00CA4E46"/>
    <w:rsid w:val="00CA5039"/>
    <w:rsid w:val="00CA5508"/>
    <w:rsid w:val="00CA58BD"/>
    <w:rsid w:val="00CA5C0E"/>
    <w:rsid w:val="00CA5E0A"/>
    <w:rsid w:val="00CA5F11"/>
    <w:rsid w:val="00CA6080"/>
    <w:rsid w:val="00CA6239"/>
    <w:rsid w:val="00CA63E6"/>
    <w:rsid w:val="00CA66FA"/>
    <w:rsid w:val="00CA6B7F"/>
    <w:rsid w:val="00CA7684"/>
    <w:rsid w:val="00CB03FB"/>
    <w:rsid w:val="00CB06E7"/>
    <w:rsid w:val="00CB0C23"/>
    <w:rsid w:val="00CB0F4B"/>
    <w:rsid w:val="00CB1437"/>
    <w:rsid w:val="00CB162B"/>
    <w:rsid w:val="00CB1788"/>
    <w:rsid w:val="00CB1F74"/>
    <w:rsid w:val="00CB244F"/>
    <w:rsid w:val="00CB2C36"/>
    <w:rsid w:val="00CB3328"/>
    <w:rsid w:val="00CB3721"/>
    <w:rsid w:val="00CB37C4"/>
    <w:rsid w:val="00CB3B2A"/>
    <w:rsid w:val="00CB48C9"/>
    <w:rsid w:val="00CB4DBC"/>
    <w:rsid w:val="00CB4EFC"/>
    <w:rsid w:val="00CB5089"/>
    <w:rsid w:val="00CB5361"/>
    <w:rsid w:val="00CB5498"/>
    <w:rsid w:val="00CB56E1"/>
    <w:rsid w:val="00CB5871"/>
    <w:rsid w:val="00CB5B41"/>
    <w:rsid w:val="00CB5CCE"/>
    <w:rsid w:val="00CB66BA"/>
    <w:rsid w:val="00CB6AC6"/>
    <w:rsid w:val="00CB6AE8"/>
    <w:rsid w:val="00CB7124"/>
    <w:rsid w:val="00CB71A9"/>
    <w:rsid w:val="00CB726D"/>
    <w:rsid w:val="00CB7309"/>
    <w:rsid w:val="00CB73E9"/>
    <w:rsid w:val="00CB7D0A"/>
    <w:rsid w:val="00CC0347"/>
    <w:rsid w:val="00CC0381"/>
    <w:rsid w:val="00CC0454"/>
    <w:rsid w:val="00CC0547"/>
    <w:rsid w:val="00CC0632"/>
    <w:rsid w:val="00CC0A8C"/>
    <w:rsid w:val="00CC132E"/>
    <w:rsid w:val="00CC1424"/>
    <w:rsid w:val="00CC19BB"/>
    <w:rsid w:val="00CC1EB3"/>
    <w:rsid w:val="00CC2AB0"/>
    <w:rsid w:val="00CC2EBA"/>
    <w:rsid w:val="00CC3298"/>
    <w:rsid w:val="00CC3AF2"/>
    <w:rsid w:val="00CC3D59"/>
    <w:rsid w:val="00CC4555"/>
    <w:rsid w:val="00CC46AF"/>
    <w:rsid w:val="00CC481F"/>
    <w:rsid w:val="00CC48DC"/>
    <w:rsid w:val="00CC4C54"/>
    <w:rsid w:val="00CC539F"/>
    <w:rsid w:val="00CC5892"/>
    <w:rsid w:val="00CC5913"/>
    <w:rsid w:val="00CC5F03"/>
    <w:rsid w:val="00CC6010"/>
    <w:rsid w:val="00CC62D4"/>
    <w:rsid w:val="00CC64CC"/>
    <w:rsid w:val="00CC67FE"/>
    <w:rsid w:val="00CC7945"/>
    <w:rsid w:val="00CC79C8"/>
    <w:rsid w:val="00CC7C12"/>
    <w:rsid w:val="00CD03B2"/>
    <w:rsid w:val="00CD0486"/>
    <w:rsid w:val="00CD1582"/>
    <w:rsid w:val="00CD1992"/>
    <w:rsid w:val="00CD1BE8"/>
    <w:rsid w:val="00CD20AB"/>
    <w:rsid w:val="00CD216A"/>
    <w:rsid w:val="00CD244D"/>
    <w:rsid w:val="00CD252A"/>
    <w:rsid w:val="00CD28C5"/>
    <w:rsid w:val="00CD2C73"/>
    <w:rsid w:val="00CD316A"/>
    <w:rsid w:val="00CD31C6"/>
    <w:rsid w:val="00CD361A"/>
    <w:rsid w:val="00CD4CD8"/>
    <w:rsid w:val="00CD5289"/>
    <w:rsid w:val="00CD5931"/>
    <w:rsid w:val="00CD5B2B"/>
    <w:rsid w:val="00CD601F"/>
    <w:rsid w:val="00CD6479"/>
    <w:rsid w:val="00CD6F5D"/>
    <w:rsid w:val="00CD6FAC"/>
    <w:rsid w:val="00CD7658"/>
    <w:rsid w:val="00CD7760"/>
    <w:rsid w:val="00CD7A93"/>
    <w:rsid w:val="00CE00B9"/>
    <w:rsid w:val="00CE043B"/>
    <w:rsid w:val="00CE074E"/>
    <w:rsid w:val="00CE083F"/>
    <w:rsid w:val="00CE0C60"/>
    <w:rsid w:val="00CE0E9C"/>
    <w:rsid w:val="00CE1559"/>
    <w:rsid w:val="00CE1591"/>
    <w:rsid w:val="00CE2362"/>
    <w:rsid w:val="00CE248B"/>
    <w:rsid w:val="00CE287D"/>
    <w:rsid w:val="00CE3044"/>
    <w:rsid w:val="00CE3295"/>
    <w:rsid w:val="00CE3932"/>
    <w:rsid w:val="00CE3ADA"/>
    <w:rsid w:val="00CE3CA0"/>
    <w:rsid w:val="00CE4801"/>
    <w:rsid w:val="00CE4987"/>
    <w:rsid w:val="00CE4B6A"/>
    <w:rsid w:val="00CE4BA2"/>
    <w:rsid w:val="00CE597A"/>
    <w:rsid w:val="00CE611D"/>
    <w:rsid w:val="00CE752F"/>
    <w:rsid w:val="00CE755D"/>
    <w:rsid w:val="00CF000B"/>
    <w:rsid w:val="00CF015F"/>
    <w:rsid w:val="00CF0A67"/>
    <w:rsid w:val="00CF0AC4"/>
    <w:rsid w:val="00CF0E27"/>
    <w:rsid w:val="00CF0EA6"/>
    <w:rsid w:val="00CF0FFD"/>
    <w:rsid w:val="00CF0FFE"/>
    <w:rsid w:val="00CF10E9"/>
    <w:rsid w:val="00CF121B"/>
    <w:rsid w:val="00CF126B"/>
    <w:rsid w:val="00CF163A"/>
    <w:rsid w:val="00CF18AB"/>
    <w:rsid w:val="00CF1947"/>
    <w:rsid w:val="00CF1BEC"/>
    <w:rsid w:val="00CF2251"/>
    <w:rsid w:val="00CF272F"/>
    <w:rsid w:val="00CF28BE"/>
    <w:rsid w:val="00CF294A"/>
    <w:rsid w:val="00CF2BA3"/>
    <w:rsid w:val="00CF2BA8"/>
    <w:rsid w:val="00CF2F14"/>
    <w:rsid w:val="00CF34EE"/>
    <w:rsid w:val="00CF3791"/>
    <w:rsid w:val="00CF3DA1"/>
    <w:rsid w:val="00CF3F1E"/>
    <w:rsid w:val="00CF3FF1"/>
    <w:rsid w:val="00CF4043"/>
    <w:rsid w:val="00CF471E"/>
    <w:rsid w:val="00CF4C0A"/>
    <w:rsid w:val="00CF5456"/>
    <w:rsid w:val="00CF55EF"/>
    <w:rsid w:val="00CF56AD"/>
    <w:rsid w:val="00CF56F2"/>
    <w:rsid w:val="00CF5758"/>
    <w:rsid w:val="00CF5775"/>
    <w:rsid w:val="00CF58DC"/>
    <w:rsid w:val="00CF5A7A"/>
    <w:rsid w:val="00CF5DB4"/>
    <w:rsid w:val="00CF6092"/>
    <w:rsid w:val="00CF66B3"/>
    <w:rsid w:val="00CF672F"/>
    <w:rsid w:val="00CF68BE"/>
    <w:rsid w:val="00CF6DC2"/>
    <w:rsid w:val="00CF6F02"/>
    <w:rsid w:val="00CF6F5B"/>
    <w:rsid w:val="00CF7802"/>
    <w:rsid w:val="00D0032A"/>
    <w:rsid w:val="00D0037A"/>
    <w:rsid w:val="00D00568"/>
    <w:rsid w:val="00D00794"/>
    <w:rsid w:val="00D0088F"/>
    <w:rsid w:val="00D00956"/>
    <w:rsid w:val="00D01019"/>
    <w:rsid w:val="00D01360"/>
    <w:rsid w:val="00D0152E"/>
    <w:rsid w:val="00D01627"/>
    <w:rsid w:val="00D01ACC"/>
    <w:rsid w:val="00D01E48"/>
    <w:rsid w:val="00D027B1"/>
    <w:rsid w:val="00D031B0"/>
    <w:rsid w:val="00D039F4"/>
    <w:rsid w:val="00D03B47"/>
    <w:rsid w:val="00D04FB0"/>
    <w:rsid w:val="00D054AD"/>
    <w:rsid w:val="00D05DE6"/>
    <w:rsid w:val="00D0682C"/>
    <w:rsid w:val="00D0692F"/>
    <w:rsid w:val="00D06A41"/>
    <w:rsid w:val="00D06BDC"/>
    <w:rsid w:val="00D06CC6"/>
    <w:rsid w:val="00D077F9"/>
    <w:rsid w:val="00D0791A"/>
    <w:rsid w:val="00D0792F"/>
    <w:rsid w:val="00D07BA5"/>
    <w:rsid w:val="00D1005E"/>
    <w:rsid w:val="00D100C2"/>
    <w:rsid w:val="00D106CF"/>
    <w:rsid w:val="00D10A2A"/>
    <w:rsid w:val="00D112E3"/>
    <w:rsid w:val="00D112F8"/>
    <w:rsid w:val="00D1195C"/>
    <w:rsid w:val="00D11DC3"/>
    <w:rsid w:val="00D11F67"/>
    <w:rsid w:val="00D1240C"/>
    <w:rsid w:val="00D124E7"/>
    <w:rsid w:val="00D12FCE"/>
    <w:rsid w:val="00D135E4"/>
    <w:rsid w:val="00D1375A"/>
    <w:rsid w:val="00D13D2D"/>
    <w:rsid w:val="00D13D47"/>
    <w:rsid w:val="00D1475B"/>
    <w:rsid w:val="00D1483D"/>
    <w:rsid w:val="00D14AB0"/>
    <w:rsid w:val="00D15014"/>
    <w:rsid w:val="00D15223"/>
    <w:rsid w:val="00D15EA1"/>
    <w:rsid w:val="00D15F91"/>
    <w:rsid w:val="00D16AB1"/>
    <w:rsid w:val="00D16C21"/>
    <w:rsid w:val="00D17C22"/>
    <w:rsid w:val="00D204D6"/>
    <w:rsid w:val="00D204EA"/>
    <w:rsid w:val="00D20597"/>
    <w:rsid w:val="00D20892"/>
    <w:rsid w:val="00D20A89"/>
    <w:rsid w:val="00D20ADB"/>
    <w:rsid w:val="00D20DE3"/>
    <w:rsid w:val="00D21109"/>
    <w:rsid w:val="00D21818"/>
    <w:rsid w:val="00D22181"/>
    <w:rsid w:val="00D22729"/>
    <w:rsid w:val="00D22C74"/>
    <w:rsid w:val="00D22F0E"/>
    <w:rsid w:val="00D2353F"/>
    <w:rsid w:val="00D2395F"/>
    <w:rsid w:val="00D23BEC"/>
    <w:rsid w:val="00D23EDC"/>
    <w:rsid w:val="00D24437"/>
    <w:rsid w:val="00D2467B"/>
    <w:rsid w:val="00D247E1"/>
    <w:rsid w:val="00D24CFA"/>
    <w:rsid w:val="00D255C1"/>
    <w:rsid w:val="00D25949"/>
    <w:rsid w:val="00D2611F"/>
    <w:rsid w:val="00D26565"/>
    <w:rsid w:val="00D26665"/>
    <w:rsid w:val="00D26692"/>
    <w:rsid w:val="00D26A29"/>
    <w:rsid w:val="00D26C06"/>
    <w:rsid w:val="00D26F10"/>
    <w:rsid w:val="00D2705C"/>
    <w:rsid w:val="00D300D1"/>
    <w:rsid w:val="00D3088E"/>
    <w:rsid w:val="00D308A6"/>
    <w:rsid w:val="00D30914"/>
    <w:rsid w:val="00D3106F"/>
    <w:rsid w:val="00D311FA"/>
    <w:rsid w:val="00D31B2B"/>
    <w:rsid w:val="00D31DE0"/>
    <w:rsid w:val="00D31E22"/>
    <w:rsid w:val="00D31F7D"/>
    <w:rsid w:val="00D322A7"/>
    <w:rsid w:val="00D32816"/>
    <w:rsid w:val="00D32823"/>
    <w:rsid w:val="00D32ACA"/>
    <w:rsid w:val="00D32D63"/>
    <w:rsid w:val="00D32FBF"/>
    <w:rsid w:val="00D335D6"/>
    <w:rsid w:val="00D33BA6"/>
    <w:rsid w:val="00D34220"/>
    <w:rsid w:val="00D3427F"/>
    <w:rsid w:val="00D343F2"/>
    <w:rsid w:val="00D3449F"/>
    <w:rsid w:val="00D34818"/>
    <w:rsid w:val="00D34C85"/>
    <w:rsid w:val="00D3538C"/>
    <w:rsid w:val="00D3569E"/>
    <w:rsid w:val="00D359F7"/>
    <w:rsid w:val="00D35F93"/>
    <w:rsid w:val="00D36B2E"/>
    <w:rsid w:val="00D36CB4"/>
    <w:rsid w:val="00D36CD9"/>
    <w:rsid w:val="00D36F7F"/>
    <w:rsid w:val="00D37B69"/>
    <w:rsid w:val="00D401B8"/>
    <w:rsid w:val="00D401C4"/>
    <w:rsid w:val="00D4038D"/>
    <w:rsid w:val="00D4052A"/>
    <w:rsid w:val="00D40A3D"/>
    <w:rsid w:val="00D40D05"/>
    <w:rsid w:val="00D410B8"/>
    <w:rsid w:val="00D414F7"/>
    <w:rsid w:val="00D41582"/>
    <w:rsid w:val="00D41705"/>
    <w:rsid w:val="00D42672"/>
    <w:rsid w:val="00D42FD7"/>
    <w:rsid w:val="00D4330A"/>
    <w:rsid w:val="00D43673"/>
    <w:rsid w:val="00D43878"/>
    <w:rsid w:val="00D43D5D"/>
    <w:rsid w:val="00D44252"/>
    <w:rsid w:val="00D4448D"/>
    <w:rsid w:val="00D44A71"/>
    <w:rsid w:val="00D44F64"/>
    <w:rsid w:val="00D4551E"/>
    <w:rsid w:val="00D4573F"/>
    <w:rsid w:val="00D45995"/>
    <w:rsid w:val="00D45AD6"/>
    <w:rsid w:val="00D46F04"/>
    <w:rsid w:val="00D472B1"/>
    <w:rsid w:val="00D4753D"/>
    <w:rsid w:val="00D478CF"/>
    <w:rsid w:val="00D47A57"/>
    <w:rsid w:val="00D503B2"/>
    <w:rsid w:val="00D5058E"/>
    <w:rsid w:val="00D50AAA"/>
    <w:rsid w:val="00D50B41"/>
    <w:rsid w:val="00D51057"/>
    <w:rsid w:val="00D51404"/>
    <w:rsid w:val="00D5185C"/>
    <w:rsid w:val="00D518B8"/>
    <w:rsid w:val="00D51C50"/>
    <w:rsid w:val="00D523ED"/>
    <w:rsid w:val="00D52480"/>
    <w:rsid w:val="00D52571"/>
    <w:rsid w:val="00D527FD"/>
    <w:rsid w:val="00D52A99"/>
    <w:rsid w:val="00D52E8B"/>
    <w:rsid w:val="00D52FFE"/>
    <w:rsid w:val="00D53685"/>
    <w:rsid w:val="00D53ADE"/>
    <w:rsid w:val="00D53AF6"/>
    <w:rsid w:val="00D5424A"/>
    <w:rsid w:val="00D5426E"/>
    <w:rsid w:val="00D54684"/>
    <w:rsid w:val="00D546C5"/>
    <w:rsid w:val="00D551C9"/>
    <w:rsid w:val="00D55551"/>
    <w:rsid w:val="00D5593C"/>
    <w:rsid w:val="00D55A6B"/>
    <w:rsid w:val="00D55BA4"/>
    <w:rsid w:val="00D55CC7"/>
    <w:rsid w:val="00D569D2"/>
    <w:rsid w:val="00D56A52"/>
    <w:rsid w:val="00D56B70"/>
    <w:rsid w:val="00D56DCC"/>
    <w:rsid w:val="00D56FF4"/>
    <w:rsid w:val="00D57E7E"/>
    <w:rsid w:val="00D6041D"/>
    <w:rsid w:val="00D606CA"/>
    <w:rsid w:val="00D60C4E"/>
    <w:rsid w:val="00D60EFC"/>
    <w:rsid w:val="00D611BB"/>
    <w:rsid w:val="00D6190D"/>
    <w:rsid w:val="00D61BFE"/>
    <w:rsid w:val="00D61FAE"/>
    <w:rsid w:val="00D62279"/>
    <w:rsid w:val="00D62C5D"/>
    <w:rsid w:val="00D6366F"/>
    <w:rsid w:val="00D636B3"/>
    <w:rsid w:val="00D64CE9"/>
    <w:rsid w:val="00D64E25"/>
    <w:rsid w:val="00D64F5A"/>
    <w:rsid w:val="00D65298"/>
    <w:rsid w:val="00D65859"/>
    <w:rsid w:val="00D65921"/>
    <w:rsid w:val="00D662D8"/>
    <w:rsid w:val="00D666EC"/>
    <w:rsid w:val="00D66718"/>
    <w:rsid w:val="00D66E8F"/>
    <w:rsid w:val="00D66F58"/>
    <w:rsid w:val="00D6731E"/>
    <w:rsid w:val="00D67976"/>
    <w:rsid w:val="00D7005D"/>
    <w:rsid w:val="00D70692"/>
    <w:rsid w:val="00D7084D"/>
    <w:rsid w:val="00D715BE"/>
    <w:rsid w:val="00D71E61"/>
    <w:rsid w:val="00D7290D"/>
    <w:rsid w:val="00D72B0B"/>
    <w:rsid w:val="00D72B86"/>
    <w:rsid w:val="00D730E9"/>
    <w:rsid w:val="00D73214"/>
    <w:rsid w:val="00D73337"/>
    <w:rsid w:val="00D73657"/>
    <w:rsid w:val="00D73917"/>
    <w:rsid w:val="00D74047"/>
    <w:rsid w:val="00D74B7E"/>
    <w:rsid w:val="00D7509E"/>
    <w:rsid w:val="00D757CE"/>
    <w:rsid w:val="00D75A1E"/>
    <w:rsid w:val="00D75B4B"/>
    <w:rsid w:val="00D7626A"/>
    <w:rsid w:val="00D762C8"/>
    <w:rsid w:val="00D77CA6"/>
    <w:rsid w:val="00D77E08"/>
    <w:rsid w:val="00D80C1D"/>
    <w:rsid w:val="00D81155"/>
    <w:rsid w:val="00D81390"/>
    <w:rsid w:val="00D81826"/>
    <w:rsid w:val="00D81AD0"/>
    <w:rsid w:val="00D828C3"/>
    <w:rsid w:val="00D82AD5"/>
    <w:rsid w:val="00D82D60"/>
    <w:rsid w:val="00D82DBB"/>
    <w:rsid w:val="00D82E4A"/>
    <w:rsid w:val="00D8304D"/>
    <w:rsid w:val="00D83362"/>
    <w:rsid w:val="00D836C1"/>
    <w:rsid w:val="00D84465"/>
    <w:rsid w:val="00D84473"/>
    <w:rsid w:val="00D849DF"/>
    <w:rsid w:val="00D84A4F"/>
    <w:rsid w:val="00D85992"/>
    <w:rsid w:val="00D866E7"/>
    <w:rsid w:val="00D866FE"/>
    <w:rsid w:val="00D86906"/>
    <w:rsid w:val="00D86BF5"/>
    <w:rsid w:val="00D8704B"/>
    <w:rsid w:val="00D874B2"/>
    <w:rsid w:val="00D87538"/>
    <w:rsid w:val="00D877D4"/>
    <w:rsid w:val="00D87A4D"/>
    <w:rsid w:val="00D87B1B"/>
    <w:rsid w:val="00D87D02"/>
    <w:rsid w:val="00D9003F"/>
    <w:rsid w:val="00D9035A"/>
    <w:rsid w:val="00D90829"/>
    <w:rsid w:val="00D91470"/>
    <w:rsid w:val="00D91A2D"/>
    <w:rsid w:val="00D91F7B"/>
    <w:rsid w:val="00D91FDB"/>
    <w:rsid w:val="00D921F5"/>
    <w:rsid w:val="00D9283E"/>
    <w:rsid w:val="00D92971"/>
    <w:rsid w:val="00D92ABE"/>
    <w:rsid w:val="00D92ADC"/>
    <w:rsid w:val="00D92EB2"/>
    <w:rsid w:val="00D9412B"/>
    <w:rsid w:val="00D94747"/>
    <w:rsid w:val="00D94B62"/>
    <w:rsid w:val="00D94BB4"/>
    <w:rsid w:val="00D94BE2"/>
    <w:rsid w:val="00D94E15"/>
    <w:rsid w:val="00D95388"/>
    <w:rsid w:val="00D9546F"/>
    <w:rsid w:val="00D958FB"/>
    <w:rsid w:val="00D95C4A"/>
    <w:rsid w:val="00D96470"/>
    <w:rsid w:val="00D970BB"/>
    <w:rsid w:val="00D972FC"/>
    <w:rsid w:val="00D9738E"/>
    <w:rsid w:val="00D97E31"/>
    <w:rsid w:val="00DA0151"/>
    <w:rsid w:val="00DA0186"/>
    <w:rsid w:val="00DA07F7"/>
    <w:rsid w:val="00DA1C17"/>
    <w:rsid w:val="00DA25D6"/>
    <w:rsid w:val="00DA2D45"/>
    <w:rsid w:val="00DA2D90"/>
    <w:rsid w:val="00DA3005"/>
    <w:rsid w:val="00DA3683"/>
    <w:rsid w:val="00DA38E2"/>
    <w:rsid w:val="00DA40C3"/>
    <w:rsid w:val="00DA4341"/>
    <w:rsid w:val="00DA4E87"/>
    <w:rsid w:val="00DA4E93"/>
    <w:rsid w:val="00DA4EE3"/>
    <w:rsid w:val="00DA55F6"/>
    <w:rsid w:val="00DA5F17"/>
    <w:rsid w:val="00DA7B37"/>
    <w:rsid w:val="00DA7DA5"/>
    <w:rsid w:val="00DB006D"/>
    <w:rsid w:val="00DB00AA"/>
    <w:rsid w:val="00DB076F"/>
    <w:rsid w:val="00DB162B"/>
    <w:rsid w:val="00DB16F5"/>
    <w:rsid w:val="00DB181A"/>
    <w:rsid w:val="00DB187F"/>
    <w:rsid w:val="00DB18BA"/>
    <w:rsid w:val="00DB19BC"/>
    <w:rsid w:val="00DB1B07"/>
    <w:rsid w:val="00DB1EB5"/>
    <w:rsid w:val="00DB1EC3"/>
    <w:rsid w:val="00DB2084"/>
    <w:rsid w:val="00DB26E3"/>
    <w:rsid w:val="00DB278F"/>
    <w:rsid w:val="00DB297E"/>
    <w:rsid w:val="00DB2DE5"/>
    <w:rsid w:val="00DB322F"/>
    <w:rsid w:val="00DB339E"/>
    <w:rsid w:val="00DB3416"/>
    <w:rsid w:val="00DB3730"/>
    <w:rsid w:val="00DB40E1"/>
    <w:rsid w:val="00DB448D"/>
    <w:rsid w:val="00DB4498"/>
    <w:rsid w:val="00DB47B3"/>
    <w:rsid w:val="00DB486B"/>
    <w:rsid w:val="00DB4994"/>
    <w:rsid w:val="00DB4ABE"/>
    <w:rsid w:val="00DB4B8C"/>
    <w:rsid w:val="00DB54D6"/>
    <w:rsid w:val="00DB5815"/>
    <w:rsid w:val="00DB5B64"/>
    <w:rsid w:val="00DB5F3B"/>
    <w:rsid w:val="00DB61FD"/>
    <w:rsid w:val="00DB6327"/>
    <w:rsid w:val="00DB6398"/>
    <w:rsid w:val="00DB63BD"/>
    <w:rsid w:val="00DB65DA"/>
    <w:rsid w:val="00DB6A70"/>
    <w:rsid w:val="00DB6D8A"/>
    <w:rsid w:val="00DB6F82"/>
    <w:rsid w:val="00DB73A4"/>
    <w:rsid w:val="00DB73E5"/>
    <w:rsid w:val="00DB7CE8"/>
    <w:rsid w:val="00DC0454"/>
    <w:rsid w:val="00DC04FC"/>
    <w:rsid w:val="00DC09AB"/>
    <w:rsid w:val="00DC15F6"/>
    <w:rsid w:val="00DC183A"/>
    <w:rsid w:val="00DC1E49"/>
    <w:rsid w:val="00DC1EE7"/>
    <w:rsid w:val="00DC21C8"/>
    <w:rsid w:val="00DC254A"/>
    <w:rsid w:val="00DC29BF"/>
    <w:rsid w:val="00DC2D26"/>
    <w:rsid w:val="00DC31D1"/>
    <w:rsid w:val="00DC3746"/>
    <w:rsid w:val="00DC38F9"/>
    <w:rsid w:val="00DC3CFE"/>
    <w:rsid w:val="00DC3D3B"/>
    <w:rsid w:val="00DC4065"/>
    <w:rsid w:val="00DC4B80"/>
    <w:rsid w:val="00DC6289"/>
    <w:rsid w:val="00DC6FE7"/>
    <w:rsid w:val="00DC70F3"/>
    <w:rsid w:val="00DC769C"/>
    <w:rsid w:val="00DC7846"/>
    <w:rsid w:val="00DC7E02"/>
    <w:rsid w:val="00DD042E"/>
    <w:rsid w:val="00DD0AB4"/>
    <w:rsid w:val="00DD0C6E"/>
    <w:rsid w:val="00DD0DE5"/>
    <w:rsid w:val="00DD110F"/>
    <w:rsid w:val="00DD11CB"/>
    <w:rsid w:val="00DD1405"/>
    <w:rsid w:val="00DD1423"/>
    <w:rsid w:val="00DD1965"/>
    <w:rsid w:val="00DD1DDB"/>
    <w:rsid w:val="00DD1E56"/>
    <w:rsid w:val="00DD208F"/>
    <w:rsid w:val="00DD20EE"/>
    <w:rsid w:val="00DD24C0"/>
    <w:rsid w:val="00DD268A"/>
    <w:rsid w:val="00DD314A"/>
    <w:rsid w:val="00DD3813"/>
    <w:rsid w:val="00DD4046"/>
    <w:rsid w:val="00DD41B5"/>
    <w:rsid w:val="00DD470C"/>
    <w:rsid w:val="00DD4B8B"/>
    <w:rsid w:val="00DD4D2F"/>
    <w:rsid w:val="00DD4F7C"/>
    <w:rsid w:val="00DD4FB7"/>
    <w:rsid w:val="00DD5181"/>
    <w:rsid w:val="00DD550A"/>
    <w:rsid w:val="00DD5EF4"/>
    <w:rsid w:val="00DD6B47"/>
    <w:rsid w:val="00DD6B5E"/>
    <w:rsid w:val="00DD6D1D"/>
    <w:rsid w:val="00DD6DBD"/>
    <w:rsid w:val="00DD6E2E"/>
    <w:rsid w:val="00DD7338"/>
    <w:rsid w:val="00DD79D0"/>
    <w:rsid w:val="00DD7F3E"/>
    <w:rsid w:val="00DD7FA0"/>
    <w:rsid w:val="00DE0013"/>
    <w:rsid w:val="00DE0353"/>
    <w:rsid w:val="00DE08C7"/>
    <w:rsid w:val="00DE0B67"/>
    <w:rsid w:val="00DE0D90"/>
    <w:rsid w:val="00DE1262"/>
    <w:rsid w:val="00DE1283"/>
    <w:rsid w:val="00DE13E3"/>
    <w:rsid w:val="00DE1591"/>
    <w:rsid w:val="00DE1BA0"/>
    <w:rsid w:val="00DE2060"/>
    <w:rsid w:val="00DE26C2"/>
    <w:rsid w:val="00DE276F"/>
    <w:rsid w:val="00DE2BFA"/>
    <w:rsid w:val="00DE2C6F"/>
    <w:rsid w:val="00DE2D6C"/>
    <w:rsid w:val="00DE2F9D"/>
    <w:rsid w:val="00DE3686"/>
    <w:rsid w:val="00DE37F3"/>
    <w:rsid w:val="00DE3B61"/>
    <w:rsid w:val="00DE3E89"/>
    <w:rsid w:val="00DE3EF5"/>
    <w:rsid w:val="00DE43D3"/>
    <w:rsid w:val="00DE4B84"/>
    <w:rsid w:val="00DE4CF1"/>
    <w:rsid w:val="00DE5084"/>
    <w:rsid w:val="00DE556C"/>
    <w:rsid w:val="00DE652A"/>
    <w:rsid w:val="00DE6772"/>
    <w:rsid w:val="00DE6B87"/>
    <w:rsid w:val="00DE7296"/>
    <w:rsid w:val="00DE74FD"/>
    <w:rsid w:val="00DE760F"/>
    <w:rsid w:val="00DE76D1"/>
    <w:rsid w:val="00DE7F54"/>
    <w:rsid w:val="00DF0005"/>
    <w:rsid w:val="00DF04B1"/>
    <w:rsid w:val="00DF0D05"/>
    <w:rsid w:val="00DF0D25"/>
    <w:rsid w:val="00DF0D9C"/>
    <w:rsid w:val="00DF1028"/>
    <w:rsid w:val="00DF1488"/>
    <w:rsid w:val="00DF1A8A"/>
    <w:rsid w:val="00DF1E27"/>
    <w:rsid w:val="00DF2039"/>
    <w:rsid w:val="00DF203E"/>
    <w:rsid w:val="00DF29B9"/>
    <w:rsid w:val="00DF2ADB"/>
    <w:rsid w:val="00DF2AEB"/>
    <w:rsid w:val="00DF3500"/>
    <w:rsid w:val="00DF35FD"/>
    <w:rsid w:val="00DF384F"/>
    <w:rsid w:val="00DF397C"/>
    <w:rsid w:val="00DF3993"/>
    <w:rsid w:val="00DF3F3C"/>
    <w:rsid w:val="00DF4141"/>
    <w:rsid w:val="00DF4268"/>
    <w:rsid w:val="00DF46D6"/>
    <w:rsid w:val="00DF46F7"/>
    <w:rsid w:val="00DF490E"/>
    <w:rsid w:val="00DF509E"/>
    <w:rsid w:val="00DF533D"/>
    <w:rsid w:val="00DF5C4C"/>
    <w:rsid w:val="00DF632F"/>
    <w:rsid w:val="00DF6BE0"/>
    <w:rsid w:val="00DF6C00"/>
    <w:rsid w:val="00DF6C99"/>
    <w:rsid w:val="00DF6D51"/>
    <w:rsid w:val="00DF7119"/>
    <w:rsid w:val="00DF75DD"/>
    <w:rsid w:val="00DF760E"/>
    <w:rsid w:val="00E00AA5"/>
    <w:rsid w:val="00E00EAE"/>
    <w:rsid w:val="00E00FAE"/>
    <w:rsid w:val="00E01475"/>
    <w:rsid w:val="00E01A39"/>
    <w:rsid w:val="00E0216D"/>
    <w:rsid w:val="00E021C4"/>
    <w:rsid w:val="00E021E2"/>
    <w:rsid w:val="00E025EF"/>
    <w:rsid w:val="00E02E5D"/>
    <w:rsid w:val="00E02F78"/>
    <w:rsid w:val="00E03219"/>
    <w:rsid w:val="00E0340B"/>
    <w:rsid w:val="00E03557"/>
    <w:rsid w:val="00E035B7"/>
    <w:rsid w:val="00E03804"/>
    <w:rsid w:val="00E03A6F"/>
    <w:rsid w:val="00E03DBE"/>
    <w:rsid w:val="00E03EE4"/>
    <w:rsid w:val="00E043FA"/>
    <w:rsid w:val="00E04434"/>
    <w:rsid w:val="00E04DAE"/>
    <w:rsid w:val="00E04E9F"/>
    <w:rsid w:val="00E05575"/>
    <w:rsid w:val="00E05BC0"/>
    <w:rsid w:val="00E06736"/>
    <w:rsid w:val="00E06D4B"/>
    <w:rsid w:val="00E06DEA"/>
    <w:rsid w:val="00E06F2F"/>
    <w:rsid w:val="00E07050"/>
    <w:rsid w:val="00E07128"/>
    <w:rsid w:val="00E07433"/>
    <w:rsid w:val="00E074F3"/>
    <w:rsid w:val="00E07781"/>
    <w:rsid w:val="00E0782F"/>
    <w:rsid w:val="00E07A62"/>
    <w:rsid w:val="00E07C98"/>
    <w:rsid w:val="00E100ED"/>
    <w:rsid w:val="00E102F1"/>
    <w:rsid w:val="00E10D86"/>
    <w:rsid w:val="00E11B96"/>
    <w:rsid w:val="00E11C54"/>
    <w:rsid w:val="00E11C9D"/>
    <w:rsid w:val="00E1200B"/>
    <w:rsid w:val="00E12317"/>
    <w:rsid w:val="00E12640"/>
    <w:rsid w:val="00E1276E"/>
    <w:rsid w:val="00E12B83"/>
    <w:rsid w:val="00E12E40"/>
    <w:rsid w:val="00E13250"/>
    <w:rsid w:val="00E13944"/>
    <w:rsid w:val="00E13EBA"/>
    <w:rsid w:val="00E1414E"/>
    <w:rsid w:val="00E147F1"/>
    <w:rsid w:val="00E14DBB"/>
    <w:rsid w:val="00E15305"/>
    <w:rsid w:val="00E157E0"/>
    <w:rsid w:val="00E15B98"/>
    <w:rsid w:val="00E15D2F"/>
    <w:rsid w:val="00E16597"/>
    <w:rsid w:val="00E16C20"/>
    <w:rsid w:val="00E16D08"/>
    <w:rsid w:val="00E17828"/>
    <w:rsid w:val="00E1787E"/>
    <w:rsid w:val="00E17931"/>
    <w:rsid w:val="00E17975"/>
    <w:rsid w:val="00E2034B"/>
    <w:rsid w:val="00E20A08"/>
    <w:rsid w:val="00E20C35"/>
    <w:rsid w:val="00E21211"/>
    <w:rsid w:val="00E21D38"/>
    <w:rsid w:val="00E2233B"/>
    <w:rsid w:val="00E22905"/>
    <w:rsid w:val="00E22ADF"/>
    <w:rsid w:val="00E22D50"/>
    <w:rsid w:val="00E22E0F"/>
    <w:rsid w:val="00E22FAD"/>
    <w:rsid w:val="00E2342D"/>
    <w:rsid w:val="00E236B7"/>
    <w:rsid w:val="00E236E9"/>
    <w:rsid w:val="00E240DA"/>
    <w:rsid w:val="00E244B3"/>
    <w:rsid w:val="00E247FF"/>
    <w:rsid w:val="00E24AA4"/>
    <w:rsid w:val="00E25482"/>
    <w:rsid w:val="00E25F07"/>
    <w:rsid w:val="00E263D6"/>
    <w:rsid w:val="00E26855"/>
    <w:rsid w:val="00E27802"/>
    <w:rsid w:val="00E27A62"/>
    <w:rsid w:val="00E27B87"/>
    <w:rsid w:val="00E27F2A"/>
    <w:rsid w:val="00E30158"/>
    <w:rsid w:val="00E301CA"/>
    <w:rsid w:val="00E3047F"/>
    <w:rsid w:val="00E30917"/>
    <w:rsid w:val="00E30D5D"/>
    <w:rsid w:val="00E311A5"/>
    <w:rsid w:val="00E3147F"/>
    <w:rsid w:val="00E3151E"/>
    <w:rsid w:val="00E31926"/>
    <w:rsid w:val="00E31F8E"/>
    <w:rsid w:val="00E323B4"/>
    <w:rsid w:val="00E327AE"/>
    <w:rsid w:val="00E3346B"/>
    <w:rsid w:val="00E33692"/>
    <w:rsid w:val="00E33FEF"/>
    <w:rsid w:val="00E34442"/>
    <w:rsid w:val="00E345E0"/>
    <w:rsid w:val="00E34976"/>
    <w:rsid w:val="00E34EC4"/>
    <w:rsid w:val="00E35A6B"/>
    <w:rsid w:val="00E35DE9"/>
    <w:rsid w:val="00E36A85"/>
    <w:rsid w:val="00E370D7"/>
    <w:rsid w:val="00E3713B"/>
    <w:rsid w:val="00E373AE"/>
    <w:rsid w:val="00E3777A"/>
    <w:rsid w:val="00E37DCC"/>
    <w:rsid w:val="00E400A1"/>
    <w:rsid w:val="00E4064F"/>
    <w:rsid w:val="00E40B3E"/>
    <w:rsid w:val="00E40F33"/>
    <w:rsid w:val="00E41011"/>
    <w:rsid w:val="00E413ED"/>
    <w:rsid w:val="00E416C5"/>
    <w:rsid w:val="00E41701"/>
    <w:rsid w:val="00E41C25"/>
    <w:rsid w:val="00E41F23"/>
    <w:rsid w:val="00E41F53"/>
    <w:rsid w:val="00E421F7"/>
    <w:rsid w:val="00E422D6"/>
    <w:rsid w:val="00E422F5"/>
    <w:rsid w:val="00E422F6"/>
    <w:rsid w:val="00E42B8F"/>
    <w:rsid w:val="00E437C5"/>
    <w:rsid w:val="00E43A3C"/>
    <w:rsid w:val="00E43BBE"/>
    <w:rsid w:val="00E43D87"/>
    <w:rsid w:val="00E44162"/>
    <w:rsid w:val="00E44196"/>
    <w:rsid w:val="00E4472C"/>
    <w:rsid w:val="00E44751"/>
    <w:rsid w:val="00E44ABE"/>
    <w:rsid w:val="00E44CEE"/>
    <w:rsid w:val="00E454F6"/>
    <w:rsid w:val="00E45CCD"/>
    <w:rsid w:val="00E45CFB"/>
    <w:rsid w:val="00E45D30"/>
    <w:rsid w:val="00E4640B"/>
    <w:rsid w:val="00E4646D"/>
    <w:rsid w:val="00E46787"/>
    <w:rsid w:val="00E46980"/>
    <w:rsid w:val="00E46D6D"/>
    <w:rsid w:val="00E4701F"/>
    <w:rsid w:val="00E47FD1"/>
    <w:rsid w:val="00E5020C"/>
    <w:rsid w:val="00E5053D"/>
    <w:rsid w:val="00E5083D"/>
    <w:rsid w:val="00E50C28"/>
    <w:rsid w:val="00E50EFC"/>
    <w:rsid w:val="00E51306"/>
    <w:rsid w:val="00E51378"/>
    <w:rsid w:val="00E513FB"/>
    <w:rsid w:val="00E51469"/>
    <w:rsid w:val="00E514A8"/>
    <w:rsid w:val="00E52125"/>
    <w:rsid w:val="00E525ED"/>
    <w:rsid w:val="00E529D7"/>
    <w:rsid w:val="00E53610"/>
    <w:rsid w:val="00E53F91"/>
    <w:rsid w:val="00E54131"/>
    <w:rsid w:val="00E545BD"/>
    <w:rsid w:val="00E54C6D"/>
    <w:rsid w:val="00E54ED2"/>
    <w:rsid w:val="00E54F0D"/>
    <w:rsid w:val="00E5546E"/>
    <w:rsid w:val="00E559E3"/>
    <w:rsid w:val="00E55B22"/>
    <w:rsid w:val="00E55C50"/>
    <w:rsid w:val="00E560D0"/>
    <w:rsid w:val="00E56CB0"/>
    <w:rsid w:val="00E56F02"/>
    <w:rsid w:val="00E56F9D"/>
    <w:rsid w:val="00E57608"/>
    <w:rsid w:val="00E57678"/>
    <w:rsid w:val="00E578C8"/>
    <w:rsid w:val="00E57996"/>
    <w:rsid w:val="00E57CCB"/>
    <w:rsid w:val="00E57E80"/>
    <w:rsid w:val="00E60337"/>
    <w:rsid w:val="00E61340"/>
    <w:rsid w:val="00E61A5A"/>
    <w:rsid w:val="00E61A81"/>
    <w:rsid w:val="00E62291"/>
    <w:rsid w:val="00E623BB"/>
    <w:rsid w:val="00E625D2"/>
    <w:rsid w:val="00E62613"/>
    <w:rsid w:val="00E62785"/>
    <w:rsid w:val="00E62E16"/>
    <w:rsid w:val="00E631CB"/>
    <w:rsid w:val="00E63F0C"/>
    <w:rsid w:val="00E64462"/>
    <w:rsid w:val="00E64AA2"/>
    <w:rsid w:val="00E6538E"/>
    <w:rsid w:val="00E65442"/>
    <w:rsid w:val="00E65E46"/>
    <w:rsid w:val="00E66397"/>
    <w:rsid w:val="00E66439"/>
    <w:rsid w:val="00E66E0A"/>
    <w:rsid w:val="00E67048"/>
    <w:rsid w:val="00E6712E"/>
    <w:rsid w:val="00E672B4"/>
    <w:rsid w:val="00E70053"/>
    <w:rsid w:val="00E7030F"/>
    <w:rsid w:val="00E70391"/>
    <w:rsid w:val="00E7092B"/>
    <w:rsid w:val="00E70B6D"/>
    <w:rsid w:val="00E70F70"/>
    <w:rsid w:val="00E711A2"/>
    <w:rsid w:val="00E7120E"/>
    <w:rsid w:val="00E7153D"/>
    <w:rsid w:val="00E715B6"/>
    <w:rsid w:val="00E715D4"/>
    <w:rsid w:val="00E71644"/>
    <w:rsid w:val="00E716C5"/>
    <w:rsid w:val="00E71E93"/>
    <w:rsid w:val="00E7231E"/>
    <w:rsid w:val="00E723B0"/>
    <w:rsid w:val="00E726D2"/>
    <w:rsid w:val="00E727D3"/>
    <w:rsid w:val="00E727FB"/>
    <w:rsid w:val="00E7287E"/>
    <w:rsid w:val="00E72C27"/>
    <w:rsid w:val="00E73277"/>
    <w:rsid w:val="00E7374C"/>
    <w:rsid w:val="00E7377A"/>
    <w:rsid w:val="00E73BAB"/>
    <w:rsid w:val="00E73EE7"/>
    <w:rsid w:val="00E73EFF"/>
    <w:rsid w:val="00E7414B"/>
    <w:rsid w:val="00E7459B"/>
    <w:rsid w:val="00E74705"/>
    <w:rsid w:val="00E74A20"/>
    <w:rsid w:val="00E74A46"/>
    <w:rsid w:val="00E74CBB"/>
    <w:rsid w:val="00E75862"/>
    <w:rsid w:val="00E75FA7"/>
    <w:rsid w:val="00E765E2"/>
    <w:rsid w:val="00E76CE0"/>
    <w:rsid w:val="00E76EEB"/>
    <w:rsid w:val="00E771CE"/>
    <w:rsid w:val="00E77291"/>
    <w:rsid w:val="00E77AF3"/>
    <w:rsid w:val="00E77CB2"/>
    <w:rsid w:val="00E77D25"/>
    <w:rsid w:val="00E800C7"/>
    <w:rsid w:val="00E807B8"/>
    <w:rsid w:val="00E80AC2"/>
    <w:rsid w:val="00E80FC3"/>
    <w:rsid w:val="00E81E74"/>
    <w:rsid w:val="00E81EB1"/>
    <w:rsid w:val="00E82031"/>
    <w:rsid w:val="00E82152"/>
    <w:rsid w:val="00E82211"/>
    <w:rsid w:val="00E82976"/>
    <w:rsid w:val="00E82CA3"/>
    <w:rsid w:val="00E832FF"/>
    <w:rsid w:val="00E834A9"/>
    <w:rsid w:val="00E836F5"/>
    <w:rsid w:val="00E83FEE"/>
    <w:rsid w:val="00E8463E"/>
    <w:rsid w:val="00E84F34"/>
    <w:rsid w:val="00E857F1"/>
    <w:rsid w:val="00E85D56"/>
    <w:rsid w:val="00E86018"/>
    <w:rsid w:val="00E8643A"/>
    <w:rsid w:val="00E8659F"/>
    <w:rsid w:val="00E86936"/>
    <w:rsid w:val="00E86A86"/>
    <w:rsid w:val="00E86CAD"/>
    <w:rsid w:val="00E87FDF"/>
    <w:rsid w:val="00E901C8"/>
    <w:rsid w:val="00E9025C"/>
    <w:rsid w:val="00E902EA"/>
    <w:rsid w:val="00E9047A"/>
    <w:rsid w:val="00E90C30"/>
    <w:rsid w:val="00E915D9"/>
    <w:rsid w:val="00E9190A"/>
    <w:rsid w:val="00E92373"/>
    <w:rsid w:val="00E9288E"/>
    <w:rsid w:val="00E9289E"/>
    <w:rsid w:val="00E933AC"/>
    <w:rsid w:val="00E93547"/>
    <w:rsid w:val="00E93BED"/>
    <w:rsid w:val="00E93F61"/>
    <w:rsid w:val="00E94185"/>
    <w:rsid w:val="00E942BF"/>
    <w:rsid w:val="00E945F9"/>
    <w:rsid w:val="00E94988"/>
    <w:rsid w:val="00E94A29"/>
    <w:rsid w:val="00E94A4A"/>
    <w:rsid w:val="00E94A8F"/>
    <w:rsid w:val="00E94AA8"/>
    <w:rsid w:val="00E95762"/>
    <w:rsid w:val="00E959FB"/>
    <w:rsid w:val="00E95F6C"/>
    <w:rsid w:val="00E95F83"/>
    <w:rsid w:val="00E965B1"/>
    <w:rsid w:val="00E9660B"/>
    <w:rsid w:val="00E96805"/>
    <w:rsid w:val="00E96AED"/>
    <w:rsid w:val="00E96BBE"/>
    <w:rsid w:val="00E96C3D"/>
    <w:rsid w:val="00E96CB0"/>
    <w:rsid w:val="00E96D81"/>
    <w:rsid w:val="00E9736C"/>
    <w:rsid w:val="00E9753B"/>
    <w:rsid w:val="00E97592"/>
    <w:rsid w:val="00E97D2C"/>
    <w:rsid w:val="00E97F43"/>
    <w:rsid w:val="00EA04A2"/>
    <w:rsid w:val="00EA0668"/>
    <w:rsid w:val="00EA0E44"/>
    <w:rsid w:val="00EA10DC"/>
    <w:rsid w:val="00EA1DA1"/>
    <w:rsid w:val="00EA2033"/>
    <w:rsid w:val="00EA24FE"/>
    <w:rsid w:val="00EA27C7"/>
    <w:rsid w:val="00EA30F2"/>
    <w:rsid w:val="00EA323B"/>
    <w:rsid w:val="00EA3631"/>
    <w:rsid w:val="00EA3BA5"/>
    <w:rsid w:val="00EA441F"/>
    <w:rsid w:val="00EA44E2"/>
    <w:rsid w:val="00EA473F"/>
    <w:rsid w:val="00EA4C79"/>
    <w:rsid w:val="00EA543A"/>
    <w:rsid w:val="00EA5E41"/>
    <w:rsid w:val="00EA605C"/>
    <w:rsid w:val="00EA6297"/>
    <w:rsid w:val="00EA6490"/>
    <w:rsid w:val="00EA6A8C"/>
    <w:rsid w:val="00EA6DF1"/>
    <w:rsid w:val="00EA703B"/>
    <w:rsid w:val="00EA7324"/>
    <w:rsid w:val="00EA750A"/>
    <w:rsid w:val="00EA7D6F"/>
    <w:rsid w:val="00EA7E96"/>
    <w:rsid w:val="00EB00AF"/>
    <w:rsid w:val="00EB05FB"/>
    <w:rsid w:val="00EB09C9"/>
    <w:rsid w:val="00EB0AEA"/>
    <w:rsid w:val="00EB0E2C"/>
    <w:rsid w:val="00EB0F91"/>
    <w:rsid w:val="00EB1414"/>
    <w:rsid w:val="00EB1C5B"/>
    <w:rsid w:val="00EB1D35"/>
    <w:rsid w:val="00EB1D8B"/>
    <w:rsid w:val="00EB1EE7"/>
    <w:rsid w:val="00EB1FCC"/>
    <w:rsid w:val="00EB2A7F"/>
    <w:rsid w:val="00EB2C2A"/>
    <w:rsid w:val="00EB3036"/>
    <w:rsid w:val="00EB38B3"/>
    <w:rsid w:val="00EB3935"/>
    <w:rsid w:val="00EB431A"/>
    <w:rsid w:val="00EB43A1"/>
    <w:rsid w:val="00EB4422"/>
    <w:rsid w:val="00EB46DC"/>
    <w:rsid w:val="00EB481A"/>
    <w:rsid w:val="00EB4976"/>
    <w:rsid w:val="00EB50A2"/>
    <w:rsid w:val="00EB54D9"/>
    <w:rsid w:val="00EB6D99"/>
    <w:rsid w:val="00EB737A"/>
    <w:rsid w:val="00EB74C3"/>
    <w:rsid w:val="00EB767C"/>
    <w:rsid w:val="00EB76C9"/>
    <w:rsid w:val="00EB7B1D"/>
    <w:rsid w:val="00EB7C21"/>
    <w:rsid w:val="00EB7D41"/>
    <w:rsid w:val="00EC0103"/>
    <w:rsid w:val="00EC02BB"/>
    <w:rsid w:val="00EC0494"/>
    <w:rsid w:val="00EC0C79"/>
    <w:rsid w:val="00EC1226"/>
    <w:rsid w:val="00EC14E6"/>
    <w:rsid w:val="00EC15E1"/>
    <w:rsid w:val="00EC1889"/>
    <w:rsid w:val="00EC189D"/>
    <w:rsid w:val="00EC2851"/>
    <w:rsid w:val="00EC2A1C"/>
    <w:rsid w:val="00EC2BAF"/>
    <w:rsid w:val="00EC3092"/>
    <w:rsid w:val="00EC3586"/>
    <w:rsid w:val="00EC391D"/>
    <w:rsid w:val="00EC3C4F"/>
    <w:rsid w:val="00EC3D4A"/>
    <w:rsid w:val="00EC4BBF"/>
    <w:rsid w:val="00EC4D97"/>
    <w:rsid w:val="00EC51F3"/>
    <w:rsid w:val="00EC5677"/>
    <w:rsid w:val="00EC58BB"/>
    <w:rsid w:val="00EC5B8D"/>
    <w:rsid w:val="00EC5BF4"/>
    <w:rsid w:val="00EC5C01"/>
    <w:rsid w:val="00EC5F69"/>
    <w:rsid w:val="00EC6548"/>
    <w:rsid w:val="00EC656E"/>
    <w:rsid w:val="00EC6CFB"/>
    <w:rsid w:val="00EC6D09"/>
    <w:rsid w:val="00EC6F58"/>
    <w:rsid w:val="00EC7446"/>
    <w:rsid w:val="00EC7E10"/>
    <w:rsid w:val="00ED02DC"/>
    <w:rsid w:val="00ED0522"/>
    <w:rsid w:val="00ED0C97"/>
    <w:rsid w:val="00ED0E60"/>
    <w:rsid w:val="00ED139E"/>
    <w:rsid w:val="00ED1B49"/>
    <w:rsid w:val="00ED211F"/>
    <w:rsid w:val="00ED24EA"/>
    <w:rsid w:val="00ED2DDB"/>
    <w:rsid w:val="00ED319D"/>
    <w:rsid w:val="00ED3B7D"/>
    <w:rsid w:val="00ED3C34"/>
    <w:rsid w:val="00ED3D0A"/>
    <w:rsid w:val="00ED45D7"/>
    <w:rsid w:val="00ED4916"/>
    <w:rsid w:val="00ED4B1A"/>
    <w:rsid w:val="00ED4B43"/>
    <w:rsid w:val="00ED4EAC"/>
    <w:rsid w:val="00ED50D7"/>
    <w:rsid w:val="00ED51BB"/>
    <w:rsid w:val="00ED51EE"/>
    <w:rsid w:val="00ED5578"/>
    <w:rsid w:val="00ED588E"/>
    <w:rsid w:val="00ED5A2C"/>
    <w:rsid w:val="00ED5FA3"/>
    <w:rsid w:val="00ED614C"/>
    <w:rsid w:val="00ED61A2"/>
    <w:rsid w:val="00ED6CD3"/>
    <w:rsid w:val="00ED6F48"/>
    <w:rsid w:val="00ED7530"/>
    <w:rsid w:val="00ED7D0C"/>
    <w:rsid w:val="00EE05C4"/>
    <w:rsid w:val="00EE0746"/>
    <w:rsid w:val="00EE15AE"/>
    <w:rsid w:val="00EE17A4"/>
    <w:rsid w:val="00EE1F1E"/>
    <w:rsid w:val="00EE204D"/>
    <w:rsid w:val="00EE2484"/>
    <w:rsid w:val="00EE24D7"/>
    <w:rsid w:val="00EE2A71"/>
    <w:rsid w:val="00EE2D1D"/>
    <w:rsid w:val="00EE2D85"/>
    <w:rsid w:val="00EE352C"/>
    <w:rsid w:val="00EE3851"/>
    <w:rsid w:val="00EE3BDD"/>
    <w:rsid w:val="00EE4BFD"/>
    <w:rsid w:val="00EE5241"/>
    <w:rsid w:val="00EE5990"/>
    <w:rsid w:val="00EE5AF8"/>
    <w:rsid w:val="00EE5D0E"/>
    <w:rsid w:val="00EE60D8"/>
    <w:rsid w:val="00EE6905"/>
    <w:rsid w:val="00EE7218"/>
    <w:rsid w:val="00EE7816"/>
    <w:rsid w:val="00EE7B01"/>
    <w:rsid w:val="00EE7EF6"/>
    <w:rsid w:val="00EE7FB9"/>
    <w:rsid w:val="00EE7FEF"/>
    <w:rsid w:val="00EF0261"/>
    <w:rsid w:val="00EF0852"/>
    <w:rsid w:val="00EF0E8B"/>
    <w:rsid w:val="00EF18AB"/>
    <w:rsid w:val="00EF18CA"/>
    <w:rsid w:val="00EF191E"/>
    <w:rsid w:val="00EF2B5E"/>
    <w:rsid w:val="00EF2F91"/>
    <w:rsid w:val="00EF30DC"/>
    <w:rsid w:val="00EF4249"/>
    <w:rsid w:val="00EF44DE"/>
    <w:rsid w:val="00EF4C1E"/>
    <w:rsid w:val="00EF58C3"/>
    <w:rsid w:val="00EF58D4"/>
    <w:rsid w:val="00EF591D"/>
    <w:rsid w:val="00EF66EF"/>
    <w:rsid w:val="00EF67A5"/>
    <w:rsid w:val="00EF686A"/>
    <w:rsid w:val="00EF776A"/>
    <w:rsid w:val="00EF7DC0"/>
    <w:rsid w:val="00EF7E41"/>
    <w:rsid w:val="00F00092"/>
    <w:rsid w:val="00F0082E"/>
    <w:rsid w:val="00F00A02"/>
    <w:rsid w:val="00F00C2C"/>
    <w:rsid w:val="00F00EB9"/>
    <w:rsid w:val="00F0172C"/>
    <w:rsid w:val="00F01935"/>
    <w:rsid w:val="00F020B6"/>
    <w:rsid w:val="00F028E5"/>
    <w:rsid w:val="00F0290E"/>
    <w:rsid w:val="00F02ABC"/>
    <w:rsid w:val="00F02C9A"/>
    <w:rsid w:val="00F034E8"/>
    <w:rsid w:val="00F03FA4"/>
    <w:rsid w:val="00F040F5"/>
    <w:rsid w:val="00F041A7"/>
    <w:rsid w:val="00F04586"/>
    <w:rsid w:val="00F04952"/>
    <w:rsid w:val="00F04EE0"/>
    <w:rsid w:val="00F0517B"/>
    <w:rsid w:val="00F05D3A"/>
    <w:rsid w:val="00F06227"/>
    <w:rsid w:val="00F0695D"/>
    <w:rsid w:val="00F06EC4"/>
    <w:rsid w:val="00F06FE6"/>
    <w:rsid w:val="00F0725A"/>
    <w:rsid w:val="00F07458"/>
    <w:rsid w:val="00F07707"/>
    <w:rsid w:val="00F07D44"/>
    <w:rsid w:val="00F107EB"/>
    <w:rsid w:val="00F10D24"/>
    <w:rsid w:val="00F113A8"/>
    <w:rsid w:val="00F11478"/>
    <w:rsid w:val="00F1164C"/>
    <w:rsid w:val="00F1241A"/>
    <w:rsid w:val="00F128CF"/>
    <w:rsid w:val="00F12CDC"/>
    <w:rsid w:val="00F13295"/>
    <w:rsid w:val="00F13C7F"/>
    <w:rsid w:val="00F14380"/>
    <w:rsid w:val="00F1459D"/>
    <w:rsid w:val="00F14723"/>
    <w:rsid w:val="00F148AE"/>
    <w:rsid w:val="00F15F22"/>
    <w:rsid w:val="00F162BA"/>
    <w:rsid w:val="00F163E1"/>
    <w:rsid w:val="00F1673C"/>
    <w:rsid w:val="00F16925"/>
    <w:rsid w:val="00F16F87"/>
    <w:rsid w:val="00F17304"/>
    <w:rsid w:val="00F17361"/>
    <w:rsid w:val="00F17443"/>
    <w:rsid w:val="00F17BD7"/>
    <w:rsid w:val="00F17CC1"/>
    <w:rsid w:val="00F20A80"/>
    <w:rsid w:val="00F218D9"/>
    <w:rsid w:val="00F2215C"/>
    <w:rsid w:val="00F22F7E"/>
    <w:rsid w:val="00F237CF"/>
    <w:rsid w:val="00F23BD1"/>
    <w:rsid w:val="00F23EC5"/>
    <w:rsid w:val="00F2402C"/>
    <w:rsid w:val="00F2407D"/>
    <w:rsid w:val="00F2412C"/>
    <w:rsid w:val="00F24175"/>
    <w:rsid w:val="00F244EF"/>
    <w:rsid w:val="00F245F0"/>
    <w:rsid w:val="00F24687"/>
    <w:rsid w:val="00F248CF"/>
    <w:rsid w:val="00F25B87"/>
    <w:rsid w:val="00F263B7"/>
    <w:rsid w:val="00F2690F"/>
    <w:rsid w:val="00F26CCF"/>
    <w:rsid w:val="00F26E3A"/>
    <w:rsid w:val="00F26EAC"/>
    <w:rsid w:val="00F270A0"/>
    <w:rsid w:val="00F27219"/>
    <w:rsid w:val="00F27275"/>
    <w:rsid w:val="00F272E6"/>
    <w:rsid w:val="00F27755"/>
    <w:rsid w:val="00F27881"/>
    <w:rsid w:val="00F27C13"/>
    <w:rsid w:val="00F30084"/>
    <w:rsid w:val="00F3018A"/>
    <w:rsid w:val="00F30312"/>
    <w:rsid w:val="00F30A09"/>
    <w:rsid w:val="00F31503"/>
    <w:rsid w:val="00F31F12"/>
    <w:rsid w:val="00F322BA"/>
    <w:rsid w:val="00F3273B"/>
    <w:rsid w:val="00F32911"/>
    <w:rsid w:val="00F3299E"/>
    <w:rsid w:val="00F32B60"/>
    <w:rsid w:val="00F34290"/>
    <w:rsid w:val="00F34442"/>
    <w:rsid w:val="00F345A0"/>
    <w:rsid w:val="00F34B15"/>
    <w:rsid w:val="00F34D1E"/>
    <w:rsid w:val="00F34E61"/>
    <w:rsid w:val="00F35E13"/>
    <w:rsid w:val="00F36393"/>
    <w:rsid w:val="00F3665F"/>
    <w:rsid w:val="00F367D4"/>
    <w:rsid w:val="00F36881"/>
    <w:rsid w:val="00F36BEB"/>
    <w:rsid w:val="00F36CBB"/>
    <w:rsid w:val="00F36F7A"/>
    <w:rsid w:val="00F37128"/>
    <w:rsid w:val="00F3747B"/>
    <w:rsid w:val="00F379F5"/>
    <w:rsid w:val="00F379F7"/>
    <w:rsid w:val="00F37E8B"/>
    <w:rsid w:val="00F401C5"/>
    <w:rsid w:val="00F40434"/>
    <w:rsid w:val="00F40551"/>
    <w:rsid w:val="00F405D8"/>
    <w:rsid w:val="00F40AA1"/>
    <w:rsid w:val="00F4196A"/>
    <w:rsid w:val="00F41A62"/>
    <w:rsid w:val="00F41C5E"/>
    <w:rsid w:val="00F42113"/>
    <w:rsid w:val="00F4218A"/>
    <w:rsid w:val="00F426C8"/>
    <w:rsid w:val="00F429C8"/>
    <w:rsid w:val="00F42CB2"/>
    <w:rsid w:val="00F42F6C"/>
    <w:rsid w:val="00F431A3"/>
    <w:rsid w:val="00F43401"/>
    <w:rsid w:val="00F43E12"/>
    <w:rsid w:val="00F4447B"/>
    <w:rsid w:val="00F447DB"/>
    <w:rsid w:val="00F44A68"/>
    <w:rsid w:val="00F44A73"/>
    <w:rsid w:val="00F44E10"/>
    <w:rsid w:val="00F45398"/>
    <w:rsid w:val="00F4553E"/>
    <w:rsid w:val="00F455BF"/>
    <w:rsid w:val="00F45711"/>
    <w:rsid w:val="00F45719"/>
    <w:rsid w:val="00F4596F"/>
    <w:rsid w:val="00F46440"/>
    <w:rsid w:val="00F46D40"/>
    <w:rsid w:val="00F4765D"/>
    <w:rsid w:val="00F47820"/>
    <w:rsid w:val="00F47C8B"/>
    <w:rsid w:val="00F47F7C"/>
    <w:rsid w:val="00F51419"/>
    <w:rsid w:val="00F51708"/>
    <w:rsid w:val="00F5181C"/>
    <w:rsid w:val="00F51A7F"/>
    <w:rsid w:val="00F51E10"/>
    <w:rsid w:val="00F52544"/>
    <w:rsid w:val="00F52668"/>
    <w:rsid w:val="00F5266A"/>
    <w:rsid w:val="00F528FC"/>
    <w:rsid w:val="00F52C19"/>
    <w:rsid w:val="00F52EE4"/>
    <w:rsid w:val="00F530BB"/>
    <w:rsid w:val="00F5333A"/>
    <w:rsid w:val="00F549C3"/>
    <w:rsid w:val="00F55018"/>
    <w:rsid w:val="00F5572B"/>
    <w:rsid w:val="00F55A42"/>
    <w:rsid w:val="00F55C13"/>
    <w:rsid w:val="00F56409"/>
    <w:rsid w:val="00F56AD2"/>
    <w:rsid w:val="00F56D90"/>
    <w:rsid w:val="00F573C7"/>
    <w:rsid w:val="00F57827"/>
    <w:rsid w:val="00F57A02"/>
    <w:rsid w:val="00F600D6"/>
    <w:rsid w:val="00F604FF"/>
    <w:rsid w:val="00F609D3"/>
    <w:rsid w:val="00F60B8D"/>
    <w:rsid w:val="00F60BFA"/>
    <w:rsid w:val="00F61932"/>
    <w:rsid w:val="00F62E2C"/>
    <w:rsid w:val="00F6382B"/>
    <w:rsid w:val="00F63937"/>
    <w:rsid w:val="00F63B33"/>
    <w:rsid w:val="00F6430B"/>
    <w:rsid w:val="00F643A0"/>
    <w:rsid w:val="00F6443E"/>
    <w:rsid w:val="00F64D98"/>
    <w:rsid w:val="00F64E46"/>
    <w:rsid w:val="00F65BDB"/>
    <w:rsid w:val="00F66686"/>
    <w:rsid w:val="00F66B99"/>
    <w:rsid w:val="00F66CC9"/>
    <w:rsid w:val="00F66DFB"/>
    <w:rsid w:val="00F66E77"/>
    <w:rsid w:val="00F672D5"/>
    <w:rsid w:val="00F67350"/>
    <w:rsid w:val="00F673A3"/>
    <w:rsid w:val="00F6740E"/>
    <w:rsid w:val="00F67522"/>
    <w:rsid w:val="00F679D5"/>
    <w:rsid w:val="00F67C7E"/>
    <w:rsid w:val="00F67FAD"/>
    <w:rsid w:val="00F70111"/>
    <w:rsid w:val="00F70718"/>
    <w:rsid w:val="00F70DAC"/>
    <w:rsid w:val="00F70DEA"/>
    <w:rsid w:val="00F71078"/>
    <w:rsid w:val="00F712BF"/>
    <w:rsid w:val="00F71372"/>
    <w:rsid w:val="00F716CF"/>
    <w:rsid w:val="00F71B26"/>
    <w:rsid w:val="00F71CDF"/>
    <w:rsid w:val="00F724A6"/>
    <w:rsid w:val="00F725C1"/>
    <w:rsid w:val="00F72656"/>
    <w:rsid w:val="00F7273C"/>
    <w:rsid w:val="00F72D7E"/>
    <w:rsid w:val="00F72EE5"/>
    <w:rsid w:val="00F72FF9"/>
    <w:rsid w:val="00F73328"/>
    <w:rsid w:val="00F7365A"/>
    <w:rsid w:val="00F741EB"/>
    <w:rsid w:val="00F7444E"/>
    <w:rsid w:val="00F74DDA"/>
    <w:rsid w:val="00F7500C"/>
    <w:rsid w:val="00F751ED"/>
    <w:rsid w:val="00F7534E"/>
    <w:rsid w:val="00F75AF8"/>
    <w:rsid w:val="00F764D4"/>
    <w:rsid w:val="00F7653F"/>
    <w:rsid w:val="00F76605"/>
    <w:rsid w:val="00F768C7"/>
    <w:rsid w:val="00F769D5"/>
    <w:rsid w:val="00F769FB"/>
    <w:rsid w:val="00F76B33"/>
    <w:rsid w:val="00F76CB5"/>
    <w:rsid w:val="00F7757E"/>
    <w:rsid w:val="00F776F8"/>
    <w:rsid w:val="00F77E7C"/>
    <w:rsid w:val="00F77EE5"/>
    <w:rsid w:val="00F80180"/>
    <w:rsid w:val="00F80A20"/>
    <w:rsid w:val="00F80DD3"/>
    <w:rsid w:val="00F8155B"/>
    <w:rsid w:val="00F816E0"/>
    <w:rsid w:val="00F81E46"/>
    <w:rsid w:val="00F82187"/>
    <w:rsid w:val="00F82F5E"/>
    <w:rsid w:val="00F8392F"/>
    <w:rsid w:val="00F83F4F"/>
    <w:rsid w:val="00F84267"/>
    <w:rsid w:val="00F84981"/>
    <w:rsid w:val="00F84F63"/>
    <w:rsid w:val="00F84F68"/>
    <w:rsid w:val="00F8567C"/>
    <w:rsid w:val="00F85758"/>
    <w:rsid w:val="00F85A34"/>
    <w:rsid w:val="00F86798"/>
    <w:rsid w:val="00F868B0"/>
    <w:rsid w:val="00F8729F"/>
    <w:rsid w:val="00F87892"/>
    <w:rsid w:val="00F87BD9"/>
    <w:rsid w:val="00F87EB3"/>
    <w:rsid w:val="00F90A68"/>
    <w:rsid w:val="00F91A11"/>
    <w:rsid w:val="00F9224B"/>
    <w:rsid w:val="00F929CC"/>
    <w:rsid w:val="00F92A98"/>
    <w:rsid w:val="00F92BA6"/>
    <w:rsid w:val="00F92BFB"/>
    <w:rsid w:val="00F92E1B"/>
    <w:rsid w:val="00F933FF"/>
    <w:rsid w:val="00F9358A"/>
    <w:rsid w:val="00F93B33"/>
    <w:rsid w:val="00F9433D"/>
    <w:rsid w:val="00F945D9"/>
    <w:rsid w:val="00F949B5"/>
    <w:rsid w:val="00F94B06"/>
    <w:rsid w:val="00F94BE7"/>
    <w:rsid w:val="00F951B3"/>
    <w:rsid w:val="00F95637"/>
    <w:rsid w:val="00F958C6"/>
    <w:rsid w:val="00F95C07"/>
    <w:rsid w:val="00F95DEC"/>
    <w:rsid w:val="00F95EF9"/>
    <w:rsid w:val="00F96268"/>
    <w:rsid w:val="00F97184"/>
    <w:rsid w:val="00F9736D"/>
    <w:rsid w:val="00FA0545"/>
    <w:rsid w:val="00FA0A23"/>
    <w:rsid w:val="00FA0F8F"/>
    <w:rsid w:val="00FA18C5"/>
    <w:rsid w:val="00FA1FDE"/>
    <w:rsid w:val="00FA2F14"/>
    <w:rsid w:val="00FA2FB0"/>
    <w:rsid w:val="00FA3515"/>
    <w:rsid w:val="00FA3C75"/>
    <w:rsid w:val="00FA4319"/>
    <w:rsid w:val="00FA453D"/>
    <w:rsid w:val="00FA4C74"/>
    <w:rsid w:val="00FA4E4A"/>
    <w:rsid w:val="00FA5403"/>
    <w:rsid w:val="00FA5BCF"/>
    <w:rsid w:val="00FA5FBF"/>
    <w:rsid w:val="00FA6115"/>
    <w:rsid w:val="00FA63A2"/>
    <w:rsid w:val="00FA64FF"/>
    <w:rsid w:val="00FA6EB5"/>
    <w:rsid w:val="00FA70D1"/>
    <w:rsid w:val="00FA747D"/>
    <w:rsid w:val="00FA79D5"/>
    <w:rsid w:val="00FA7F58"/>
    <w:rsid w:val="00FB043D"/>
    <w:rsid w:val="00FB07CC"/>
    <w:rsid w:val="00FB0849"/>
    <w:rsid w:val="00FB0C81"/>
    <w:rsid w:val="00FB0F78"/>
    <w:rsid w:val="00FB1060"/>
    <w:rsid w:val="00FB10DE"/>
    <w:rsid w:val="00FB1547"/>
    <w:rsid w:val="00FB1B50"/>
    <w:rsid w:val="00FB1B7E"/>
    <w:rsid w:val="00FB20E3"/>
    <w:rsid w:val="00FB220E"/>
    <w:rsid w:val="00FB2690"/>
    <w:rsid w:val="00FB2697"/>
    <w:rsid w:val="00FB2E2E"/>
    <w:rsid w:val="00FB3002"/>
    <w:rsid w:val="00FB323F"/>
    <w:rsid w:val="00FB3A09"/>
    <w:rsid w:val="00FB4D22"/>
    <w:rsid w:val="00FB50F7"/>
    <w:rsid w:val="00FB54CE"/>
    <w:rsid w:val="00FB5798"/>
    <w:rsid w:val="00FB5B30"/>
    <w:rsid w:val="00FB626B"/>
    <w:rsid w:val="00FB69B3"/>
    <w:rsid w:val="00FB6BB3"/>
    <w:rsid w:val="00FB6DF8"/>
    <w:rsid w:val="00FB7960"/>
    <w:rsid w:val="00FB79A0"/>
    <w:rsid w:val="00FB7D7D"/>
    <w:rsid w:val="00FB7FD3"/>
    <w:rsid w:val="00FC0627"/>
    <w:rsid w:val="00FC0801"/>
    <w:rsid w:val="00FC0C2B"/>
    <w:rsid w:val="00FC0CEC"/>
    <w:rsid w:val="00FC1069"/>
    <w:rsid w:val="00FC1A23"/>
    <w:rsid w:val="00FC1BDD"/>
    <w:rsid w:val="00FC1EBC"/>
    <w:rsid w:val="00FC279C"/>
    <w:rsid w:val="00FC2804"/>
    <w:rsid w:val="00FC28E9"/>
    <w:rsid w:val="00FC298F"/>
    <w:rsid w:val="00FC2B53"/>
    <w:rsid w:val="00FC3086"/>
    <w:rsid w:val="00FC30AB"/>
    <w:rsid w:val="00FC30F3"/>
    <w:rsid w:val="00FC35F0"/>
    <w:rsid w:val="00FC3E82"/>
    <w:rsid w:val="00FC48F0"/>
    <w:rsid w:val="00FC4AA2"/>
    <w:rsid w:val="00FC5B02"/>
    <w:rsid w:val="00FC5D26"/>
    <w:rsid w:val="00FC6047"/>
    <w:rsid w:val="00FC607E"/>
    <w:rsid w:val="00FC6F73"/>
    <w:rsid w:val="00FC71BD"/>
    <w:rsid w:val="00FC76F8"/>
    <w:rsid w:val="00FC7A31"/>
    <w:rsid w:val="00FD0885"/>
    <w:rsid w:val="00FD0A29"/>
    <w:rsid w:val="00FD0DB1"/>
    <w:rsid w:val="00FD139D"/>
    <w:rsid w:val="00FD1411"/>
    <w:rsid w:val="00FD16E4"/>
    <w:rsid w:val="00FD17C8"/>
    <w:rsid w:val="00FD190D"/>
    <w:rsid w:val="00FD1BF8"/>
    <w:rsid w:val="00FD2328"/>
    <w:rsid w:val="00FD277E"/>
    <w:rsid w:val="00FD30A7"/>
    <w:rsid w:val="00FD35D9"/>
    <w:rsid w:val="00FD37E6"/>
    <w:rsid w:val="00FD3BB5"/>
    <w:rsid w:val="00FD491E"/>
    <w:rsid w:val="00FD4989"/>
    <w:rsid w:val="00FD49A5"/>
    <w:rsid w:val="00FD4F46"/>
    <w:rsid w:val="00FD51E8"/>
    <w:rsid w:val="00FD59A5"/>
    <w:rsid w:val="00FD5E7D"/>
    <w:rsid w:val="00FD60CC"/>
    <w:rsid w:val="00FD6214"/>
    <w:rsid w:val="00FD62B5"/>
    <w:rsid w:val="00FD6AE6"/>
    <w:rsid w:val="00FD6BC6"/>
    <w:rsid w:val="00FD7276"/>
    <w:rsid w:val="00FD75DA"/>
    <w:rsid w:val="00FD767C"/>
    <w:rsid w:val="00FD7990"/>
    <w:rsid w:val="00FD7E83"/>
    <w:rsid w:val="00FD7EDB"/>
    <w:rsid w:val="00FE0129"/>
    <w:rsid w:val="00FE082F"/>
    <w:rsid w:val="00FE1975"/>
    <w:rsid w:val="00FE1B1F"/>
    <w:rsid w:val="00FE1D9C"/>
    <w:rsid w:val="00FE2041"/>
    <w:rsid w:val="00FE2649"/>
    <w:rsid w:val="00FE2659"/>
    <w:rsid w:val="00FE2912"/>
    <w:rsid w:val="00FE2994"/>
    <w:rsid w:val="00FE2FF8"/>
    <w:rsid w:val="00FE3587"/>
    <w:rsid w:val="00FE36B3"/>
    <w:rsid w:val="00FE37E5"/>
    <w:rsid w:val="00FE3CD4"/>
    <w:rsid w:val="00FE3EC5"/>
    <w:rsid w:val="00FE3FDF"/>
    <w:rsid w:val="00FE402C"/>
    <w:rsid w:val="00FE4E72"/>
    <w:rsid w:val="00FE4F1E"/>
    <w:rsid w:val="00FE51C9"/>
    <w:rsid w:val="00FE551C"/>
    <w:rsid w:val="00FE5520"/>
    <w:rsid w:val="00FE5A5E"/>
    <w:rsid w:val="00FE5E17"/>
    <w:rsid w:val="00FE6410"/>
    <w:rsid w:val="00FE6898"/>
    <w:rsid w:val="00FE713E"/>
    <w:rsid w:val="00FE742B"/>
    <w:rsid w:val="00FE756E"/>
    <w:rsid w:val="00FF0817"/>
    <w:rsid w:val="00FF0C73"/>
    <w:rsid w:val="00FF1038"/>
    <w:rsid w:val="00FF19EE"/>
    <w:rsid w:val="00FF1A74"/>
    <w:rsid w:val="00FF1DB9"/>
    <w:rsid w:val="00FF1F3C"/>
    <w:rsid w:val="00FF242D"/>
    <w:rsid w:val="00FF2487"/>
    <w:rsid w:val="00FF269E"/>
    <w:rsid w:val="00FF2899"/>
    <w:rsid w:val="00FF28F7"/>
    <w:rsid w:val="00FF317C"/>
    <w:rsid w:val="00FF331D"/>
    <w:rsid w:val="00FF3348"/>
    <w:rsid w:val="00FF3622"/>
    <w:rsid w:val="00FF3806"/>
    <w:rsid w:val="00FF3A5C"/>
    <w:rsid w:val="00FF3C08"/>
    <w:rsid w:val="00FF3EC9"/>
    <w:rsid w:val="00FF4169"/>
    <w:rsid w:val="00FF43E3"/>
    <w:rsid w:val="00FF5BB1"/>
    <w:rsid w:val="00FF5CE5"/>
    <w:rsid w:val="00FF5EA6"/>
    <w:rsid w:val="00FF63B4"/>
    <w:rsid w:val="00FF6A49"/>
    <w:rsid w:val="00FF6F5A"/>
    <w:rsid w:val="00FF76FA"/>
    <w:rsid w:val="00FF7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0">
    <w:name w:val="Normal"/>
    <w:qFormat/>
    <w:rsid w:val="00EB7C21"/>
    <w:pPr>
      <w:spacing w:before="120" w:after="120" w:line="360" w:lineRule="exact"/>
      <w:ind w:firstLine="709"/>
    </w:pPr>
    <w:rPr>
      <w:rFonts w:ascii="Times New Roman" w:eastAsia="Times New Roman" w:hAnsi="Times New Roman"/>
      <w:sz w:val="24"/>
      <w:szCs w:val="24"/>
    </w:rPr>
  </w:style>
  <w:style w:type="paragraph" w:styleId="1">
    <w:name w:val="heading 1"/>
    <w:aliases w:val="Head 1,????????? 1"/>
    <w:basedOn w:val="a0"/>
    <w:next w:val="a0"/>
    <w:link w:val="10"/>
    <w:uiPriority w:val="99"/>
    <w:qFormat/>
    <w:rsid w:val="0018337F"/>
    <w:pPr>
      <w:keepNext/>
      <w:keepLines/>
      <w:spacing w:before="480" w:line="276" w:lineRule="auto"/>
      <w:outlineLvl w:val="0"/>
    </w:pPr>
    <w:rPr>
      <w:rFonts w:ascii="Cambria" w:hAnsi="Cambria"/>
      <w:b/>
      <w:bCs/>
      <w:color w:val="365F91"/>
      <w:sz w:val="28"/>
      <w:szCs w:val="28"/>
    </w:rPr>
  </w:style>
  <w:style w:type="paragraph" w:styleId="2">
    <w:name w:val="heading 2"/>
    <w:aliases w:val="Знак3"/>
    <w:basedOn w:val="a0"/>
    <w:next w:val="a0"/>
    <w:link w:val="21"/>
    <w:uiPriority w:val="99"/>
    <w:qFormat/>
    <w:rsid w:val="00500C6E"/>
    <w:pPr>
      <w:keepNext/>
      <w:spacing w:before="240" w:after="240"/>
      <w:jc w:val="center"/>
      <w:outlineLvl w:val="1"/>
    </w:pPr>
    <w:rPr>
      <w:rFonts w:eastAsia="Calibri"/>
      <w:b/>
      <w:sz w:val="28"/>
      <w:szCs w:val="20"/>
    </w:rPr>
  </w:style>
  <w:style w:type="paragraph" w:styleId="3">
    <w:name w:val="heading 3"/>
    <w:aliases w:val="Знак2 Знак"/>
    <w:basedOn w:val="a0"/>
    <w:next w:val="a0"/>
    <w:link w:val="31"/>
    <w:uiPriority w:val="99"/>
    <w:qFormat/>
    <w:rsid w:val="00155D8D"/>
    <w:pPr>
      <w:keepNext/>
      <w:spacing w:before="240" w:after="60"/>
      <w:outlineLvl w:val="2"/>
    </w:pPr>
    <w:rPr>
      <w:rFonts w:ascii="Arial" w:hAnsi="Arial"/>
      <w:b/>
      <w:bCs/>
      <w:sz w:val="26"/>
      <w:szCs w:val="26"/>
    </w:rPr>
  </w:style>
  <w:style w:type="paragraph" w:styleId="4">
    <w:name w:val="heading 4"/>
    <w:aliases w:val="Знак1,Заголовок 4 Знак1,Знак1 Знак"/>
    <w:basedOn w:val="a0"/>
    <w:next w:val="a0"/>
    <w:link w:val="42"/>
    <w:uiPriority w:val="99"/>
    <w:qFormat/>
    <w:rsid w:val="00500C6E"/>
    <w:pPr>
      <w:keepNext/>
      <w:spacing w:before="240" w:after="60" w:line="276" w:lineRule="auto"/>
      <w:outlineLvl w:val="3"/>
    </w:pPr>
    <w:rPr>
      <w:rFonts w:eastAsia="Calibri"/>
      <w:b/>
      <w:bCs/>
      <w:sz w:val="28"/>
      <w:szCs w:val="28"/>
      <w:lang w:eastAsia="en-US"/>
    </w:rPr>
  </w:style>
  <w:style w:type="paragraph" w:styleId="5">
    <w:name w:val="heading 5"/>
    <w:basedOn w:val="a0"/>
    <w:next w:val="a0"/>
    <w:link w:val="50"/>
    <w:uiPriority w:val="99"/>
    <w:qFormat/>
    <w:rsid w:val="004F5DC0"/>
    <w:pPr>
      <w:spacing w:before="240" w:after="60"/>
      <w:outlineLvl w:val="4"/>
    </w:pPr>
    <w:rPr>
      <w:b/>
      <w:bCs/>
      <w:i/>
      <w:iCs/>
      <w:sz w:val="26"/>
      <w:szCs w:val="26"/>
    </w:rPr>
  </w:style>
  <w:style w:type="paragraph" w:styleId="6">
    <w:name w:val="heading 6"/>
    <w:basedOn w:val="a0"/>
    <w:next w:val="a0"/>
    <w:link w:val="60"/>
    <w:uiPriority w:val="99"/>
    <w:qFormat/>
    <w:rsid w:val="004F5DC0"/>
    <w:pPr>
      <w:spacing w:before="240" w:after="60"/>
      <w:outlineLvl w:val="5"/>
    </w:pPr>
    <w:rPr>
      <w:b/>
      <w:bCs/>
      <w:sz w:val="22"/>
      <w:szCs w:val="22"/>
    </w:rPr>
  </w:style>
  <w:style w:type="paragraph" w:styleId="7">
    <w:name w:val="heading 7"/>
    <w:basedOn w:val="a0"/>
    <w:next w:val="a0"/>
    <w:link w:val="70"/>
    <w:uiPriority w:val="99"/>
    <w:qFormat/>
    <w:rsid w:val="00500C6E"/>
    <w:pPr>
      <w:spacing w:before="240" w:after="60"/>
      <w:outlineLvl w:val="6"/>
    </w:pPr>
    <w:rPr>
      <w:rFonts w:eastAsia="Calibri"/>
      <w:szCs w:val="20"/>
    </w:rPr>
  </w:style>
  <w:style w:type="paragraph" w:styleId="8">
    <w:name w:val="heading 8"/>
    <w:basedOn w:val="a0"/>
    <w:next w:val="a0"/>
    <w:link w:val="80"/>
    <w:uiPriority w:val="99"/>
    <w:qFormat/>
    <w:rsid w:val="00500C6E"/>
    <w:pPr>
      <w:spacing w:before="240" w:after="60"/>
      <w:outlineLvl w:val="7"/>
    </w:pPr>
    <w:rPr>
      <w:i/>
      <w:iCs/>
    </w:rPr>
  </w:style>
  <w:style w:type="paragraph" w:styleId="9">
    <w:name w:val="heading 9"/>
    <w:basedOn w:val="a0"/>
    <w:next w:val="a0"/>
    <w:link w:val="90"/>
    <w:uiPriority w:val="99"/>
    <w:qFormat/>
    <w:rsid w:val="00027B15"/>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1,????????? 1 Знак"/>
    <w:link w:val="1"/>
    <w:uiPriority w:val="99"/>
    <w:locked/>
    <w:rsid w:val="0018337F"/>
    <w:rPr>
      <w:rFonts w:ascii="Cambria" w:hAnsi="Cambria" w:cs="Times New Roman"/>
      <w:b/>
      <w:color w:val="365F91"/>
      <w:sz w:val="28"/>
    </w:rPr>
  </w:style>
  <w:style w:type="character" w:customStyle="1" w:styleId="Heading2Char">
    <w:name w:val="Heading 2 Char"/>
    <w:aliases w:val="Знак3 Char"/>
    <w:uiPriority w:val="99"/>
    <w:semiHidden/>
    <w:locked/>
    <w:rsid w:val="0029734C"/>
    <w:rPr>
      <w:rFonts w:ascii="Cambria" w:hAnsi="Cambria" w:cs="Times New Roman"/>
      <w:b/>
      <w:bCs/>
      <w:i/>
      <w:iCs/>
      <w:sz w:val="28"/>
      <w:szCs w:val="28"/>
    </w:rPr>
  </w:style>
  <w:style w:type="character" w:customStyle="1" w:styleId="31">
    <w:name w:val="Заголовок 3 Знак1"/>
    <w:aliases w:val="Знак2 Знак Знак"/>
    <w:link w:val="3"/>
    <w:uiPriority w:val="99"/>
    <w:locked/>
    <w:rsid w:val="00500C6E"/>
    <w:rPr>
      <w:rFonts w:ascii="Arial" w:hAnsi="Arial" w:cs="Times New Roman"/>
      <w:b/>
      <w:sz w:val="26"/>
    </w:rPr>
  </w:style>
  <w:style w:type="character" w:customStyle="1" w:styleId="42">
    <w:name w:val="Заголовок 4 Знак2"/>
    <w:aliases w:val="Знак1 Знак2,Заголовок 4 Знак1 Знак1,Знак1 Знак Знак"/>
    <w:link w:val="4"/>
    <w:uiPriority w:val="99"/>
    <w:locked/>
    <w:rsid w:val="00500C6E"/>
    <w:rPr>
      <w:rFonts w:ascii="Times New Roman" w:hAnsi="Times New Roman" w:cs="Times New Roman"/>
      <w:b/>
      <w:sz w:val="28"/>
      <w:lang w:eastAsia="en-US"/>
    </w:rPr>
  </w:style>
  <w:style w:type="character" w:customStyle="1" w:styleId="50">
    <w:name w:val="Заголовок 5 Знак"/>
    <w:link w:val="5"/>
    <w:uiPriority w:val="99"/>
    <w:locked/>
    <w:rsid w:val="00500C6E"/>
    <w:rPr>
      <w:rFonts w:ascii="Times New Roman" w:hAnsi="Times New Roman" w:cs="Times New Roman"/>
      <w:b/>
      <w:i/>
      <w:sz w:val="26"/>
    </w:rPr>
  </w:style>
  <w:style w:type="character" w:customStyle="1" w:styleId="60">
    <w:name w:val="Заголовок 6 Знак"/>
    <w:link w:val="6"/>
    <w:uiPriority w:val="99"/>
    <w:locked/>
    <w:rsid w:val="00500C6E"/>
    <w:rPr>
      <w:rFonts w:ascii="Times New Roman" w:hAnsi="Times New Roman" w:cs="Times New Roman"/>
      <w:b/>
      <w:sz w:val="22"/>
    </w:rPr>
  </w:style>
  <w:style w:type="character" w:customStyle="1" w:styleId="Heading7Char">
    <w:name w:val="Heading 7 Char"/>
    <w:uiPriority w:val="99"/>
    <w:locked/>
    <w:rsid w:val="00500C6E"/>
    <w:rPr>
      <w:rFonts w:cs="Times New Roman"/>
      <w:i/>
      <w:sz w:val="28"/>
      <w:lang w:val="ru-RU" w:eastAsia="ru-RU"/>
    </w:rPr>
  </w:style>
  <w:style w:type="character" w:customStyle="1" w:styleId="80">
    <w:name w:val="Заголовок 8 Знак"/>
    <w:link w:val="8"/>
    <w:uiPriority w:val="99"/>
    <w:locked/>
    <w:rsid w:val="00500C6E"/>
    <w:rPr>
      <w:rFonts w:ascii="Times New Roman" w:hAnsi="Times New Roman" w:cs="Times New Roman"/>
      <w:i/>
      <w:sz w:val="24"/>
    </w:rPr>
  </w:style>
  <w:style w:type="character" w:customStyle="1" w:styleId="90">
    <w:name w:val="Заголовок 9 Знак"/>
    <w:link w:val="9"/>
    <w:uiPriority w:val="99"/>
    <w:locked/>
    <w:rsid w:val="00500C6E"/>
    <w:rPr>
      <w:rFonts w:ascii="Arial" w:hAnsi="Arial" w:cs="Times New Roman"/>
      <w:sz w:val="22"/>
    </w:rPr>
  </w:style>
  <w:style w:type="paragraph" w:customStyle="1" w:styleId="11">
    <w:name w:val="Знак1 Знак Знак Знак"/>
    <w:basedOn w:val="a0"/>
    <w:uiPriority w:val="99"/>
    <w:rsid w:val="0088123D"/>
    <w:rPr>
      <w:rFonts w:ascii="Verdana" w:hAnsi="Verdana" w:cs="Verdana"/>
      <w:sz w:val="20"/>
      <w:szCs w:val="20"/>
      <w:lang w:val="en-US" w:eastAsia="en-US"/>
    </w:rPr>
  </w:style>
  <w:style w:type="paragraph" w:styleId="a4">
    <w:name w:val="Balloon Text"/>
    <w:basedOn w:val="a0"/>
    <w:link w:val="a5"/>
    <w:uiPriority w:val="99"/>
    <w:rsid w:val="000203F2"/>
  </w:style>
  <w:style w:type="character" w:customStyle="1" w:styleId="a5">
    <w:name w:val="Текст выноски Знак"/>
    <w:link w:val="a4"/>
    <w:uiPriority w:val="99"/>
    <w:locked/>
    <w:rsid w:val="00FB6DF8"/>
    <w:rPr>
      <w:rFonts w:ascii="Times New Roman" w:hAnsi="Times New Roman" w:cs="Times New Roman"/>
      <w:sz w:val="24"/>
    </w:rPr>
  </w:style>
  <w:style w:type="paragraph" w:styleId="a6">
    <w:name w:val="Body Text"/>
    <w:aliases w:val="bt"/>
    <w:basedOn w:val="a0"/>
    <w:link w:val="a7"/>
    <w:uiPriority w:val="99"/>
    <w:rsid w:val="000203F2"/>
    <w:rPr>
      <w:rFonts w:eastAsia="Calibri"/>
      <w:szCs w:val="20"/>
    </w:rPr>
  </w:style>
  <w:style w:type="character" w:customStyle="1" w:styleId="BodyTextChar">
    <w:name w:val="Body Text Char"/>
    <w:aliases w:val="bt Char"/>
    <w:uiPriority w:val="99"/>
    <w:semiHidden/>
    <w:locked/>
    <w:rsid w:val="00500C6E"/>
    <w:rPr>
      <w:rFonts w:ascii="Calibri" w:hAnsi="Calibri" w:cs="Times New Roman"/>
      <w:sz w:val="22"/>
      <w:lang w:val="ru-RU" w:eastAsia="en-US"/>
    </w:rPr>
  </w:style>
  <w:style w:type="character" w:customStyle="1" w:styleId="a7">
    <w:name w:val="Основной текст Знак"/>
    <w:aliases w:val="bt Знак"/>
    <w:link w:val="a6"/>
    <w:uiPriority w:val="99"/>
    <w:locked/>
    <w:rsid w:val="000203F2"/>
    <w:rPr>
      <w:rFonts w:ascii="Times New Roman" w:hAnsi="Times New Roman"/>
      <w:sz w:val="24"/>
    </w:rPr>
  </w:style>
  <w:style w:type="paragraph" w:styleId="20">
    <w:name w:val="Body Text Indent 2"/>
    <w:basedOn w:val="a0"/>
    <w:link w:val="22"/>
    <w:uiPriority w:val="99"/>
    <w:rsid w:val="000203F2"/>
    <w:pPr>
      <w:spacing w:line="480" w:lineRule="auto"/>
      <w:ind w:left="283"/>
    </w:pPr>
    <w:rPr>
      <w:rFonts w:ascii="Calibri" w:eastAsia="Calibri" w:hAnsi="Calibri"/>
    </w:rPr>
  </w:style>
  <w:style w:type="character" w:customStyle="1" w:styleId="22">
    <w:name w:val="Основной текст с отступом 2 Знак"/>
    <w:link w:val="20"/>
    <w:uiPriority w:val="99"/>
    <w:locked/>
    <w:rsid w:val="002D1ABA"/>
    <w:rPr>
      <w:rFonts w:cs="Times New Roman"/>
      <w:sz w:val="24"/>
      <w:lang w:val="ru-RU" w:eastAsia="ru-RU"/>
    </w:rPr>
  </w:style>
  <w:style w:type="character" w:customStyle="1" w:styleId="12">
    <w:name w:val="Знак Знак1"/>
    <w:uiPriority w:val="99"/>
    <w:rsid w:val="00FB6DF8"/>
    <w:rPr>
      <w:b/>
      <w:sz w:val="24"/>
      <w:lang w:val="ru-RU" w:eastAsia="ru-RU"/>
    </w:rPr>
  </w:style>
  <w:style w:type="paragraph" w:styleId="a8">
    <w:name w:val="Body Text Indent"/>
    <w:aliases w:val="Основной текст 1,Нумерованный список !!,Надин стиль"/>
    <w:basedOn w:val="a0"/>
    <w:link w:val="13"/>
    <w:uiPriority w:val="99"/>
    <w:rsid w:val="000203F2"/>
    <w:pPr>
      <w:ind w:left="283"/>
    </w:pPr>
  </w:style>
  <w:style w:type="character" w:customStyle="1" w:styleId="13">
    <w:name w:val="Основной текст с отступом Знак1"/>
    <w:aliases w:val="Основной текст 1 Знак1,Нумерованный список !! Знак1,Надин стиль Знак1"/>
    <w:link w:val="a8"/>
    <w:uiPriority w:val="99"/>
    <w:locked/>
    <w:rsid w:val="00500C6E"/>
    <w:rPr>
      <w:rFonts w:ascii="Times New Roman" w:hAnsi="Times New Roman" w:cs="Times New Roman"/>
      <w:sz w:val="24"/>
    </w:rPr>
  </w:style>
  <w:style w:type="character" w:customStyle="1" w:styleId="30">
    <w:name w:val="Основной текст с отступом 3 Знак"/>
    <w:link w:val="32"/>
    <w:uiPriority w:val="99"/>
    <w:locked/>
    <w:rsid w:val="00FB6DF8"/>
    <w:rPr>
      <w:sz w:val="16"/>
      <w:lang w:val="ru-RU" w:eastAsia="ru-RU"/>
    </w:rPr>
  </w:style>
  <w:style w:type="paragraph" w:styleId="a9">
    <w:name w:val="Revision"/>
    <w:hidden/>
    <w:uiPriority w:val="99"/>
    <w:semiHidden/>
    <w:rsid w:val="004A063D"/>
    <w:pPr>
      <w:spacing w:before="20" w:after="120" w:line="360" w:lineRule="exact"/>
      <w:ind w:firstLine="709"/>
    </w:pPr>
    <w:rPr>
      <w:rFonts w:ascii="Times New Roman" w:eastAsia="Times New Roman" w:hAnsi="Times New Roman"/>
      <w:sz w:val="24"/>
      <w:szCs w:val="24"/>
    </w:rPr>
  </w:style>
  <w:style w:type="paragraph" w:styleId="23">
    <w:name w:val="Body Text 2"/>
    <w:basedOn w:val="a0"/>
    <w:link w:val="24"/>
    <w:uiPriority w:val="99"/>
    <w:rsid w:val="00027B15"/>
    <w:pPr>
      <w:spacing w:line="480" w:lineRule="auto"/>
    </w:pPr>
  </w:style>
  <w:style w:type="character" w:customStyle="1" w:styleId="24">
    <w:name w:val="Основной текст 2 Знак"/>
    <w:link w:val="23"/>
    <w:uiPriority w:val="99"/>
    <w:locked/>
    <w:rsid w:val="00500C6E"/>
    <w:rPr>
      <w:rFonts w:ascii="Times New Roman" w:hAnsi="Times New Roman" w:cs="Times New Roman"/>
      <w:sz w:val="24"/>
    </w:rPr>
  </w:style>
  <w:style w:type="paragraph" w:customStyle="1" w:styleId="text">
    <w:name w:val="text"/>
    <w:basedOn w:val="a0"/>
    <w:uiPriority w:val="99"/>
    <w:rsid w:val="00027B15"/>
    <w:rPr>
      <w:color w:val="000000"/>
      <w:sz w:val="19"/>
      <w:szCs w:val="19"/>
    </w:rPr>
  </w:style>
  <w:style w:type="paragraph" w:styleId="aa">
    <w:name w:val="footer"/>
    <w:basedOn w:val="a0"/>
    <w:link w:val="ab"/>
    <w:uiPriority w:val="99"/>
    <w:rsid w:val="00CC0381"/>
    <w:pPr>
      <w:tabs>
        <w:tab w:val="center" w:pos="4677"/>
        <w:tab w:val="right" w:pos="9355"/>
      </w:tabs>
    </w:pPr>
    <w:rPr>
      <w:rFonts w:eastAsia="Calibri"/>
      <w:szCs w:val="20"/>
    </w:rPr>
  </w:style>
  <w:style w:type="character" w:customStyle="1" w:styleId="FooterChar">
    <w:name w:val="Footer Char"/>
    <w:uiPriority w:val="99"/>
    <w:locked/>
    <w:rsid w:val="00500C6E"/>
    <w:rPr>
      <w:rFonts w:cs="Times New Roman"/>
      <w:sz w:val="22"/>
      <w:lang w:eastAsia="en-US"/>
    </w:rPr>
  </w:style>
  <w:style w:type="character" w:styleId="ac">
    <w:name w:val="page number"/>
    <w:uiPriority w:val="99"/>
    <w:rsid w:val="00CC0381"/>
    <w:rPr>
      <w:rFonts w:cs="Times New Roman"/>
    </w:rPr>
  </w:style>
  <w:style w:type="paragraph" w:customStyle="1" w:styleId="210">
    <w:name w:val="Основной текст 21"/>
    <w:basedOn w:val="a0"/>
    <w:uiPriority w:val="99"/>
    <w:rsid w:val="00D92ABE"/>
    <w:pPr>
      <w:jc w:val="both"/>
    </w:pPr>
    <w:rPr>
      <w:sz w:val="28"/>
      <w:szCs w:val="20"/>
    </w:rPr>
  </w:style>
  <w:style w:type="character" w:styleId="ad">
    <w:name w:val="annotation reference"/>
    <w:uiPriority w:val="99"/>
    <w:semiHidden/>
    <w:rsid w:val="00DB076F"/>
    <w:rPr>
      <w:rFonts w:cs="Times New Roman"/>
      <w:sz w:val="16"/>
    </w:rPr>
  </w:style>
  <w:style w:type="paragraph" w:styleId="ae">
    <w:name w:val="annotation text"/>
    <w:basedOn w:val="a0"/>
    <w:link w:val="af"/>
    <w:uiPriority w:val="99"/>
    <w:rsid w:val="00DB076F"/>
    <w:rPr>
      <w:rFonts w:eastAsia="Calibri"/>
      <w:sz w:val="20"/>
      <w:szCs w:val="20"/>
    </w:rPr>
  </w:style>
  <w:style w:type="character" w:customStyle="1" w:styleId="CommentTextChar">
    <w:name w:val="Comment Text Char"/>
    <w:uiPriority w:val="99"/>
    <w:semiHidden/>
    <w:locked/>
    <w:rsid w:val="00500C6E"/>
    <w:rPr>
      <w:rFonts w:ascii="Calibri" w:hAnsi="Calibri" w:cs="Times New Roman"/>
      <w:sz w:val="20"/>
    </w:rPr>
  </w:style>
  <w:style w:type="paragraph" w:styleId="af0">
    <w:name w:val="annotation subject"/>
    <w:basedOn w:val="ae"/>
    <w:next w:val="ae"/>
    <w:link w:val="af1"/>
    <w:uiPriority w:val="99"/>
    <w:semiHidden/>
    <w:rsid w:val="00DB076F"/>
    <w:rPr>
      <w:b/>
      <w:bCs/>
    </w:rPr>
  </w:style>
  <w:style w:type="character" w:customStyle="1" w:styleId="af1">
    <w:name w:val="Тема примечания Знак"/>
    <w:link w:val="af0"/>
    <w:uiPriority w:val="99"/>
    <w:semiHidden/>
    <w:locked/>
    <w:rsid w:val="00500C6E"/>
    <w:rPr>
      <w:rFonts w:ascii="Times New Roman" w:hAnsi="Times New Roman" w:cs="Times New Roman"/>
      <w:b/>
      <w:sz w:val="20"/>
    </w:rPr>
  </w:style>
  <w:style w:type="paragraph" w:styleId="a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0"/>
    <w:link w:val="14"/>
    <w:uiPriority w:val="99"/>
    <w:rsid w:val="00D95C4A"/>
    <w:rPr>
      <w:rFonts w:eastAsia="Calibri"/>
      <w:sz w:val="20"/>
      <w:szCs w:val="20"/>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fn Char"/>
    <w:uiPriority w:val="99"/>
    <w:locked/>
    <w:rsid w:val="00500C6E"/>
    <w:rPr>
      <w:rFonts w:ascii="Times New Roman" w:hAnsi="Times New Roman" w:cs="Times New Roman"/>
      <w:sz w:val="20"/>
      <w:lang w:eastAsia="ru-RU"/>
    </w:rPr>
  </w:style>
  <w:style w:type="character" w:styleId="af3">
    <w:name w:val="footnote reference"/>
    <w:aliases w:val="Знак сноски-FN,Ciae niinee-FN,SUPERS,Знак сноски 1,Referencia nota al pie,fr,Used by Word for Help footnote symbols,Ciae niinee 1,Ссылка на сноску 45,Appel note de bas de page,Стиль Знак сноски,Appel note de bas de page + 1..."/>
    <w:uiPriority w:val="99"/>
    <w:rsid w:val="00D95C4A"/>
    <w:rPr>
      <w:rFonts w:cs="Times New Roman"/>
      <w:vertAlign w:val="superscript"/>
    </w:rPr>
  </w:style>
  <w:style w:type="paragraph" w:styleId="af4">
    <w:name w:val="header"/>
    <w:basedOn w:val="a0"/>
    <w:link w:val="af5"/>
    <w:uiPriority w:val="99"/>
    <w:rsid w:val="00C62BB1"/>
    <w:pPr>
      <w:tabs>
        <w:tab w:val="center" w:pos="4677"/>
        <w:tab w:val="right" w:pos="9355"/>
      </w:tabs>
    </w:pPr>
    <w:rPr>
      <w:rFonts w:eastAsia="Calibri"/>
      <w:szCs w:val="20"/>
    </w:rPr>
  </w:style>
  <w:style w:type="character" w:customStyle="1" w:styleId="HeaderChar">
    <w:name w:val="Header Char"/>
    <w:uiPriority w:val="99"/>
    <w:locked/>
    <w:rsid w:val="00500C6E"/>
    <w:rPr>
      <w:rFonts w:ascii="Times New Roman CYR" w:hAnsi="Times New Roman CYR" w:cs="Times New Roman"/>
      <w:sz w:val="28"/>
    </w:rPr>
  </w:style>
  <w:style w:type="table" w:styleId="af6">
    <w:name w:val="Table Grid"/>
    <w:basedOn w:val="a2"/>
    <w:uiPriority w:val="59"/>
    <w:rsid w:val="00D031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0"/>
    <w:link w:val="af8"/>
    <w:uiPriority w:val="99"/>
    <w:qFormat/>
    <w:rsid w:val="0004401D"/>
    <w:pPr>
      <w:spacing w:line="480" w:lineRule="auto"/>
      <w:ind w:firstLine="720"/>
      <w:jc w:val="center"/>
    </w:pPr>
    <w:rPr>
      <w:rFonts w:ascii="Calibri" w:eastAsia="Calibri" w:hAnsi="Calibri"/>
      <w:b/>
      <w:szCs w:val="20"/>
    </w:rPr>
  </w:style>
  <w:style w:type="character" w:customStyle="1" w:styleId="TitleChar">
    <w:name w:val="Title Char"/>
    <w:uiPriority w:val="99"/>
    <w:locked/>
    <w:rsid w:val="00500C6E"/>
    <w:rPr>
      <w:rFonts w:ascii="Times New Roman" w:hAnsi="Times New Roman" w:cs="Times New Roman"/>
      <w:b/>
      <w:color w:val="FF0000"/>
      <w:sz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CF3FF1"/>
    <w:rPr>
      <w:rFonts w:ascii="Verdana" w:hAnsi="Verdana" w:cs="Verdana"/>
      <w:sz w:val="20"/>
      <w:szCs w:val="20"/>
      <w:lang w:val="en-US" w:eastAsia="en-US"/>
    </w:rPr>
  </w:style>
  <w:style w:type="paragraph" w:customStyle="1" w:styleId="25">
    <w:name w:val="сновной текст с отступом 2"/>
    <w:basedOn w:val="a0"/>
    <w:uiPriority w:val="99"/>
    <w:rsid w:val="001C31CF"/>
    <w:pPr>
      <w:widowControl w:val="0"/>
      <w:ind w:firstLine="720"/>
      <w:jc w:val="both"/>
    </w:pPr>
    <w:rPr>
      <w:sz w:val="26"/>
      <w:szCs w:val="20"/>
    </w:rPr>
  </w:style>
  <w:style w:type="paragraph" w:styleId="32">
    <w:name w:val="Body Text Indent 3"/>
    <w:basedOn w:val="a0"/>
    <w:link w:val="30"/>
    <w:uiPriority w:val="99"/>
    <w:rsid w:val="001C31CF"/>
    <w:pPr>
      <w:ind w:left="283"/>
    </w:pPr>
    <w:rPr>
      <w:rFonts w:ascii="Calibri" w:eastAsia="Calibri" w:hAnsi="Calibri"/>
      <w:sz w:val="16"/>
      <w:szCs w:val="20"/>
    </w:rPr>
  </w:style>
  <w:style w:type="character" w:customStyle="1" w:styleId="BodyTextIndent3Char1">
    <w:name w:val="Body Text Indent 3 Char1"/>
    <w:uiPriority w:val="99"/>
    <w:semiHidden/>
    <w:locked/>
    <w:rsid w:val="0029734C"/>
    <w:rPr>
      <w:rFonts w:ascii="Times New Roman" w:hAnsi="Times New Roman" w:cs="Times New Roman"/>
      <w:sz w:val="16"/>
      <w:szCs w:val="16"/>
    </w:rPr>
  </w:style>
  <w:style w:type="paragraph" w:styleId="33">
    <w:name w:val="Body Text 3"/>
    <w:basedOn w:val="a0"/>
    <w:link w:val="34"/>
    <w:uiPriority w:val="99"/>
    <w:rsid w:val="00D00568"/>
    <w:rPr>
      <w:sz w:val="16"/>
      <w:szCs w:val="16"/>
    </w:rPr>
  </w:style>
  <w:style w:type="character" w:customStyle="1" w:styleId="34">
    <w:name w:val="Основной текст 3 Знак"/>
    <w:link w:val="33"/>
    <w:uiPriority w:val="99"/>
    <w:locked/>
    <w:rsid w:val="006B64A2"/>
    <w:rPr>
      <w:rFonts w:ascii="Times New Roman" w:hAnsi="Times New Roman" w:cs="Times New Roman"/>
      <w:sz w:val="16"/>
    </w:rPr>
  </w:style>
  <w:style w:type="paragraph" w:styleId="af9">
    <w:name w:val="Plain Text"/>
    <w:basedOn w:val="a0"/>
    <w:link w:val="afa"/>
    <w:uiPriority w:val="99"/>
    <w:rsid w:val="00045D01"/>
    <w:rPr>
      <w:rFonts w:ascii="Courier New" w:eastAsia="Calibri" w:hAnsi="Courier New"/>
      <w:sz w:val="20"/>
      <w:szCs w:val="20"/>
    </w:rPr>
  </w:style>
  <w:style w:type="character" w:customStyle="1" w:styleId="PlainTextChar">
    <w:name w:val="Plain Text Char"/>
    <w:uiPriority w:val="99"/>
    <w:locked/>
    <w:rsid w:val="00500C6E"/>
    <w:rPr>
      <w:rFonts w:ascii="Courier New" w:hAnsi="Courier New" w:cs="Times New Roman"/>
      <w:sz w:val="20"/>
      <w:lang w:eastAsia="ru-RU"/>
    </w:rPr>
  </w:style>
  <w:style w:type="character" w:customStyle="1" w:styleId="35">
    <w:name w:val="Знак Знак3"/>
    <w:uiPriority w:val="99"/>
    <w:locked/>
    <w:rsid w:val="00FB6DF8"/>
    <w:rPr>
      <w:rFonts w:ascii="Tahoma" w:hAnsi="Tahoma"/>
      <w:sz w:val="16"/>
    </w:rPr>
  </w:style>
  <w:style w:type="character" w:customStyle="1" w:styleId="FontStyle117">
    <w:name w:val="Font Style117"/>
    <w:uiPriority w:val="99"/>
    <w:rsid w:val="00C808E2"/>
    <w:rPr>
      <w:rFonts w:ascii="Times New Roman" w:hAnsi="Times New Roman"/>
      <w:sz w:val="26"/>
    </w:rPr>
  </w:style>
  <w:style w:type="character" w:customStyle="1" w:styleId="af8">
    <w:name w:val="Название Знак"/>
    <w:link w:val="af7"/>
    <w:uiPriority w:val="99"/>
    <w:locked/>
    <w:rsid w:val="00401ACB"/>
    <w:rPr>
      <w:b/>
      <w:sz w:val="24"/>
      <w:lang w:val="ru-RU" w:eastAsia="ru-RU"/>
    </w:rPr>
  </w:style>
  <w:style w:type="paragraph" w:customStyle="1" w:styleId="15">
    <w:name w:val="Знак Знак Знак1"/>
    <w:aliases w:val="Текст сноски Знак Знак Char Знак1,Texto de nota al pie Char Знак1,Texto de nota al pie Знак1,Текст сноски Знак Знак Char Char Знак1,Schriftart: 9 pt Знак1,Schriftart: 10 pt Знак1"/>
    <w:basedOn w:val="a0"/>
    <w:uiPriority w:val="99"/>
    <w:rsid w:val="00F32B60"/>
    <w:pPr>
      <w:spacing w:after="160" w:line="240" w:lineRule="exact"/>
    </w:pPr>
    <w:rPr>
      <w:rFonts w:ascii="Verdana" w:hAnsi="Verdana" w:cs="Verdana"/>
      <w:sz w:val="20"/>
      <w:szCs w:val="20"/>
      <w:lang w:val="en-US" w:eastAsia="en-US"/>
    </w:rPr>
  </w:style>
  <w:style w:type="character" w:customStyle="1" w:styleId="16">
    <w:name w:val="Основной текст 1 Знак Знак"/>
    <w:uiPriority w:val="99"/>
    <w:rsid w:val="00F65BDB"/>
    <w:rPr>
      <w:rFonts w:ascii="Times New Roman" w:hAnsi="Times New Roman"/>
      <w:sz w:val="24"/>
    </w:rPr>
  </w:style>
  <w:style w:type="paragraph" w:customStyle="1" w:styleId="ConsPlusNormal">
    <w:name w:val="ConsPlusNormal"/>
    <w:uiPriority w:val="99"/>
    <w:rsid w:val="00B5377D"/>
    <w:pPr>
      <w:widowControl w:val="0"/>
      <w:autoSpaceDE w:val="0"/>
      <w:autoSpaceDN w:val="0"/>
      <w:adjustRightInd w:val="0"/>
      <w:spacing w:before="20" w:after="120" w:line="360" w:lineRule="exact"/>
      <w:ind w:firstLine="720"/>
    </w:pPr>
    <w:rPr>
      <w:rFonts w:ascii="Arial" w:hAnsi="Arial" w:cs="Arial"/>
    </w:rPr>
  </w:style>
  <w:style w:type="character" w:styleId="afb">
    <w:name w:val="Hyperlink"/>
    <w:uiPriority w:val="99"/>
    <w:rsid w:val="004F5DC0"/>
    <w:rPr>
      <w:rFonts w:cs="Times New Roman"/>
      <w:color w:val="0000FF"/>
      <w:u w:val="single"/>
    </w:rPr>
  </w:style>
  <w:style w:type="character" w:customStyle="1" w:styleId="110">
    <w:name w:val="Основной текст 1 Знак Знак1"/>
    <w:uiPriority w:val="99"/>
    <w:rsid w:val="00BB16B5"/>
    <w:rPr>
      <w:rFonts w:ascii="Times New Roman" w:hAnsi="Times New Roman"/>
      <w:sz w:val="24"/>
    </w:rPr>
  </w:style>
  <w:style w:type="paragraph" w:customStyle="1" w:styleId="default">
    <w:name w:val="default"/>
    <w:basedOn w:val="a0"/>
    <w:uiPriority w:val="99"/>
    <w:rsid w:val="002D1ABA"/>
    <w:pPr>
      <w:spacing w:before="100" w:beforeAutospacing="1" w:after="100" w:afterAutospacing="1"/>
    </w:pPr>
  </w:style>
  <w:style w:type="paragraph" w:customStyle="1" w:styleId="afc">
    <w:name w:val="Знак Знак Знак"/>
    <w:aliases w:val="Знак Знак Знак1 Знак,Текст сноски Знак Знак Char Знак1 Знак,Texto de nota al pie Char Знак1 Знак,Texto de nota al pie Знак1 Знак,Текст сноски Знак Знак Char Char Знак1 Знак,Schriftart: 9 pt Знак1 Знак"/>
    <w:basedOn w:val="a0"/>
    <w:uiPriority w:val="99"/>
    <w:rsid w:val="001325FD"/>
    <w:pPr>
      <w:spacing w:after="160" w:line="240" w:lineRule="exact"/>
    </w:pPr>
    <w:rPr>
      <w:rFonts w:ascii="Verdana" w:hAnsi="Verdana"/>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uiPriority w:val="99"/>
    <w:rsid w:val="00593A41"/>
    <w:pPr>
      <w:widowControl w:val="0"/>
      <w:adjustRightInd w:val="0"/>
      <w:spacing w:after="160" w:line="240" w:lineRule="exact"/>
      <w:jc w:val="right"/>
    </w:pPr>
    <w:rPr>
      <w:sz w:val="20"/>
      <w:szCs w:val="20"/>
      <w:lang w:val="en-GB" w:eastAsia="en-US"/>
    </w:rPr>
  </w:style>
  <w:style w:type="paragraph" w:styleId="afd">
    <w:name w:val="List Paragraph"/>
    <w:basedOn w:val="a0"/>
    <w:uiPriority w:val="99"/>
    <w:qFormat/>
    <w:rsid w:val="0015484F"/>
    <w:pPr>
      <w:ind w:left="720"/>
      <w:contextualSpacing/>
    </w:pPr>
  </w:style>
  <w:style w:type="paragraph" w:styleId="afe">
    <w:name w:val="endnote text"/>
    <w:basedOn w:val="a0"/>
    <w:link w:val="aff"/>
    <w:uiPriority w:val="99"/>
    <w:semiHidden/>
    <w:rsid w:val="00054B08"/>
    <w:rPr>
      <w:sz w:val="20"/>
      <w:szCs w:val="20"/>
    </w:rPr>
  </w:style>
  <w:style w:type="character" w:customStyle="1" w:styleId="aff">
    <w:name w:val="Текст концевой сноски Знак"/>
    <w:link w:val="afe"/>
    <w:uiPriority w:val="99"/>
    <w:semiHidden/>
    <w:locked/>
    <w:rsid w:val="00054B08"/>
    <w:rPr>
      <w:rFonts w:ascii="Times New Roman" w:hAnsi="Times New Roman" w:cs="Times New Roman"/>
    </w:rPr>
  </w:style>
  <w:style w:type="character" w:styleId="aff0">
    <w:name w:val="endnote reference"/>
    <w:uiPriority w:val="99"/>
    <w:rsid w:val="00054B08"/>
    <w:rPr>
      <w:rFonts w:cs="Times New Roman"/>
      <w:vertAlign w:val="superscript"/>
    </w:rPr>
  </w:style>
  <w:style w:type="character" w:customStyle="1" w:styleId="ab">
    <w:name w:val="Нижний колонтитул Знак"/>
    <w:link w:val="aa"/>
    <w:uiPriority w:val="99"/>
    <w:locked/>
    <w:rsid w:val="00054B08"/>
    <w:rPr>
      <w:rFonts w:ascii="Times New Roman" w:hAnsi="Times New Roman"/>
      <w:sz w:val="24"/>
    </w:rPr>
  </w:style>
  <w:style w:type="character" w:customStyle="1" w:styleId="26">
    <w:name w:val="Заголовок 2 Знак"/>
    <w:aliases w:val="Знак3 Знак1"/>
    <w:uiPriority w:val="99"/>
    <w:rsid w:val="00500C6E"/>
    <w:rPr>
      <w:rFonts w:ascii="Cambria" w:hAnsi="Cambria"/>
      <w:b/>
      <w:color w:val="4F81BD"/>
      <w:sz w:val="26"/>
    </w:rPr>
  </w:style>
  <w:style w:type="character" w:customStyle="1" w:styleId="40">
    <w:name w:val="Заголовок 4 Знак"/>
    <w:aliases w:val="Знак1 Знак3,Заголовок 4 Знак1 Знак2,Знак1 Знак Знак1"/>
    <w:uiPriority w:val="99"/>
    <w:rsid w:val="00500C6E"/>
    <w:rPr>
      <w:rFonts w:ascii="Cambria" w:hAnsi="Cambria"/>
      <w:b/>
      <w:i/>
      <w:color w:val="4F81BD"/>
      <w:sz w:val="24"/>
    </w:rPr>
  </w:style>
  <w:style w:type="character" w:customStyle="1" w:styleId="70">
    <w:name w:val="Заголовок 7 Знак"/>
    <w:link w:val="7"/>
    <w:uiPriority w:val="99"/>
    <w:locked/>
    <w:rsid w:val="00500C6E"/>
    <w:rPr>
      <w:rFonts w:ascii="Times New Roman" w:hAnsi="Times New Roman"/>
      <w:sz w:val="24"/>
    </w:rPr>
  </w:style>
  <w:style w:type="character" w:customStyle="1" w:styleId="aff1">
    <w:name w:val="Основной текст с отступом Знак"/>
    <w:aliases w:val="Основной текст 1 Знак,Нумерованный список !! Знак,Надин стиль Знак"/>
    <w:uiPriority w:val="99"/>
    <w:rsid w:val="00500C6E"/>
    <w:rPr>
      <w:rFonts w:ascii="Times New Roman" w:hAnsi="Times New Roman"/>
      <w:sz w:val="24"/>
      <w:lang w:eastAsia="ru-RU"/>
    </w:rPr>
  </w:style>
  <w:style w:type="character" w:customStyle="1" w:styleId="36">
    <w:name w:val="Заголовок 3 Знак"/>
    <w:aliases w:val="Знак2 Знак Знак1"/>
    <w:uiPriority w:val="99"/>
    <w:rsid w:val="00500C6E"/>
    <w:rPr>
      <w:rFonts w:ascii="Cambria" w:hAnsi="Cambria"/>
      <w:b/>
      <w:color w:val="4F81BD"/>
      <w:sz w:val="24"/>
      <w:lang w:eastAsia="ru-RU"/>
    </w:rPr>
  </w:style>
  <w:style w:type="character" w:customStyle="1" w:styleId="af5">
    <w:name w:val="Верхний колонтитул Знак"/>
    <w:link w:val="af4"/>
    <w:uiPriority w:val="99"/>
    <w:locked/>
    <w:rsid w:val="00500C6E"/>
    <w:rPr>
      <w:rFonts w:ascii="Times New Roman" w:hAnsi="Times New Roman"/>
      <w:sz w:val="24"/>
    </w:rPr>
  </w:style>
  <w:style w:type="character" w:customStyle="1" w:styleId="21">
    <w:name w:val="Заголовок 2 Знак1"/>
    <w:aliases w:val="Знак3 Знак"/>
    <w:link w:val="2"/>
    <w:uiPriority w:val="99"/>
    <w:locked/>
    <w:rsid w:val="00500C6E"/>
    <w:rPr>
      <w:rFonts w:ascii="Times New Roman" w:hAnsi="Times New Roman"/>
      <w:b/>
      <w:sz w:val="28"/>
    </w:rPr>
  </w:style>
  <w:style w:type="paragraph" w:customStyle="1" w:styleId="51">
    <w:name w:val="Знак5 Знак Знак Знак"/>
    <w:basedOn w:val="a0"/>
    <w:uiPriority w:val="99"/>
    <w:rsid w:val="00500C6E"/>
    <w:pPr>
      <w:spacing w:after="160" w:line="240" w:lineRule="exact"/>
    </w:pPr>
    <w:rPr>
      <w:rFonts w:ascii="Verdana" w:hAnsi="Verdana"/>
      <w:sz w:val="20"/>
      <w:szCs w:val="20"/>
      <w:lang w:val="en-US" w:eastAsia="en-US"/>
    </w:rPr>
  </w:style>
  <w:style w:type="paragraph" w:styleId="37">
    <w:name w:val="toc 3"/>
    <w:basedOn w:val="a0"/>
    <w:next w:val="a0"/>
    <w:autoRedefine/>
    <w:uiPriority w:val="99"/>
    <w:rsid w:val="00500C6E"/>
    <w:pPr>
      <w:tabs>
        <w:tab w:val="left" w:pos="720"/>
        <w:tab w:val="right" w:leader="dot" w:pos="10080"/>
      </w:tabs>
      <w:spacing w:line="300" w:lineRule="exact"/>
      <w:ind w:left="720" w:hanging="363"/>
    </w:pPr>
    <w:rPr>
      <w:rFonts w:eastAsia="Calibri"/>
      <w:sz w:val="26"/>
      <w:szCs w:val="26"/>
      <w:lang w:eastAsia="en-US"/>
    </w:rPr>
  </w:style>
  <w:style w:type="paragraph" w:styleId="aff2">
    <w:name w:val="Normal (Web)"/>
    <w:aliases w:val="Обычный (веб)1,Обычный (веб) Знак,Обычный (веб) Знак1,Обычный (веб) Знак Знак,Обычный (Web)1 Знак,Обычный (Web),Обычный (Web)1,Обычный (веб)11,Обычный (веб) Знак Знак Знак,Обычный (веб) Знак Знак Знак Знак Знак,Обычный (веб) Знак2 Знак"/>
    <w:basedOn w:val="a0"/>
    <w:link w:val="27"/>
    <w:uiPriority w:val="99"/>
    <w:rsid w:val="00500C6E"/>
    <w:pPr>
      <w:spacing w:before="100" w:beforeAutospacing="1" w:after="100" w:afterAutospacing="1"/>
    </w:pPr>
    <w:rPr>
      <w:rFonts w:ascii="Calibri" w:eastAsia="Calibri" w:hAnsi="Calibri"/>
      <w:szCs w:val="20"/>
    </w:rPr>
  </w:style>
  <w:style w:type="character" w:customStyle="1" w:styleId="17">
    <w:name w:val="Основной текст Знак1"/>
    <w:aliases w:val="bt Знак1"/>
    <w:uiPriority w:val="99"/>
    <w:rsid w:val="00500C6E"/>
    <w:rPr>
      <w:rFonts w:ascii="Times New Roman" w:hAnsi="Times New Roman"/>
      <w:sz w:val="20"/>
      <w:lang w:eastAsia="ru-RU"/>
    </w:rPr>
  </w:style>
  <w:style w:type="paragraph" w:customStyle="1" w:styleId="consplusnormal0">
    <w:name w:val="consplusnormal"/>
    <w:basedOn w:val="a0"/>
    <w:uiPriority w:val="99"/>
    <w:rsid w:val="00500C6E"/>
    <w:pPr>
      <w:spacing w:before="100" w:beforeAutospacing="1" w:after="100" w:afterAutospacing="1"/>
    </w:pPr>
    <w:rPr>
      <w:rFonts w:eastAsia="Calibri"/>
    </w:rPr>
  </w:style>
  <w:style w:type="character" w:customStyle="1" w:styleId="af">
    <w:name w:val="Текст примечания Знак"/>
    <w:link w:val="ae"/>
    <w:uiPriority w:val="99"/>
    <w:locked/>
    <w:rsid w:val="00500C6E"/>
    <w:rPr>
      <w:rFonts w:ascii="Times New Roman" w:hAnsi="Times New Roman"/>
    </w:rPr>
  </w:style>
  <w:style w:type="paragraph" w:customStyle="1" w:styleId="aff3">
    <w:name w:val="письмо"/>
    <w:basedOn w:val="a0"/>
    <w:uiPriority w:val="99"/>
    <w:rsid w:val="00500C6E"/>
    <w:pPr>
      <w:jc w:val="both"/>
    </w:pPr>
    <w:rPr>
      <w:sz w:val="28"/>
      <w:szCs w:val="20"/>
    </w:rPr>
  </w:style>
  <w:style w:type="paragraph" w:customStyle="1" w:styleId="ee1">
    <w:name w:val="загола'eeвок 1"/>
    <w:basedOn w:val="a0"/>
    <w:next w:val="a0"/>
    <w:uiPriority w:val="99"/>
    <w:rsid w:val="00500C6E"/>
    <w:pPr>
      <w:keepNext/>
      <w:widowControl w:val="0"/>
      <w:jc w:val="center"/>
    </w:pPr>
    <w:rPr>
      <w:szCs w:val="20"/>
    </w:rPr>
  </w:style>
  <w:style w:type="paragraph" w:customStyle="1" w:styleId="bt">
    <w:name w:val="Основной текст.bt.Основной текст Знак"/>
    <w:basedOn w:val="a0"/>
    <w:uiPriority w:val="99"/>
    <w:rsid w:val="00500C6E"/>
    <w:rPr>
      <w:szCs w:val="20"/>
    </w:rPr>
  </w:style>
  <w:style w:type="paragraph" w:customStyle="1" w:styleId="aff4">
    <w:name w:val="Основной"/>
    <w:basedOn w:val="a0"/>
    <w:uiPriority w:val="99"/>
    <w:rsid w:val="00500C6E"/>
    <w:pPr>
      <w:ind w:firstLine="720"/>
      <w:jc w:val="both"/>
    </w:pPr>
    <w:rPr>
      <w:sz w:val="28"/>
      <w:szCs w:val="20"/>
    </w:rPr>
  </w:style>
  <w:style w:type="paragraph" w:customStyle="1" w:styleId="13-15">
    <w:name w:val="Стиль13-15"/>
    <w:basedOn w:val="a0"/>
    <w:uiPriority w:val="99"/>
    <w:rsid w:val="00500C6E"/>
    <w:pPr>
      <w:spacing w:line="360" w:lineRule="auto"/>
      <w:jc w:val="both"/>
    </w:pPr>
    <w:rPr>
      <w:sz w:val="26"/>
      <w:szCs w:val="26"/>
    </w:rPr>
  </w:style>
  <w:style w:type="paragraph" w:customStyle="1" w:styleId="13-1">
    <w:name w:val="Стиль13-1"/>
    <w:basedOn w:val="a0"/>
    <w:uiPriority w:val="99"/>
    <w:rsid w:val="00500C6E"/>
    <w:pPr>
      <w:widowControl w:val="0"/>
      <w:autoSpaceDE w:val="0"/>
      <w:autoSpaceDN w:val="0"/>
      <w:adjustRightInd w:val="0"/>
      <w:jc w:val="both"/>
    </w:pPr>
    <w:rPr>
      <w:sz w:val="26"/>
      <w:szCs w:val="20"/>
    </w:rPr>
  </w:style>
  <w:style w:type="paragraph" w:customStyle="1" w:styleId="ConsNormal">
    <w:name w:val="ConsNormal"/>
    <w:uiPriority w:val="99"/>
    <w:rsid w:val="00500C6E"/>
    <w:pPr>
      <w:autoSpaceDE w:val="0"/>
      <w:autoSpaceDN w:val="0"/>
      <w:adjustRightInd w:val="0"/>
      <w:spacing w:before="20" w:after="120" w:line="360" w:lineRule="exact"/>
      <w:ind w:firstLine="720"/>
    </w:pPr>
    <w:rPr>
      <w:rFonts w:ascii="Arial" w:eastAsia="Times New Roman" w:hAnsi="Arial" w:cs="Arial"/>
    </w:rPr>
  </w:style>
  <w:style w:type="character" w:styleId="aff5">
    <w:name w:val="Strong"/>
    <w:uiPriority w:val="99"/>
    <w:qFormat/>
    <w:rsid w:val="00500C6E"/>
    <w:rPr>
      <w:rFonts w:cs="Times New Roman"/>
      <w:b/>
    </w:rPr>
  </w:style>
  <w:style w:type="paragraph" w:customStyle="1" w:styleId="1KGK9">
    <w:name w:val="1KG=K9"/>
    <w:uiPriority w:val="99"/>
    <w:rsid w:val="00500C6E"/>
    <w:pPr>
      <w:autoSpaceDE w:val="0"/>
      <w:autoSpaceDN w:val="0"/>
      <w:adjustRightInd w:val="0"/>
      <w:spacing w:before="20" w:after="120" w:line="360" w:lineRule="exact"/>
      <w:ind w:firstLine="709"/>
    </w:pPr>
    <w:rPr>
      <w:rFonts w:ascii="MS Sans Serif" w:eastAsia="Times New Roman" w:hAnsi="MS Sans Serif"/>
      <w:szCs w:val="24"/>
    </w:rPr>
  </w:style>
  <w:style w:type="character" w:customStyle="1" w:styleId="apple-style-span">
    <w:name w:val="apple-style-span"/>
    <w:uiPriority w:val="99"/>
    <w:rsid w:val="00500C6E"/>
    <w:rPr>
      <w:rFonts w:cs="Times New Roman"/>
    </w:rPr>
  </w:style>
  <w:style w:type="paragraph" w:customStyle="1" w:styleId="Style3">
    <w:name w:val="Style3"/>
    <w:basedOn w:val="a0"/>
    <w:uiPriority w:val="99"/>
    <w:rsid w:val="00500C6E"/>
    <w:pPr>
      <w:widowControl w:val="0"/>
      <w:autoSpaceDE w:val="0"/>
      <w:autoSpaceDN w:val="0"/>
      <w:adjustRightInd w:val="0"/>
      <w:spacing w:line="451" w:lineRule="exact"/>
      <w:ind w:firstLine="854"/>
      <w:jc w:val="both"/>
    </w:pPr>
  </w:style>
  <w:style w:type="paragraph" w:customStyle="1" w:styleId="aff6">
    <w:name w:val="a"/>
    <w:basedOn w:val="a0"/>
    <w:uiPriority w:val="99"/>
    <w:rsid w:val="00500C6E"/>
    <w:pPr>
      <w:spacing w:before="100" w:beforeAutospacing="1" w:after="100" w:afterAutospacing="1"/>
    </w:pPr>
  </w:style>
  <w:style w:type="paragraph" w:styleId="38">
    <w:name w:val="List 3"/>
    <w:basedOn w:val="a0"/>
    <w:uiPriority w:val="99"/>
    <w:rsid w:val="00500C6E"/>
    <w:pPr>
      <w:spacing w:after="200" w:line="276" w:lineRule="auto"/>
      <w:ind w:left="849" w:hanging="283"/>
    </w:pPr>
    <w:rPr>
      <w:rFonts w:ascii="Calibri" w:eastAsia="Calibri" w:hAnsi="Calibri"/>
      <w:sz w:val="22"/>
      <w:szCs w:val="22"/>
      <w:lang w:eastAsia="en-US"/>
    </w:rPr>
  </w:style>
  <w:style w:type="paragraph" w:styleId="18">
    <w:name w:val="toc 1"/>
    <w:basedOn w:val="a0"/>
    <w:next w:val="a0"/>
    <w:autoRedefine/>
    <w:uiPriority w:val="39"/>
    <w:rsid w:val="000706E1"/>
    <w:pPr>
      <w:tabs>
        <w:tab w:val="right" w:leader="dot" w:pos="10080"/>
      </w:tabs>
      <w:ind w:left="426" w:hanging="426"/>
    </w:pPr>
    <w:rPr>
      <w:rFonts w:ascii="Calibri" w:eastAsia="Calibri" w:hAnsi="Calibri"/>
      <w:sz w:val="22"/>
      <w:szCs w:val="22"/>
      <w:lang w:eastAsia="en-US"/>
    </w:rPr>
  </w:style>
  <w:style w:type="paragraph" w:styleId="28">
    <w:name w:val="toc 2"/>
    <w:basedOn w:val="a0"/>
    <w:next w:val="a0"/>
    <w:autoRedefine/>
    <w:uiPriority w:val="99"/>
    <w:rsid w:val="00500C6E"/>
    <w:pPr>
      <w:tabs>
        <w:tab w:val="right" w:leader="dot" w:pos="10080"/>
      </w:tabs>
      <w:spacing w:before="40" w:after="40" w:line="320" w:lineRule="exact"/>
      <w:ind w:left="720" w:hanging="360"/>
    </w:pPr>
    <w:rPr>
      <w:rFonts w:ascii="Calibri" w:eastAsia="Calibri" w:hAnsi="Calibri"/>
      <w:sz w:val="22"/>
      <w:szCs w:val="22"/>
      <w:lang w:eastAsia="en-US"/>
    </w:rPr>
  </w:style>
  <w:style w:type="paragraph" w:customStyle="1" w:styleId="29">
    <w:name w:val="Знак2"/>
    <w:basedOn w:val="a0"/>
    <w:uiPriority w:val="99"/>
    <w:rsid w:val="00500C6E"/>
    <w:pPr>
      <w:spacing w:after="160" w:line="240" w:lineRule="exact"/>
    </w:pPr>
    <w:rPr>
      <w:rFonts w:ascii="Verdana" w:hAnsi="Verdana"/>
      <w:sz w:val="20"/>
      <w:szCs w:val="20"/>
      <w:lang w:val="en-US" w:eastAsia="en-US"/>
    </w:rPr>
  </w:style>
  <w:style w:type="paragraph" w:styleId="aff7">
    <w:name w:val="No Spacing"/>
    <w:uiPriority w:val="99"/>
    <w:qFormat/>
    <w:rsid w:val="00500C6E"/>
    <w:pPr>
      <w:spacing w:before="20" w:after="120" w:line="360" w:lineRule="exact"/>
      <w:ind w:firstLine="709"/>
      <w:jc w:val="both"/>
    </w:pPr>
    <w:rPr>
      <w:rFonts w:ascii="Times New Roman" w:hAnsi="Times New Roman"/>
      <w:sz w:val="28"/>
      <w:szCs w:val="28"/>
      <w:lang w:eastAsia="en-US"/>
    </w:rPr>
  </w:style>
  <w:style w:type="paragraph" w:customStyle="1" w:styleId="41">
    <w:name w:val="Заголовок4"/>
    <w:aliases w:val="BIKITI"/>
    <w:uiPriority w:val="99"/>
    <w:rsid w:val="00500C6E"/>
    <w:pPr>
      <w:autoSpaceDE w:val="0"/>
      <w:autoSpaceDN w:val="0"/>
      <w:adjustRightInd w:val="0"/>
      <w:spacing w:before="20" w:after="57" w:line="240" w:lineRule="atLeast"/>
      <w:ind w:left="283" w:firstLine="709"/>
    </w:pPr>
    <w:rPr>
      <w:rFonts w:ascii="BalticaCTT" w:eastAsia="Times New Roman" w:hAnsi="BalticaCTT" w:cs="BalticaCTT"/>
      <w:b/>
      <w:bCs/>
      <w:color w:val="000000"/>
      <w:sz w:val="22"/>
      <w:szCs w:val="22"/>
    </w:rPr>
  </w:style>
  <w:style w:type="paragraph" w:customStyle="1" w:styleId="2a">
    <w:name w:val="Обычный2"/>
    <w:uiPriority w:val="99"/>
    <w:rsid w:val="00500C6E"/>
    <w:pPr>
      <w:spacing w:before="20" w:after="120" w:line="360" w:lineRule="exact"/>
      <w:ind w:firstLine="709"/>
    </w:pPr>
    <w:rPr>
      <w:rFonts w:ascii="Times New Roman" w:eastAsia="Times New Roman" w:hAnsi="Times New Roman"/>
    </w:rPr>
  </w:style>
  <w:style w:type="paragraph" w:customStyle="1" w:styleId="aff8">
    <w:name w:val="Чиновничий"/>
    <w:basedOn w:val="a0"/>
    <w:autoRedefine/>
    <w:uiPriority w:val="99"/>
    <w:rsid w:val="00500C6E"/>
    <w:pPr>
      <w:widowControl w:val="0"/>
      <w:snapToGrid w:val="0"/>
      <w:spacing w:line="300" w:lineRule="exact"/>
      <w:jc w:val="both"/>
    </w:pPr>
    <w:rPr>
      <w:sz w:val="26"/>
      <w:szCs w:val="26"/>
    </w:rPr>
  </w:style>
  <w:style w:type="character" w:customStyle="1" w:styleId="aff9">
    <w:name w:val="Текст сноски Знак"/>
    <w:uiPriority w:val="99"/>
    <w:rsid w:val="00500C6E"/>
    <w:rPr>
      <w:rFonts w:ascii="Times New Roman" w:hAnsi="Times New Roman"/>
      <w:sz w:val="20"/>
      <w:lang w:eastAsia="ru-RU"/>
    </w:rPr>
  </w:style>
  <w:style w:type="paragraph" w:customStyle="1" w:styleId="xl74">
    <w:name w:val="xl74"/>
    <w:basedOn w:val="a0"/>
    <w:uiPriority w:val="99"/>
    <w:rsid w:val="00500C6E"/>
    <w:pPr>
      <w:pBdr>
        <w:left w:val="single" w:sz="8" w:space="0" w:color="auto"/>
        <w:right w:val="single" w:sz="8" w:space="0" w:color="auto"/>
      </w:pBdr>
      <w:spacing w:before="100" w:beforeAutospacing="1" w:after="100" w:afterAutospacing="1"/>
    </w:pPr>
    <w:rPr>
      <w:rFonts w:ascii="Times New Roman CYR" w:eastAsia="Calibri" w:hAnsi="Times New Roman CYR" w:cs="GaramondC"/>
      <w:sz w:val="18"/>
      <w:szCs w:val="18"/>
    </w:rPr>
  </w:style>
  <w:style w:type="character" w:customStyle="1" w:styleId="14">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1"/>
    <w:link w:val="af2"/>
    <w:uiPriority w:val="99"/>
    <w:locked/>
    <w:rsid w:val="00500C6E"/>
    <w:rPr>
      <w:rFonts w:ascii="Times New Roman" w:hAnsi="Times New Roman"/>
    </w:rPr>
  </w:style>
  <w:style w:type="paragraph" w:styleId="affa">
    <w:name w:val="E-mail Signature"/>
    <w:basedOn w:val="a0"/>
    <w:link w:val="affb"/>
    <w:uiPriority w:val="99"/>
    <w:rsid w:val="00500C6E"/>
  </w:style>
  <w:style w:type="character" w:customStyle="1" w:styleId="affb">
    <w:name w:val="Электронная подпись Знак"/>
    <w:link w:val="affa"/>
    <w:uiPriority w:val="99"/>
    <w:locked/>
    <w:rsid w:val="00500C6E"/>
    <w:rPr>
      <w:rFonts w:ascii="Times New Roman" w:hAnsi="Times New Roman" w:cs="Times New Roman"/>
      <w:sz w:val="24"/>
    </w:rPr>
  </w:style>
  <w:style w:type="character" w:customStyle="1" w:styleId="afa">
    <w:name w:val="Текст Знак"/>
    <w:link w:val="af9"/>
    <w:uiPriority w:val="99"/>
    <w:locked/>
    <w:rsid w:val="00500C6E"/>
    <w:rPr>
      <w:rFonts w:ascii="Courier New" w:hAnsi="Courier New"/>
    </w:rPr>
  </w:style>
  <w:style w:type="paragraph" w:customStyle="1" w:styleId="affc">
    <w:name w:val="МОН"/>
    <w:basedOn w:val="a0"/>
    <w:link w:val="affd"/>
    <w:uiPriority w:val="99"/>
    <w:rsid w:val="00500C6E"/>
    <w:pPr>
      <w:spacing w:line="360" w:lineRule="auto"/>
      <w:jc w:val="both"/>
    </w:pPr>
    <w:rPr>
      <w:rFonts w:eastAsia="Calibri"/>
      <w:szCs w:val="20"/>
    </w:rPr>
  </w:style>
  <w:style w:type="character" w:customStyle="1" w:styleId="affd">
    <w:name w:val="МОН Знак"/>
    <w:link w:val="affc"/>
    <w:uiPriority w:val="99"/>
    <w:locked/>
    <w:rsid w:val="00500C6E"/>
    <w:rPr>
      <w:rFonts w:ascii="Times New Roman" w:hAnsi="Times New Roman"/>
      <w:sz w:val="24"/>
    </w:rPr>
  </w:style>
  <w:style w:type="paragraph" w:customStyle="1" w:styleId="affe">
    <w:name w:val="Стиль мой"/>
    <w:basedOn w:val="a0"/>
    <w:uiPriority w:val="99"/>
    <w:rsid w:val="00500C6E"/>
    <w:pPr>
      <w:widowControl w:val="0"/>
      <w:spacing w:line="360" w:lineRule="auto"/>
      <w:ind w:firstLine="567"/>
      <w:jc w:val="both"/>
    </w:pPr>
    <w:rPr>
      <w:szCs w:val="20"/>
    </w:rPr>
  </w:style>
  <w:style w:type="paragraph" w:customStyle="1" w:styleId="afff">
    <w:name w:val="текст"/>
    <w:basedOn w:val="afff0"/>
    <w:uiPriority w:val="99"/>
    <w:rsid w:val="00500C6E"/>
    <w:pPr>
      <w:autoSpaceDE w:val="0"/>
      <w:autoSpaceDN w:val="0"/>
      <w:adjustRightInd w:val="0"/>
      <w:spacing w:before="113" w:after="113" w:line="260" w:lineRule="atLeast"/>
      <w:ind w:firstLine="454"/>
      <w:jc w:val="both"/>
      <w:outlineLvl w:val="9"/>
    </w:pPr>
    <w:rPr>
      <w:rFonts w:ascii="GaramondC" w:eastAsia="Times New Roman" w:hAnsi="GaramondC"/>
      <w:sz w:val="20"/>
      <w:szCs w:val="20"/>
      <w:lang w:val="en-US" w:eastAsia="ru-RU"/>
    </w:rPr>
  </w:style>
  <w:style w:type="paragraph" w:styleId="afff0">
    <w:name w:val="Subtitle"/>
    <w:basedOn w:val="a0"/>
    <w:link w:val="afff1"/>
    <w:uiPriority w:val="99"/>
    <w:qFormat/>
    <w:rsid w:val="00500C6E"/>
    <w:pPr>
      <w:spacing w:after="60" w:line="276" w:lineRule="auto"/>
      <w:jc w:val="center"/>
      <w:outlineLvl w:val="1"/>
    </w:pPr>
    <w:rPr>
      <w:rFonts w:ascii="Arial" w:eastAsia="Calibri" w:hAnsi="Arial"/>
      <w:lang w:eastAsia="en-US"/>
    </w:rPr>
  </w:style>
  <w:style w:type="character" w:customStyle="1" w:styleId="afff1">
    <w:name w:val="Подзаголовок Знак"/>
    <w:link w:val="afff0"/>
    <w:uiPriority w:val="99"/>
    <w:locked/>
    <w:rsid w:val="00500C6E"/>
    <w:rPr>
      <w:rFonts w:ascii="Arial" w:hAnsi="Arial" w:cs="Times New Roman"/>
      <w:sz w:val="24"/>
      <w:lang w:eastAsia="en-US"/>
    </w:rPr>
  </w:style>
  <w:style w:type="paragraph" w:customStyle="1" w:styleId="xl31">
    <w:name w:val="xl31"/>
    <w:basedOn w:val="a0"/>
    <w:uiPriority w:val="99"/>
    <w:rsid w:val="00500C6E"/>
    <w:pPr>
      <w:pBdr>
        <w:right w:val="single" w:sz="4" w:space="0" w:color="auto"/>
      </w:pBdr>
      <w:spacing w:before="100" w:after="100"/>
      <w:jc w:val="center"/>
    </w:pPr>
    <w:rPr>
      <w:rFonts w:eastAsia="Calibri"/>
      <w:sz w:val="26"/>
      <w:szCs w:val="20"/>
    </w:rPr>
  </w:style>
  <w:style w:type="character" w:customStyle="1" w:styleId="310">
    <w:name w:val="Заголовок 3 Знак Знак1"/>
    <w:aliases w:val="Знак2 Знак Знак Знак1"/>
    <w:uiPriority w:val="99"/>
    <w:rsid w:val="00500C6E"/>
    <w:rPr>
      <w:b/>
      <w:sz w:val="26"/>
      <w:lang w:val="ru-RU" w:eastAsia="ru-RU"/>
    </w:rPr>
  </w:style>
  <w:style w:type="paragraph" w:customStyle="1" w:styleId="Standard">
    <w:name w:val="Standard"/>
    <w:uiPriority w:val="99"/>
    <w:rsid w:val="00500C6E"/>
    <w:pPr>
      <w:widowControl w:val="0"/>
      <w:suppressAutoHyphens/>
      <w:autoSpaceDN w:val="0"/>
      <w:spacing w:before="20" w:after="120" w:line="360" w:lineRule="exact"/>
      <w:ind w:firstLine="709"/>
      <w:textAlignment w:val="baseline"/>
    </w:pPr>
    <w:rPr>
      <w:rFonts w:ascii="Arial" w:hAnsi="Arial" w:cs="Tahoma"/>
      <w:kern w:val="3"/>
      <w:sz w:val="21"/>
      <w:szCs w:val="24"/>
    </w:rPr>
  </w:style>
  <w:style w:type="character" w:customStyle="1" w:styleId="Head1">
    <w:name w:val="Head 1 Знак"/>
    <w:aliases w:val="????????? 1 Знак Знак"/>
    <w:uiPriority w:val="99"/>
    <w:rsid w:val="00500C6E"/>
    <w:rPr>
      <w:rFonts w:ascii="Arial" w:hAnsi="Arial"/>
      <w:b/>
      <w:kern w:val="32"/>
      <w:sz w:val="32"/>
      <w:lang w:val="ru-RU" w:eastAsia="ru-RU"/>
    </w:rPr>
  </w:style>
  <w:style w:type="paragraph" w:customStyle="1" w:styleId="14-1">
    <w:name w:val="Стиль14-1"/>
    <w:basedOn w:val="a0"/>
    <w:uiPriority w:val="99"/>
    <w:rsid w:val="00500C6E"/>
    <w:pPr>
      <w:jc w:val="both"/>
    </w:pPr>
    <w:rPr>
      <w:sz w:val="28"/>
    </w:rPr>
  </w:style>
  <w:style w:type="character" w:customStyle="1" w:styleId="bt0">
    <w:name w:val="bt Знак Знак"/>
    <w:uiPriority w:val="99"/>
    <w:rsid w:val="00500C6E"/>
    <w:rPr>
      <w:sz w:val="24"/>
      <w:lang w:val="ru-RU" w:eastAsia="ru-RU"/>
    </w:rPr>
  </w:style>
  <w:style w:type="table" w:styleId="-3">
    <w:name w:val="Table Web 3"/>
    <w:basedOn w:val="a2"/>
    <w:uiPriority w:val="99"/>
    <w:rsid w:val="00500C6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ff2">
    <w:name w:val="Знак"/>
    <w:basedOn w:val="a0"/>
    <w:uiPriority w:val="99"/>
    <w:rsid w:val="00500C6E"/>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0"/>
    <w:uiPriority w:val="99"/>
    <w:rsid w:val="00500C6E"/>
    <w:pPr>
      <w:jc w:val="both"/>
    </w:pPr>
    <w:rPr>
      <w:sz w:val="28"/>
      <w:szCs w:val="20"/>
    </w:rPr>
  </w:style>
  <w:style w:type="paragraph" w:customStyle="1" w:styleId="xl25">
    <w:name w:val="xl25"/>
    <w:basedOn w:val="a0"/>
    <w:uiPriority w:val="99"/>
    <w:rsid w:val="00500C6E"/>
    <w:pPr>
      <w:pBdr>
        <w:left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Tablename">
    <w:name w:val="Table name"/>
    <w:uiPriority w:val="99"/>
    <w:rsid w:val="00500C6E"/>
    <w:pPr>
      <w:widowControl w:val="0"/>
      <w:overflowPunct w:val="0"/>
      <w:autoSpaceDE w:val="0"/>
      <w:autoSpaceDN w:val="0"/>
      <w:adjustRightInd w:val="0"/>
      <w:spacing w:before="20" w:after="120" w:line="360" w:lineRule="exact"/>
      <w:ind w:firstLine="709"/>
      <w:jc w:val="center"/>
      <w:textAlignment w:val="baseline"/>
    </w:pPr>
    <w:rPr>
      <w:rFonts w:ascii="ACSRS" w:eastAsia="Times New Roman" w:hAnsi="ACSRS"/>
      <w:b/>
      <w:sz w:val="18"/>
    </w:rPr>
  </w:style>
  <w:style w:type="paragraph" w:customStyle="1" w:styleId="19">
    <w:name w:val="Стиль1"/>
    <w:basedOn w:val="a0"/>
    <w:uiPriority w:val="99"/>
    <w:rsid w:val="00500C6E"/>
    <w:pPr>
      <w:spacing w:line="300" w:lineRule="exact"/>
      <w:jc w:val="both"/>
    </w:pPr>
    <w:rPr>
      <w:rFonts w:eastAsia="Calibri"/>
      <w:sz w:val="26"/>
      <w:szCs w:val="22"/>
      <w:lang w:eastAsia="en-US"/>
    </w:rPr>
  </w:style>
  <w:style w:type="paragraph" w:customStyle="1" w:styleId="39">
    <w:name w:val="Стиль3"/>
    <w:basedOn w:val="a0"/>
    <w:uiPriority w:val="99"/>
    <w:rsid w:val="00500C6E"/>
    <w:pPr>
      <w:spacing w:before="40" w:after="40"/>
    </w:pPr>
    <w:rPr>
      <w:rFonts w:eastAsia="Calibri"/>
      <w:szCs w:val="22"/>
      <w:lang w:eastAsia="en-US"/>
    </w:rPr>
  </w:style>
  <w:style w:type="paragraph" w:customStyle="1" w:styleId="43">
    <w:name w:val="Стиль4"/>
    <w:basedOn w:val="a0"/>
    <w:uiPriority w:val="99"/>
    <w:rsid w:val="00500C6E"/>
    <w:pPr>
      <w:spacing w:before="40" w:after="40"/>
      <w:jc w:val="center"/>
    </w:pPr>
    <w:rPr>
      <w:rFonts w:eastAsia="Calibri"/>
      <w:szCs w:val="22"/>
      <w:lang w:eastAsia="en-US"/>
    </w:rPr>
  </w:style>
  <w:style w:type="paragraph" w:customStyle="1" w:styleId="2b">
    <w:name w:val="Стиль2"/>
    <w:basedOn w:val="4"/>
    <w:uiPriority w:val="99"/>
    <w:rsid w:val="00500C6E"/>
    <w:pPr>
      <w:widowControl w:val="0"/>
      <w:spacing w:after="240" w:line="300" w:lineRule="exact"/>
      <w:jc w:val="center"/>
    </w:pPr>
    <w:rPr>
      <w:bCs w:val="0"/>
      <w:noProof/>
    </w:rPr>
  </w:style>
  <w:style w:type="character" w:customStyle="1" w:styleId="311">
    <w:name w:val="Основной текст с отступом 3 Знак1"/>
    <w:uiPriority w:val="99"/>
    <w:locked/>
    <w:rsid w:val="00500C6E"/>
    <w:rPr>
      <w:sz w:val="16"/>
      <w:lang w:val="ru-RU" w:eastAsia="ru-RU"/>
    </w:rPr>
  </w:style>
  <w:style w:type="paragraph" w:customStyle="1" w:styleId="52">
    <w:name w:val="Стиль5"/>
    <w:basedOn w:val="39"/>
    <w:uiPriority w:val="99"/>
    <w:rsid w:val="00500C6E"/>
    <w:pPr>
      <w:spacing w:before="240" w:after="120"/>
      <w:jc w:val="center"/>
    </w:pPr>
    <w:rPr>
      <w:b/>
      <w:bCs/>
      <w:sz w:val="26"/>
      <w:szCs w:val="26"/>
    </w:rPr>
  </w:style>
  <w:style w:type="paragraph" w:customStyle="1" w:styleId="61">
    <w:name w:val="Стиль6"/>
    <w:basedOn w:val="2"/>
    <w:uiPriority w:val="99"/>
    <w:rsid w:val="00500C6E"/>
    <w:rPr>
      <w:i/>
    </w:rPr>
  </w:style>
  <w:style w:type="paragraph" w:customStyle="1" w:styleId="Iauiue1">
    <w:name w:val="Iau?iue1"/>
    <w:uiPriority w:val="99"/>
    <w:rsid w:val="00500C6E"/>
    <w:pPr>
      <w:widowControl w:val="0"/>
      <w:overflowPunct w:val="0"/>
      <w:autoSpaceDE w:val="0"/>
      <w:autoSpaceDN w:val="0"/>
      <w:adjustRightInd w:val="0"/>
      <w:spacing w:before="20" w:after="120" w:line="360" w:lineRule="exact"/>
      <w:ind w:firstLine="709"/>
      <w:textAlignment w:val="baseline"/>
    </w:pPr>
    <w:rPr>
      <w:rFonts w:ascii="Times New Roman" w:eastAsia="Times New Roman" w:hAnsi="Times New Roman"/>
    </w:rPr>
  </w:style>
  <w:style w:type="paragraph" w:customStyle="1" w:styleId="Iniiaiie1">
    <w:name w:val="Iniiaiie1"/>
    <w:aliases w:val="oaeno1"/>
    <w:basedOn w:val="Iauiue1"/>
    <w:uiPriority w:val="99"/>
    <w:rsid w:val="00500C6E"/>
    <w:pPr>
      <w:spacing w:before="120" w:line="360" w:lineRule="auto"/>
      <w:jc w:val="both"/>
    </w:pPr>
    <w:rPr>
      <w:rFonts w:ascii="Arial" w:hAnsi="Arial"/>
      <w:sz w:val="21"/>
    </w:rPr>
  </w:style>
  <w:style w:type="paragraph" w:customStyle="1" w:styleId="afff3">
    <w:name w:val="Знак Знак Знак Знак"/>
    <w:basedOn w:val="a0"/>
    <w:uiPriority w:val="99"/>
    <w:rsid w:val="00500C6E"/>
    <w:pPr>
      <w:spacing w:before="100" w:beforeAutospacing="1" w:after="100" w:afterAutospacing="1"/>
    </w:pPr>
    <w:rPr>
      <w:rFonts w:ascii="Tahoma" w:hAnsi="Tahoma"/>
      <w:sz w:val="20"/>
      <w:szCs w:val="20"/>
      <w:lang w:val="en-US" w:eastAsia="en-US"/>
    </w:rPr>
  </w:style>
  <w:style w:type="character" w:styleId="afff4">
    <w:name w:val="Emphasis"/>
    <w:uiPriority w:val="99"/>
    <w:qFormat/>
    <w:rsid w:val="00500C6E"/>
    <w:rPr>
      <w:rFonts w:cs="Times New Roman"/>
      <w:i/>
    </w:rPr>
  </w:style>
  <w:style w:type="paragraph" w:customStyle="1" w:styleId="ConsPlusNonformat">
    <w:name w:val="ConsPlusNonformat"/>
    <w:uiPriority w:val="99"/>
    <w:rsid w:val="00500C6E"/>
    <w:pPr>
      <w:widowControl w:val="0"/>
      <w:autoSpaceDE w:val="0"/>
      <w:autoSpaceDN w:val="0"/>
      <w:adjustRightInd w:val="0"/>
      <w:spacing w:before="20" w:after="120" w:line="360" w:lineRule="exact"/>
      <w:ind w:firstLine="709"/>
    </w:pPr>
    <w:rPr>
      <w:rFonts w:ascii="Courier New" w:eastAsia="Times New Roman" w:hAnsi="Courier New" w:cs="Courier New"/>
    </w:rPr>
  </w:style>
  <w:style w:type="paragraph" w:customStyle="1" w:styleId="a">
    <w:name w:val="Список с кружком"/>
    <w:basedOn w:val="a0"/>
    <w:uiPriority w:val="99"/>
    <w:rsid w:val="00500C6E"/>
    <w:pPr>
      <w:numPr>
        <w:numId w:val="1"/>
      </w:numPr>
    </w:pPr>
  </w:style>
  <w:style w:type="paragraph" w:styleId="afff5">
    <w:name w:val="table of authorities"/>
    <w:basedOn w:val="a0"/>
    <w:next w:val="a0"/>
    <w:uiPriority w:val="99"/>
    <w:semiHidden/>
    <w:rsid w:val="00500C6E"/>
    <w:pPr>
      <w:spacing w:after="200" w:line="276" w:lineRule="auto"/>
      <w:ind w:left="240" w:hanging="240"/>
    </w:pPr>
    <w:rPr>
      <w:rFonts w:ascii="Calibri" w:eastAsia="Calibri" w:hAnsi="Calibri"/>
      <w:sz w:val="22"/>
      <w:szCs w:val="22"/>
      <w:lang w:eastAsia="en-US"/>
    </w:rPr>
  </w:style>
  <w:style w:type="paragraph" w:customStyle="1" w:styleId="71">
    <w:name w:val="Стиль7"/>
    <w:basedOn w:val="a0"/>
    <w:uiPriority w:val="99"/>
    <w:rsid w:val="00500C6E"/>
    <w:pPr>
      <w:spacing w:after="200" w:line="276" w:lineRule="auto"/>
    </w:pPr>
    <w:rPr>
      <w:rFonts w:ascii="Calibri" w:eastAsia="Calibri" w:hAnsi="Calibri"/>
      <w:sz w:val="20"/>
      <w:szCs w:val="20"/>
      <w:vertAlign w:val="superscript"/>
      <w:lang w:eastAsia="en-US"/>
    </w:rPr>
  </w:style>
  <w:style w:type="paragraph" w:customStyle="1" w:styleId="afff6">
    <w:name w:val="Письмо"/>
    <w:basedOn w:val="a0"/>
    <w:uiPriority w:val="99"/>
    <w:rsid w:val="00500C6E"/>
    <w:pPr>
      <w:spacing w:line="300" w:lineRule="auto"/>
      <w:jc w:val="both"/>
    </w:pPr>
    <w:rPr>
      <w:sz w:val="26"/>
      <w:szCs w:val="26"/>
    </w:rPr>
  </w:style>
  <w:style w:type="character" w:customStyle="1" w:styleId="81">
    <w:name w:val="Знак Знак8"/>
    <w:uiPriority w:val="99"/>
    <w:rsid w:val="00500C6E"/>
    <w:rPr>
      <w:b/>
      <w:caps/>
      <w:kern w:val="32"/>
      <w:sz w:val="28"/>
      <w:lang w:val="ru-RU" w:eastAsia="en-US"/>
    </w:rPr>
  </w:style>
  <w:style w:type="character" w:customStyle="1" w:styleId="3a">
    <w:name w:val="Знак3 Знак Знак"/>
    <w:uiPriority w:val="99"/>
    <w:rsid w:val="00500C6E"/>
    <w:rPr>
      <w:rFonts w:ascii="Arial" w:hAnsi="Arial"/>
      <w:b/>
      <w:i/>
      <w:sz w:val="28"/>
      <w:lang w:val="ru-RU" w:eastAsia="ru-RU"/>
    </w:rPr>
  </w:style>
  <w:style w:type="character" w:customStyle="1" w:styleId="-FN">
    <w:name w:val="Текст сноски-FN Знак"/>
    <w:aliases w:val="Footnote Text Char Знак Знак Знак,Footnote Text Char Знак Знак1,Текст сноски Знак Знак1,Footnote Text Char Char Знак,Footnote Text Char Char Char Char Знак,Footnote Text1 Знак,Footnote Text Char Char Char Знак,fn Знак,ft Знак"/>
    <w:uiPriority w:val="99"/>
    <w:locked/>
    <w:rsid w:val="00500C6E"/>
    <w:rPr>
      <w:lang w:val="ru-RU" w:eastAsia="ru-RU"/>
    </w:rPr>
  </w:style>
  <w:style w:type="character" w:customStyle="1" w:styleId="2c">
    <w:name w:val="Знак Знак2"/>
    <w:uiPriority w:val="99"/>
    <w:locked/>
    <w:rsid w:val="00500C6E"/>
    <w:rPr>
      <w:rFonts w:ascii="Calibri" w:hAnsi="Calibri"/>
      <w:sz w:val="22"/>
      <w:lang w:val="ru-RU" w:eastAsia="en-US"/>
    </w:rPr>
  </w:style>
  <w:style w:type="character" w:customStyle="1" w:styleId="afff7">
    <w:name w:val="Знак Знак"/>
    <w:uiPriority w:val="99"/>
    <w:locked/>
    <w:rsid w:val="00500C6E"/>
    <w:rPr>
      <w:sz w:val="24"/>
      <w:lang w:val="ru-RU" w:eastAsia="ru-RU"/>
    </w:rPr>
  </w:style>
  <w:style w:type="paragraph" w:customStyle="1" w:styleId="Style60">
    <w:name w:val="Style60"/>
    <w:basedOn w:val="a0"/>
    <w:uiPriority w:val="99"/>
    <w:rsid w:val="00500C6E"/>
    <w:pPr>
      <w:widowControl w:val="0"/>
      <w:autoSpaceDE w:val="0"/>
      <w:autoSpaceDN w:val="0"/>
      <w:adjustRightInd w:val="0"/>
      <w:spacing w:line="480" w:lineRule="exact"/>
      <w:ind w:hanging="163"/>
    </w:pPr>
  </w:style>
  <w:style w:type="character" w:customStyle="1" w:styleId="FontStyle120">
    <w:name w:val="Font Style120"/>
    <w:uiPriority w:val="99"/>
    <w:rsid w:val="00500C6E"/>
    <w:rPr>
      <w:rFonts w:ascii="Times New Roman" w:hAnsi="Times New Roman"/>
      <w:b/>
      <w:sz w:val="26"/>
    </w:rPr>
  </w:style>
  <w:style w:type="paragraph" w:customStyle="1" w:styleId="Style36">
    <w:name w:val="Style36"/>
    <w:basedOn w:val="a0"/>
    <w:uiPriority w:val="99"/>
    <w:rsid w:val="00500C6E"/>
    <w:pPr>
      <w:widowControl w:val="0"/>
      <w:autoSpaceDE w:val="0"/>
      <w:autoSpaceDN w:val="0"/>
      <w:adjustRightInd w:val="0"/>
      <w:spacing w:line="230" w:lineRule="exact"/>
      <w:jc w:val="center"/>
    </w:pPr>
  </w:style>
  <w:style w:type="paragraph" w:customStyle="1" w:styleId="Style70">
    <w:name w:val="Style70"/>
    <w:basedOn w:val="a0"/>
    <w:uiPriority w:val="99"/>
    <w:rsid w:val="00500C6E"/>
    <w:pPr>
      <w:widowControl w:val="0"/>
      <w:autoSpaceDE w:val="0"/>
      <w:autoSpaceDN w:val="0"/>
      <w:adjustRightInd w:val="0"/>
    </w:pPr>
  </w:style>
  <w:style w:type="paragraph" w:customStyle="1" w:styleId="Style75">
    <w:name w:val="Style75"/>
    <w:basedOn w:val="a0"/>
    <w:uiPriority w:val="99"/>
    <w:rsid w:val="00500C6E"/>
    <w:pPr>
      <w:widowControl w:val="0"/>
      <w:autoSpaceDE w:val="0"/>
      <w:autoSpaceDN w:val="0"/>
      <w:adjustRightInd w:val="0"/>
      <w:spacing w:line="235" w:lineRule="exact"/>
    </w:pPr>
  </w:style>
  <w:style w:type="character" w:customStyle="1" w:styleId="FontStyle133">
    <w:name w:val="Font Style133"/>
    <w:uiPriority w:val="99"/>
    <w:rsid w:val="00500C6E"/>
    <w:rPr>
      <w:rFonts w:ascii="Times New Roman" w:hAnsi="Times New Roman"/>
      <w:i/>
      <w:sz w:val="16"/>
    </w:rPr>
  </w:style>
  <w:style w:type="character" w:customStyle="1" w:styleId="FontStyle134">
    <w:name w:val="Font Style134"/>
    <w:uiPriority w:val="99"/>
    <w:rsid w:val="00500C6E"/>
    <w:rPr>
      <w:rFonts w:ascii="Times New Roman" w:hAnsi="Times New Roman"/>
      <w:sz w:val="16"/>
    </w:rPr>
  </w:style>
  <w:style w:type="paragraph" w:customStyle="1" w:styleId="Style4">
    <w:name w:val="Style4"/>
    <w:basedOn w:val="a0"/>
    <w:uiPriority w:val="99"/>
    <w:rsid w:val="00500C6E"/>
    <w:pPr>
      <w:widowControl w:val="0"/>
      <w:autoSpaceDE w:val="0"/>
      <w:autoSpaceDN w:val="0"/>
      <w:adjustRightInd w:val="0"/>
      <w:jc w:val="center"/>
    </w:pPr>
  </w:style>
  <w:style w:type="character" w:customStyle="1" w:styleId="FontStyle142">
    <w:name w:val="Font Style142"/>
    <w:uiPriority w:val="99"/>
    <w:rsid w:val="00500C6E"/>
    <w:rPr>
      <w:rFonts w:ascii="Times New Roman" w:hAnsi="Times New Roman"/>
      <w:b/>
      <w:sz w:val="22"/>
    </w:rPr>
  </w:style>
  <w:style w:type="paragraph" w:customStyle="1" w:styleId="Default0">
    <w:name w:val="Default"/>
    <w:uiPriority w:val="99"/>
    <w:rsid w:val="00500C6E"/>
    <w:pPr>
      <w:autoSpaceDE w:val="0"/>
      <w:autoSpaceDN w:val="0"/>
      <w:adjustRightInd w:val="0"/>
      <w:spacing w:before="20" w:after="120" w:line="360" w:lineRule="exact"/>
      <w:ind w:firstLine="709"/>
    </w:pPr>
    <w:rPr>
      <w:rFonts w:eastAsia="Times New Roman" w:cs="Calibri"/>
      <w:color w:val="000000"/>
      <w:sz w:val="24"/>
      <w:szCs w:val="24"/>
    </w:rPr>
  </w:style>
  <w:style w:type="paragraph" w:customStyle="1" w:styleId="1a">
    <w:name w:val="Основной текст с отступом.Основной текст 1.Нумерованный список !!.Надин стиль"/>
    <w:basedOn w:val="a0"/>
    <w:uiPriority w:val="99"/>
    <w:rsid w:val="00500C6E"/>
    <w:pPr>
      <w:ind w:firstLine="720"/>
      <w:jc w:val="both"/>
    </w:pPr>
    <w:rPr>
      <w:sz w:val="26"/>
      <w:szCs w:val="20"/>
    </w:rPr>
  </w:style>
  <w:style w:type="character" w:customStyle="1" w:styleId="FontStyle188">
    <w:name w:val="Font Style188"/>
    <w:uiPriority w:val="99"/>
    <w:rsid w:val="00500C6E"/>
    <w:rPr>
      <w:rFonts w:ascii="Times New Roman" w:hAnsi="Times New Roman"/>
      <w:sz w:val="26"/>
    </w:rPr>
  </w:style>
  <w:style w:type="paragraph" w:customStyle="1" w:styleId="Style25">
    <w:name w:val="Style25"/>
    <w:basedOn w:val="a0"/>
    <w:uiPriority w:val="99"/>
    <w:rsid w:val="00500C6E"/>
    <w:pPr>
      <w:widowControl w:val="0"/>
      <w:autoSpaceDE w:val="0"/>
      <w:autoSpaceDN w:val="0"/>
      <w:adjustRightInd w:val="0"/>
      <w:spacing w:line="479" w:lineRule="exact"/>
      <w:ind w:firstLine="926"/>
      <w:jc w:val="both"/>
    </w:pPr>
  </w:style>
  <w:style w:type="paragraph" w:customStyle="1" w:styleId="Style31">
    <w:name w:val="Style31"/>
    <w:basedOn w:val="a0"/>
    <w:uiPriority w:val="99"/>
    <w:rsid w:val="00500C6E"/>
    <w:pPr>
      <w:widowControl w:val="0"/>
      <w:autoSpaceDE w:val="0"/>
      <w:autoSpaceDN w:val="0"/>
      <w:adjustRightInd w:val="0"/>
      <w:spacing w:line="485" w:lineRule="exact"/>
      <w:ind w:firstLine="590"/>
      <w:jc w:val="both"/>
    </w:pPr>
  </w:style>
  <w:style w:type="paragraph" w:customStyle="1" w:styleId="Style18">
    <w:name w:val="Style18"/>
    <w:basedOn w:val="a0"/>
    <w:uiPriority w:val="99"/>
    <w:rsid w:val="00500C6E"/>
    <w:pPr>
      <w:widowControl w:val="0"/>
      <w:autoSpaceDE w:val="0"/>
      <w:autoSpaceDN w:val="0"/>
      <w:adjustRightInd w:val="0"/>
      <w:spacing w:line="480" w:lineRule="exact"/>
      <w:ind w:firstLine="739"/>
      <w:jc w:val="both"/>
    </w:pPr>
  </w:style>
  <w:style w:type="character" w:customStyle="1" w:styleId="FontStyle27">
    <w:name w:val="Font Style27"/>
    <w:uiPriority w:val="99"/>
    <w:rsid w:val="00500C6E"/>
    <w:rPr>
      <w:rFonts w:ascii="Times New Roman" w:hAnsi="Times New Roman"/>
      <w:b/>
    </w:rPr>
  </w:style>
  <w:style w:type="paragraph" w:customStyle="1" w:styleId="afff8">
    <w:name w:val="Îáû÷íûé àáçàö"/>
    <w:basedOn w:val="a0"/>
    <w:uiPriority w:val="99"/>
    <w:rsid w:val="00500C6E"/>
    <w:pPr>
      <w:jc w:val="both"/>
    </w:pPr>
    <w:rPr>
      <w:sz w:val="28"/>
      <w:szCs w:val="20"/>
    </w:rPr>
  </w:style>
  <w:style w:type="character" w:customStyle="1" w:styleId="120">
    <w:name w:val="Основной текст 1 Знак Знак2"/>
    <w:uiPriority w:val="99"/>
    <w:rsid w:val="00500C6E"/>
    <w:rPr>
      <w:sz w:val="24"/>
      <w:lang w:val="ru-RU" w:eastAsia="ru-RU"/>
    </w:rPr>
  </w:style>
  <w:style w:type="paragraph" w:customStyle="1" w:styleId="-">
    <w:name w:val="прог-текст"/>
    <w:basedOn w:val="a0"/>
    <w:uiPriority w:val="99"/>
    <w:rsid w:val="00500C6E"/>
    <w:pPr>
      <w:spacing w:line="360" w:lineRule="auto"/>
      <w:ind w:firstLine="567"/>
      <w:jc w:val="both"/>
    </w:pPr>
  </w:style>
  <w:style w:type="paragraph" w:customStyle="1" w:styleId="CG-SingleSp05">
    <w:name w:val="CG-Single Sp 0.5"/>
    <w:aliases w:val="s2"/>
    <w:basedOn w:val="a0"/>
    <w:uiPriority w:val="99"/>
    <w:rsid w:val="00500C6E"/>
    <w:pPr>
      <w:spacing w:after="240"/>
      <w:ind w:firstLine="720"/>
    </w:pPr>
    <w:rPr>
      <w:szCs w:val="20"/>
      <w:lang w:val="en-GB" w:eastAsia="en-US"/>
    </w:rPr>
  </w:style>
  <w:style w:type="paragraph" w:customStyle="1" w:styleId="Spot">
    <w:name w:val="Spot"/>
    <w:basedOn w:val="a0"/>
    <w:next w:val="a0"/>
    <w:uiPriority w:val="99"/>
    <w:rsid w:val="00500C6E"/>
    <w:pPr>
      <w:tabs>
        <w:tab w:val="left" w:pos="709"/>
      </w:tabs>
      <w:spacing w:after="60" w:line="264" w:lineRule="auto"/>
      <w:jc w:val="both"/>
    </w:pPr>
    <w:rPr>
      <w:rFonts w:eastAsia="MS Mincho"/>
      <w:lang w:eastAsia="ja-JP"/>
    </w:rPr>
  </w:style>
  <w:style w:type="character" w:customStyle="1" w:styleId="SpotChar">
    <w:name w:val="Spot Char"/>
    <w:uiPriority w:val="99"/>
    <w:rsid w:val="00500C6E"/>
    <w:rPr>
      <w:rFonts w:eastAsia="MS Mincho"/>
      <w:sz w:val="24"/>
      <w:lang w:val="ru-RU" w:eastAsia="ja-JP"/>
    </w:rPr>
  </w:style>
  <w:style w:type="paragraph" w:customStyle="1" w:styleId="MARY">
    <w:name w:val="MARY обычн с отст"/>
    <w:basedOn w:val="a0"/>
    <w:uiPriority w:val="99"/>
    <w:rsid w:val="00500C6E"/>
    <w:pPr>
      <w:autoSpaceDE w:val="0"/>
      <w:autoSpaceDN w:val="0"/>
      <w:spacing w:line="360" w:lineRule="auto"/>
      <w:ind w:firstLine="720"/>
      <w:jc w:val="both"/>
    </w:pPr>
    <w:rPr>
      <w:szCs w:val="22"/>
    </w:rPr>
  </w:style>
  <w:style w:type="paragraph" w:customStyle="1" w:styleId="Mary0">
    <w:name w:val="Mary обычн без отступа"/>
    <w:basedOn w:val="MARY"/>
    <w:uiPriority w:val="99"/>
    <w:rsid w:val="00500C6E"/>
    <w:pPr>
      <w:autoSpaceDE/>
      <w:autoSpaceDN/>
      <w:ind w:firstLine="0"/>
    </w:pPr>
    <w:rPr>
      <w:szCs w:val="24"/>
    </w:rPr>
  </w:style>
  <w:style w:type="character" w:customStyle="1" w:styleId="Mary1">
    <w:name w:val="Mary обычн без отступа Знак"/>
    <w:uiPriority w:val="99"/>
    <w:rsid w:val="00500C6E"/>
    <w:rPr>
      <w:sz w:val="24"/>
      <w:lang w:val="ru-RU" w:eastAsia="ru-RU"/>
    </w:rPr>
  </w:style>
  <w:style w:type="paragraph" w:customStyle="1" w:styleId="1b">
    <w:name w:val="1Тема"/>
    <w:basedOn w:val="a0"/>
    <w:uiPriority w:val="99"/>
    <w:rsid w:val="00500C6E"/>
    <w:rPr>
      <w:rFonts w:ascii="Georgia" w:hAnsi="Georgia"/>
      <w:b/>
      <w:bCs/>
    </w:rPr>
  </w:style>
  <w:style w:type="paragraph" w:customStyle="1" w:styleId="afff9">
    <w:name w:val="Текст приложения"/>
    <w:basedOn w:val="a0"/>
    <w:uiPriority w:val="99"/>
    <w:rsid w:val="00500C6E"/>
    <w:pPr>
      <w:ind w:firstLine="720"/>
      <w:jc w:val="both"/>
    </w:pPr>
  </w:style>
  <w:style w:type="paragraph" w:customStyle="1" w:styleId="SpotIndentLn">
    <w:name w:val="SpotIndentLn"/>
    <w:basedOn w:val="a0"/>
    <w:uiPriority w:val="99"/>
    <w:rsid w:val="00500C6E"/>
    <w:pPr>
      <w:tabs>
        <w:tab w:val="num" w:pos="570"/>
        <w:tab w:val="num" w:pos="1260"/>
      </w:tabs>
      <w:ind w:left="570" w:hanging="285"/>
      <w:jc w:val="both"/>
    </w:pPr>
    <w:rPr>
      <w:rFonts w:eastAsia="MS Mincho"/>
      <w:sz w:val="20"/>
      <w:szCs w:val="20"/>
      <w:lang w:eastAsia="ja-JP"/>
    </w:rPr>
  </w:style>
  <w:style w:type="paragraph" w:customStyle="1" w:styleId="Normal6beforeCharChar">
    <w:name w:val="Normal 6 before Char Char"/>
    <w:basedOn w:val="a0"/>
    <w:next w:val="a0"/>
    <w:uiPriority w:val="99"/>
    <w:rsid w:val="00500C6E"/>
    <w:pPr>
      <w:ind w:firstLine="284"/>
      <w:jc w:val="both"/>
    </w:pPr>
    <w:rPr>
      <w:rFonts w:eastAsia="MS Mincho"/>
      <w:sz w:val="20"/>
      <w:lang w:eastAsia="ja-JP"/>
    </w:rPr>
  </w:style>
  <w:style w:type="character" w:customStyle="1" w:styleId="Normal6beforeCharCharChar">
    <w:name w:val="Normal 6 before Char Char Char"/>
    <w:uiPriority w:val="99"/>
    <w:rsid w:val="00500C6E"/>
    <w:rPr>
      <w:rFonts w:eastAsia="MS Mincho"/>
      <w:sz w:val="24"/>
      <w:lang w:val="ru-RU" w:eastAsia="ja-JP"/>
    </w:rPr>
  </w:style>
  <w:style w:type="paragraph" w:customStyle="1" w:styleId="1CharCharChar">
    <w:name w:val="Знак1 Знак Знак Знак Знак Знак Char Char Знак Знак Знак Знак Знак Знак Char"/>
    <w:basedOn w:val="a0"/>
    <w:uiPriority w:val="99"/>
    <w:rsid w:val="00500C6E"/>
    <w:rPr>
      <w:rFonts w:ascii="Verdana" w:hAnsi="Verdana" w:cs="Verdana"/>
      <w:sz w:val="20"/>
      <w:szCs w:val="20"/>
      <w:lang w:val="en-US" w:eastAsia="en-US"/>
    </w:rPr>
  </w:style>
  <w:style w:type="paragraph" w:customStyle="1" w:styleId="Spot0">
    <w:name w:val="Spot Знак"/>
    <w:basedOn w:val="a0"/>
    <w:next w:val="a0"/>
    <w:uiPriority w:val="99"/>
    <w:rsid w:val="00500C6E"/>
    <w:pPr>
      <w:tabs>
        <w:tab w:val="num" w:pos="567"/>
        <w:tab w:val="left" w:pos="709"/>
      </w:tabs>
      <w:spacing w:after="60" w:line="264" w:lineRule="auto"/>
      <w:ind w:left="567" w:hanging="567"/>
      <w:jc w:val="both"/>
    </w:pPr>
    <w:rPr>
      <w:rFonts w:eastAsia="MS Mincho"/>
      <w:lang w:eastAsia="ja-JP"/>
    </w:rPr>
  </w:style>
  <w:style w:type="character" w:customStyle="1" w:styleId="SpotChar0">
    <w:name w:val="Spot Знак Char"/>
    <w:uiPriority w:val="99"/>
    <w:rsid w:val="00500C6E"/>
    <w:rPr>
      <w:rFonts w:eastAsia="MS Mincho"/>
      <w:sz w:val="24"/>
      <w:lang w:val="ru-RU" w:eastAsia="ja-JP"/>
    </w:rPr>
  </w:style>
  <w:style w:type="paragraph" w:customStyle="1" w:styleId="1CharCharCharChar">
    <w:name w:val="Знак1 Знак Знак Знак Знак Знак Char Char Знак Знак Char Char Знак Знак Знак Знак Знак Знак"/>
    <w:basedOn w:val="a0"/>
    <w:uiPriority w:val="99"/>
    <w:rsid w:val="00500C6E"/>
    <w:rPr>
      <w:rFonts w:ascii="Verdana" w:hAnsi="Verdana" w:cs="Verdana"/>
      <w:sz w:val="20"/>
      <w:szCs w:val="20"/>
      <w:lang w:val="en-US" w:eastAsia="en-US"/>
    </w:rPr>
  </w:style>
  <w:style w:type="paragraph" w:customStyle="1" w:styleId="ArrowAfter">
    <w:name w:val="ArrowAfter"/>
    <w:basedOn w:val="a0"/>
    <w:next w:val="a0"/>
    <w:uiPriority w:val="99"/>
    <w:rsid w:val="00500C6E"/>
    <w:pPr>
      <w:spacing w:after="60" w:line="264" w:lineRule="auto"/>
      <w:ind w:left="709"/>
      <w:jc w:val="both"/>
    </w:pPr>
    <w:rPr>
      <w:rFonts w:eastAsia="MS Mincho"/>
      <w:lang w:eastAsia="ja-JP"/>
    </w:rPr>
  </w:style>
  <w:style w:type="paragraph" w:customStyle="1" w:styleId="1CharChar">
    <w:name w:val="Знак1 Знак Знак Знак Знак Знак Char Char Знак Знак Знак Знак Знак Знак"/>
    <w:basedOn w:val="a0"/>
    <w:uiPriority w:val="99"/>
    <w:rsid w:val="00500C6E"/>
    <w:rPr>
      <w:rFonts w:ascii="Verdana" w:hAnsi="Verdana" w:cs="Verdana"/>
      <w:sz w:val="20"/>
      <w:szCs w:val="20"/>
      <w:lang w:val="en-US" w:eastAsia="en-US"/>
    </w:rPr>
  </w:style>
  <w:style w:type="character" w:customStyle="1" w:styleId="MaryChar">
    <w:name w:val="Mary обычн без отступа Char"/>
    <w:uiPriority w:val="99"/>
    <w:rsid w:val="00500C6E"/>
    <w:rPr>
      <w:sz w:val="24"/>
      <w:lang w:val="ru-RU" w:eastAsia="ru-RU"/>
    </w:rPr>
  </w:style>
  <w:style w:type="paragraph" w:customStyle="1" w:styleId="01">
    <w:name w:val="ДГИЭС01"/>
    <w:basedOn w:val="a0"/>
    <w:uiPriority w:val="99"/>
    <w:rsid w:val="00500C6E"/>
    <w:pPr>
      <w:ind w:firstLine="720"/>
      <w:jc w:val="both"/>
    </w:pPr>
    <w:rPr>
      <w:color w:val="000000"/>
      <w:sz w:val="28"/>
      <w:szCs w:val="20"/>
    </w:rPr>
  </w:style>
  <w:style w:type="paragraph" w:customStyle="1" w:styleId="Char">
    <w:name w:val="Char Знак Знак Знак Знак"/>
    <w:basedOn w:val="a0"/>
    <w:uiPriority w:val="99"/>
    <w:rsid w:val="00500C6E"/>
    <w:pPr>
      <w:widowControl w:val="0"/>
      <w:adjustRightInd w:val="0"/>
      <w:spacing w:after="160" w:line="240" w:lineRule="exact"/>
      <w:jc w:val="right"/>
    </w:pPr>
    <w:rPr>
      <w:sz w:val="20"/>
      <w:szCs w:val="20"/>
      <w:lang w:val="en-GB" w:eastAsia="en-US"/>
    </w:rPr>
  </w:style>
  <w:style w:type="paragraph" w:customStyle="1" w:styleId="Normal2">
    <w:name w:val="Normal2"/>
    <w:uiPriority w:val="99"/>
    <w:rsid w:val="00500C6E"/>
    <w:pPr>
      <w:widowControl w:val="0"/>
      <w:spacing w:before="20" w:after="120" w:line="300" w:lineRule="auto"/>
      <w:ind w:firstLine="840"/>
      <w:jc w:val="both"/>
    </w:pPr>
    <w:rPr>
      <w:rFonts w:ascii="Times New Roman" w:eastAsia="Times New Roman" w:hAnsi="Times New Roman"/>
      <w:sz w:val="24"/>
    </w:rPr>
  </w:style>
  <w:style w:type="paragraph" w:customStyle="1" w:styleId="Iauiue">
    <w:name w:val="Iau?iue"/>
    <w:uiPriority w:val="99"/>
    <w:rsid w:val="00500C6E"/>
    <w:pPr>
      <w:overflowPunct w:val="0"/>
      <w:adjustRightInd w:val="0"/>
      <w:spacing w:before="20" w:after="120" w:line="360" w:lineRule="exact"/>
      <w:ind w:firstLine="709"/>
    </w:pPr>
    <w:rPr>
      <w:rFonts w:ascii="Times New Roman" w:eastAsia="Times New Roman" w:hAnsi="Times New Roman"/>
    </w:rPr>
  </w:style>
  <w:style w:type="paragraph" w:customStyle="1" w:styleId="BodyText21">
    <w:name w:val="Body Text 21"/>
    <w:basedOn w:val="a0"/>
    <w:uiPriority w:val="99"/>
    <w:rsid w:val="00500C6E"/>
    <w:pPr>
      <w:autoSpaceDE w:val="0"/>
      <w:autoSpaceDN w:val="0"/>
      <w:spacing w:line="360" w:lineRule="auto"/>
      <w:jc w:val="both"/>
    </w:pPr>
    <w:rPr>
      <w:rFonts w:ascii="Arial" w:hAnsi="Arial"/>
      <w:sz w:val="28"/>
      <w:szCs w:val="20"/>
    </w:rPr>
  </w:style>
  <w:style w:type="paragraph" w:styleId="afffa">
    <w:name w:val="Block Text"/>
    <w:basedOn w:val="a0"/>
    <w:uiPriority w:val="99"/>
    <w:rsid w:val="00500C6E"/>
    <w:pPr>
      <w:snapToGrid w:val="0"/>
      <w:spacing w:line="360" w:lineRule="auto"/>
      <w:ind w:left="159" w:right="799" w:firstLine="561"/>
      <w:jc w:val="both"/>
    </w:pPr>
    <w:rPr>
      <w:sz w:val="26"/>
      <w:szCs w:val="20"/>
    </w:rPr>
  </w:style>
  <w:style w:type="paragraph" w:customStyle="1" w:styleId="Iniiaiieoaeno">
    <w:name w:val="Iniiaiie oaeno"/>
    <w:basedOn w:val="a0"/>
    <w:uiPriority w:val="99"/>
    <w:rsid w:val="00500C6E"/>
    <w:pPr>
      <w:widowControl w:val="0"/>
      <w:jc w:val="both"/>
    </w:pPr>
    <w:rPr>
      <w:szCs w:val="20"/>
      <w:lang w:eastAsia="en-US"/>
    </w:rPr>
  </w:style>
  <w:style w:type="table" w:styleId="1c">
    <w:name w:val="Table Grid 1"/>
    <w:basedOn w:val="a2"/>
    <w:uiPriority w:val="99"/>
    <w:rsid w:val="00500C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BodyTextIndent21">
    <w:name w:val="Body Text Indent 21"/>
    <w:basedOn w:val="a0"/>
    <w:uiPriority w:val="99"/>
    <w:rsid w:val="00500C6E"/>
    <w:pPr>
      <w:overflowPunct w:val="0"/>
      <w:autoSpaceDE w:val="0"/>
      <w:autoSpaceDN w:val="0"/>
      <w:adjustRightInd w:val="0"/>
      <w:spacing w:line="360" w:lineRule="auto"/>
      <w:jc w:val="both"/>
      <w:textAlignment w:val="baseline"/>
    </w:pPr>
    <w:rPr>
      <w:sz w:val="28"/>
      <w:szCs w:val="20"/>
    </w:rPr>
  </w:style>
  <w:style w:type="paragraph" w:customStyle="1" w:styleId="consplustitle">
    <w:name w:val="consplustitle"/>
    <w:basedOn w:val="a0"/>
    <w:uiPriority w:val="99"/>
    <w:rsid w:val="00500C6E"/>
    <w:pPr>
      <w:autoSpaceDE w:val="0"/>
      <w:autoSpaceDN w:val="0"/>
    </w:pPr>
    <w:rPr>
      <w:rFonts w:ascii="Arial" w:hAnsi="Arial" w:cs="Arial"/>
      <w:b/>
      <w:bCs/>
      <w:sz w:val="20"/>
      <w:szCs w:val="20"/>
    </w:rPr>
  </w:style>
  <w:style w:type="character" w:styleId="afffb">
    <w:name w:val="FollowedHyperlink"/>
    <w:uiPriority w:val="99"/>
    <w:rsid w:val="00500C6E"/>
    <w:rPr>
      <w:rFonts w:cs="Times New Roman"/>
      <w:color w:val="800080"/>
      <w:u w:val="single"/>
    </w:rPr>
  </w:style>
  <w:style w:type="paragraph" w:customStyle="1" w:styleId="CG-Title-Left-Bold">
    <w:name w:val="CG-Title-Left-Bold"/>
    <w:aliases w:val="t3"/>
    <w:basedOn w:val="a0"/>
    <w:next w:val="a0"/>
    <w:uiPriority w:val="99"/>
    <w:rsid w:val="00500C6E"/>
    <w:pPr>
      <w:keepNext/>
      <w:spacing w:after="240"/>
    </w:pPr>
    <w:rPr>
      <w:b/>
      <w:szCs w:val="20"/>
      <w:lang w:val="en-GB" w:eastAsia="en-US"/>
    </w:rPr>
  </w:style>
  <w:style w:type="paragraph" w:customStyle="1" w:styleId="1d">
    <w:name w:val="Знак1 Знак Знак Знак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1e">
    <w:name w:val="1"/>
    <w:basedOn w:val="a0"/>
    <w:next w:val="aff2"/>
    <w:uiPriority w:val="99"/>
    <w:rsid w:val="00500C6E"/>
    <w:pPr>
      <w:spacing w:after="168"/>
    </w:pPr>
    <w:rPr>
      <w:rFonts w:ascii="Arial Unicode MS" w:eastAsia="Calibri" w:hAnsi="Arial Unicode MS" w:cs="Arial Unicode MS"/>
    </w:rPr>
  </w:style>
  <w:style w:type="paragraph" w:customStyle="1" w:styleId="afffc">
    <w:name w:val="Табл_заголовок"/>
    <w:basedOn w:val="a0"/>
    <w:autoRedefine/>
    <w:uiPriority w:val="99"/>
    <w:rsid w:val="00500C6E"/>
    <w:pPr>
      <w:jc w:val="center"/>
    </w:pPr>
    <w:rPr>
      <w:b/>
      <w:szCs w:val="20"/>
    </w:rPr>
  </w:style>
  <w:style w:type="character" w:customStyle="1" w:styleId="Char0">
    <w:name w:val="Char"/>
    <w:uiPriority w:val="99"/>
    <w:rsid w:val="00500C6E"/>
    <w:rPr>
      <w:rFonts w:ascii="Arial" w:hAnsi="Arial"/>
      <w:b/>
      <w:sz w:val="26"/>
      <w:lang w:val="ru-RU" w:eastAsia="ru-RU"/>
    </w:rPr>
  </w:style>
  <w:style w:type="paragraph" w:customStyle="1" w:styleId="1f">
    <w:name w:val="Знак1 Знак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0"/>
    <w:uiPriority w:val="99"/>
    <w:rsid w:val="00500C6E"/>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0"/>
    <w:uiPriority w:val="99"/>
    <w:rsid w:val="00500C6E"/>
    <w:pPr>
      <w:jc w:val="both"/>
    </w:pPr>
    <w:rPr>
      <w:sz w:val="28"/>
      <w:szCs w:val="20"/>
    </w:rPr>
  </w:style>
  <w:style w:type="paragraph" w:customStyle="1" w:styleId="xl24">
    <w:name w:val="xl24"/>
    <w:basedOn w:val="a0"/>
    <w:uiPriority w:val="99"/>
    <w:rsid w:val="00500C6E"/>
    <w:pPr>
      <w:spacing w:before="100" w:beforeAutospacing="1" w:after="100" w:afterAutospacing="1"/>
      <w:jc w:val="center"/>
    </w:pPr>
    <w:rPr>
      <w:rFonts w:eastAsia="Calibri"/>
    </w:rPr>
  </w:style>
  <w:style w:type="paragraph" w:customStyle="1" w:styleId="130">
    <w:name w:val="Обычный + 13 пт"/>
    <w:aliases w:val="По ширине,Первая строка:  1,25 см,полужирный,Обычный + 13 pt,по ширине"/>
    <w:basedOn w:val="a0"/>
    <w:uiPriority w:val="99"/>
    <w:rsid w:val="00500C6E"/>
    <w:pPr>
      <w:jc w:val="both"/>
    </w:pPr>
    <w:rPr>
      <w:sz w:val="26"/>
      <w:szCs w:val="26"/>
    </w:rPr>
  </w:style>
  <w:style w:type="paragraph" w:customStyle="1" w:styleId="AAA">
    <w:name w:val="! AAA !"/>
    <w:uiPriority w:val="99"/>
    <w:rsid w:val="00500C6E"/>
    <w:pPr>
      <w:spacing w:before="20" w:after="120" w:line="360" w:lineRule="exact"/>
      <w:ind w:firstLine="709"/>
      <w:jc w:val="both"/>
    </w:pPr>
    <w:rPr>
      <w:rFonts w:ascii="Times New Roman" w:eastAsia="Times New Roman" w:hAnsi="Times New Roman"/>
      <w:sz w:val="24"/>
      <w:szCs w:val="16"/>
    </w:rPr>
  </w:style>
  <w:style w:type="paragraph" w:customStyle="1" w:styleId="afffd">
    <w:name w:val="Список Г"/>
    <w:basedOn w:val="a0"/>
    <w:uiPriority w:val="99"/>
    <w:rsid w:val="00500C6E"/>
    <w:pPr>
      <w:tabs>
        <w:tab w:val="num" w:pos="363"/>
        <w:tab w:val="left" w:pos="4320"/>
      </w:tabs>
      <w:ind w:left="363" w:hanging="363"/>
      <w:jc w:val="both"/>
    </w:pPr>
    <w:rPr>
      <w:bCs/>
      <w:color w:val="000000"/>
      <w:sz w:val="26"/>
      <w:szCs w:val="26"/>
    </w:rPr>
  </w:style>
  <w:style w:type="paragraph" w:customStyle="1" w:styleId="1f0">
    <w:name w:val="пнкт1"/>
    <w:basedOn w:val="a0"/>
    <w:uiPriority w:val="99"/>
    <w:rsid w:val="00500C6E"/>
    <w:pPr>
      <w:tabs>
        <w:tab w:val="num" w:pos="720"/>
      </w:tabs>
      <w:ind w:left="720" w:hanging="360"/>
      <w:jc w:val="both"/>
    </w:pPr>
  </w:style>
  <w:style w:type="paragraph" w:styleId="2d">
    <w:name w:val="Body Text First Indent 2"/>
    <w:basedOn w:val="a8"/>
    <w:link w:val="2e"/>
    <w:uiPriority w:val="99"/>
    <w:rsid w:val="00500C6E"/>
    <w:pPr>
      <w:keepNext/>
      <w:keepLines/>
      <w:widowControl w:val="0"/>
      <w:ind w:right="-108" w:firstLine="210"/>
      <w:jc w:val="both"/>
    </w:pPr>
  </w:style>
  <w:style w:type="character" w:customStyle="1" w:styleId="2e">
    <w:name w:val="Красная строка 2 Знак"/>
    <w:link w:val="2d"/>
    <w:uiPriority w:val="99"/>
    <w:locked/>
    <w:rsid w:val="00500C6E"/>
    <w:rPr>
      <w:rFonts w:ascii="Times New Roman" w:hAnsi="Times New Roman" w:cs="Times New Roman"/>
      <w:sz w:val="24"/>
    </w:rPr>
  </w:style>
  <w:style w:type="paragraph" w:customStyle="1" w:styleId="CharCharChar">
    <w:name w:val="Char Char Char"/>
    <w:basedOn w:val="a0"/>
    <w:uiPriority w:val="99"/>
    <w:rsid w:val="00500C6E"/>
    <w:pPr>
      <w:jc w:val="both"/>
    </w:pPr>
    <w:rPr>
      <w:rFonts w:ascii="Verdana" w:hAnsi="Verdana" w:cs="Verdana"/>
      <w:sz w:val="20"/>
      <w:szCs w:val="20"/>
      <w:lang w:val="en-US" w:eastAsia="en-US"/>
    </w:rPr>
  </w:style>
  <w:style w:type="paragraph" w:customStyle="1" w:styleId="2110">
    <w:name w:val="Знак2 Знак Знак1 Знак1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53">
    <w:name w:val="Знак5"/>
    <w:basedOn w:val="a0"/>
    <w:uiPriority w:val="99"/>
    <w:rsid w:val="00500C6E"/>
    <w:pPr>
      <w:spacing w:after="160" w:line="240" w:lineRule="exact"/>
    </w:pPr>
    <w:rPr>
      <w:rFonts w:ascii="Verdana" w:hAnsi="Verdana"/>
      <w:sz w:val="20"/>
      <w:szCs w:val="20"/>
      <w:lang w:val="en-US" w:eastAsia="en-US"/>
    </w:rPr>
  </w:style>
  <w:style w:type="character" w:customStyle="1" w:styleId="410">
    <w:name w:val="Заголовок 4 Знак1 Знак"/>
    <w:aliases w:val="Знак1 Знак1"/>
    <w:uiPriority w:val="99"/>
    <w:rsid w:val="00500C6E"/>
    <w:rPr>
      <w:b/>
      <w:sz w:val="28"/>
      <w:lang w:val="ru-RU" w:eastAsia="ru-RU"/>
    </w:rPr>
  </w:style>
  <w:style w:type="paragraph" w:customStyle="1" w:styleId="2111">
    <w:name w:val="Знак2 Знак Знак1 Знак1 Знак Знак Знак Знак Знак Знак Знак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rvps140">
    <w:name w:val="rvps140"/>
    <w:basedOn w:val="a0"/>
    <w:uiPriority w:val="99"/>
    <w:rsid w:val="00500C6E"/>
    <w:rPr>
      <w:rFonts w:ascii="Arial Unicode MS" w:eastAsia="Calibri" w:hAnsi="Arial Unicode MS" w:cs="Arial Unicode MS"/>
    </w:rPr>
  </w:style>
  <w:style w:type="paragraph" w:customStyle="1" w:styleId="CharChar0">
    <w:name w:val="Char Знак Знак Char"/>
    <w:basedOn w:val="a0"/>
    <w:uiPriority w:val="99"/>
    <w:rsid w:val="00500C6E"/>
    <w:pPr>
      <w:spacing w:after="160" w:line="240" w:lineRule="exact"/>
    </w:pPr>
    <w:rPr>
      <w:rFonts w:ascii="Verdana" w:hAnsi="Verdana"/>
      <w:sz w:val="20"/>
      <w:szCs w:val="20"/>
      <w:lang w:val="en-US" w:eastAsia="en-US"/>
    </w:rPr>
  </w:style>
  <w:style w:type="character" w:customStyle="1" w:styleId="FootnoteTextCharCh">
    <w:name w:val="Footnote Text Char Знак Ch"/>
    <w:uiPriority w:val="99"/>
    <w:locked/>
    <w:rsid w:val="00500C6E"/>
    <w:rPr>
      <w:lang w:val="ru-RU" w:eastAsia="ru-RU"/>
    </w:rPr>
  </w:style>
  <w:style w:type="paragraph" w:customStyle="1" w:styleId="2f">
    <w:name w:val="Обычный (веб)2"/>
    <w:basedOn w:val="a0"/>
    <w:uiPriority w:val="99"/>
    <w:rsid w:val="00500C6E"/>
    <w:pPr>
      <w:jc w:val="both"/>
    </w:pPr>
    <w:rPr>
      <w:rFonts w:ascii="Verdana" w:eastAsia="Calibri" w:hAnsi="Verdana"/>
      <w:color w:val="000000"/>
      <w:sz w:val="13"/>
      <w:szCs w:val="20"/>
    </w:rPr>
  </w:style>
  <w:style w:type="paragraph" w:customStyle="1" w:styleId="BodyTextIndent1">
    <w:name w:val="Body Text Indent.Основной текст 1.Нумерованный список !!.Надин стиль"/>
    <w:basedOn w:val="a0"/>
    <w:uiPriority w:val="99"/>
    <w:rsid w:val="00500C6E"/>
    <w:pPr>
      <w:ind w:left="360"/>
    </w:pPr>
    <w:rPr>
      <w:szCs w:val="20"/>
    </w:rPr>
  </w:style>
  <w:style w:type="paragraph" w:customStyle="1" w:styleId="afffe">
    <w:name w:val="Нормальный"/>
    <w:basedOn w:val="a0"/>
    <w:uiPriority w:val="99"/>
    <w:rsid w:val="00500C6E"/>
    <w:pPr>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00C6E"/>
    <w:pPr>
      <w:spacing w:before="100" w:beforeAutospacing="1" w:after="100" w:afterAutospacing="1"/>
    </w:pPr>
    <w:rPr>
      <w:rFonts w:ascii="Tahoma" w:hAnsi="Tahoma"/>
      <w:sz w:val="20"/>
      <w:szCs w:val="20"/>
      <w:lang w:val="en-US" w:eastAsia="en-US"/>
    </w:rPr>
  </w:style>
  <w:style w:type="paragraph" w:customStyle="1" w:styleId="affff">
    <w:name w:val="Стиль"/>
    <w:uiPriority w:val="99"/>
    <w:rsid w:val="00500C6E"/>
    <w:pPr>
      <w:widowControl w:val="0"/>
      <w:autoSpaceDE w:val="0"/>
      <w:autoSpaceDN w:val="0"/>
      <w:adjustRightInd w:val="0"/>
      <w:spacing w:before="20" w:after="120" w:line="360" w:lineRule="exact"/>
      <w:ind w:firstLine="709"/>
    </w:pPr>
    <w:rPr>
      <w:rFonts w:ascii="Times New Roman" w:eastAsia="Times New Roman" w:hAnsi="Times New Roman"/>
      <w:sz w:val="24"/>
      <w:szCs w:val="24"/>
    </w:rPr>
  </w:style>
  <w:style w:type="paragraph" w:customStyle="1" w:styleId="ConsPlusTitle0">
    <w:name w:val="ConsPlusTitle"/>
    <w:uiPriority w:val="99"/>
    <w:rsid w:val="00500C6E"/>
    <w:pPr>
      <w:widowControl w:val="0"/>
      <w:autoSpaceDE w:val="0"/>
      <w:autoSpaceDN w:val="0"/>
      <w:adjustRightInd w:val="0"/>
      <w:spacing w:before="20" w:after="120" w:line="360" w:lineRule="exact"/>
      <w:ind w:firstLine="709"/>
    </w:pPr>
    <w:rPr>
      <w:rFonts w:ascii="Arial" w:eastAsia="Times New Roman" w:hAnsi="Arial"/>
      <w:b/>
    </w:rPr>
  </w:style>
  <w:style w:type="paragraph" w:customStyle="1" w:styleId="111">
    <w:name w:val="Знак1 Знак Знак Знак1 Знак Знак Знак"/>
    <w:basedOn w:val="a0"/>
    <w:uiPriority w:val="99"/>
    <w:rsid w:val="00500C6E"/>
    <w:rPr>
      <w:rFonts w:ascii="Verdana" w:hAnsi="Verdana" w:cs="Verdana"/>
      <w:sz w:val="20"/>
      <w:szCs w:val="20"/>
      <w:lang w:val="en-US" w:eastAsia="en-US"/>
    </w:rPr>
  </w:style>
  <w:style w:type="paragraph" w:customStyle="1" w:styleId="1f1">
    <w:name w:val="Обычный1"/>
    <w:uiPriority w:val="99"/>
    <w:rsid w:val="00500C6E"/>
    <w:pPr>
      <w:spacing w:before="20" w:after="120" w:line="360" w:lineRule="exact"/>
      <w:ind w:firstLine="709"/>
    </w:pPr>
    <w:rPr>
      <w:rFonts w:ascii="Times New Roman" w:eastAsia="Times New Roman" w:hAnsi="Times New Roman"/>
    </w:rPr>
  </w:style>
  <w:style w:type="paragraph" w:customStyle="1" w:styleId="12-1">
    <w:name w:val="Стиль12-1"/>
    <w:basedOn w:val="a0"/>
    <w:uiPriority w:val="99"/>
    <w:rsid w:val="00500C6E"/>
    <w:pPr>
      <w:jc w:val="both"/>
    </w:pPr>
  </w:style>
  <w:style w:type="paragraph" w:customStyle="1" w:styleId="54">
    <w:name w:val="çàãîëîâîê 5"/>
    <w:uiPriority w:val="99"/>
    <w:rsid w:val="00500C6E"/>
    <w:pPr>
      <w:keepNext/>
      <w:spacing w:before="20" w:after="120" w:line="360" w:lineRule="exact"/>
      <w:ind w:firstLine="720"/>
      <w:jc w:val="both"/>
    </w:pPr>
    <w:rPr>
      <w:rFonts w:ascii="Times New Roman" w:eastAsia="Times New Roman" w:hAnsi="Times New Roman"/>
      <w:sz w:val="28"/>
    </w:rPr>
  </w:style>
  <w:style w:type="paragraph" w:customStyle="1" w:styleId="312">
    <w:name w:val="Основной текст с отступом 31"/>
    <w:basedOn w:val="a0"/>
    <w:uiPriority w:val="99"/>
    <w:rsid w:val="00500C6E"/>
    <w:pPr>
      <w:widowControl w:val="0"/>
      <w:ind w:firstLine="708"/>
      <w:jc w:val="both"/>
    </w:pPr>
    <w:rPr>
      <w:szCs w:val="20"/>
    </w:rPr>
  </w:style>
  <w:style w:type="paragraph" w:customStyle="1" w:styleId="140">
    <w:name w:val="Стиль 14 пт Синий По ширине"/>
    <w:basedOn w:val="a0"/>
    <w:autoRedefine/>
    <w:uiPriority w:val="99"/>
    <w:rsid w:val="00500C6E"/>
    <w:pPr>
      <w:jc w:val="both"/>
    </w:pPr>
    <w:rPr>
      <w:color w:val="0000FF"/>
      <w:sz w:val="28"/>
      <w:szCs w:val="20"/>
    </w:rPr>
  </w:style>
  <w:style w:type="paragraph" w:customStyle="1" w:styleId="131">
    <w:name w:val="Стиль 13 пт Синий По ширине"/>
    <w:basedOn w:val="a0"/>
    <w:uiPriority w:val="99"/>
    <w:rsid w:val="00500C6E"/>
    <w:pPr>
      <w:jc w:val="both"/>
    </w:pPr>
    <w:rPr>
      <w:color w:val="0000FF"/>
      <w:sz w:val="26"/>
      <w:szCs w:val="20"/>
    </w:rPr>
  </w:style>
  <w:style w:type="paragraph" w:customStyle="1" w:styleId="affff0">
    <w:name w:val="Стиль Список с кружком + Синий"/>
    <w:basedOn w:val="a"/>
    <w:uiPriority w:val="99"/>
    <w:rsid w:val="00500C6E"/>
    <w:pPr>
      <w:numPr>
        <w:numId w:val="0"/>
      </w:numPr>
      <w:tabs>
        <w:tab w:val="num" w:pos="-1"/>
      </w:tabs>
      <w:ind w:left="568" w:hanging="284"/>
      <w:jc w:val="both"/>
    </w:pPr>
    <w:rPr>
      <w:color w:val="0000FF"/>
      <w:sz w:val="26"/>
    </w:rPr>
  </w:style>
  <w:style w:type="paragraph" w:customStyle="1" w:styleId="affff1">
    <w:name w:val="Спецом Справочно"/>
    <w:basedOn w:val="a0"/>
    <w:autoRedefine/>
    <w:uiPriority w:val="99"/>
    <w:rsid w:val="00500C6E"/>
    <w:pPr>
      <w:suppressAutoHyphens/>
      <w:ind w:left="-119"/>
      <w:jc w:val="both"/>
    </w:pPr>
    <w:rPr>
      <w:sz w:val="28"/>
      <w:szCs w:val="28"/>
      <w:lang w:eastAsia="ar-SA"/>
    </w:rPr>
  </w:style>
  <w:style w:type="paragraph" w:customStyle="1" w:styleId="affff2">
    <w:name w:val="Оформление мониторинга"/>
    <w:basedOn w:val="a0"/>
    <w:link w:val="affff3"/>
    <w:uiPriority w:val="99"/>
    <w:rsid w:val="00500C6E"/>
    <w:pPr>
      <w:spacing w:line="300" w:lineRule="exact"/>
      <w:jc w:val="both"/>
    </w:pPr>
    <w:rPr>
      <w:rFonts w:eastAsia="Calibri"/>
      <w:sz w:val="26"/>
      <w:szCs w:val="20"/>
    </w:rPr>
  </w:style>
  <w:style w:type="character" w:customStyle="1" w:styleId="affff3">
    <w:name w:val="Оформление мониторинга Знак"/>
    <w:link w:val="affff2"/>
    <w:uiPriority w:val="99"/>
    <w:locked/>
    <w:rsid w:val="00500C6E"/>
    <w:rPr>
      <w:rFonts w:ascii="Times New Roman" w:hAnsi="Times New Roman"/>
      <w:sz w:val="26"/>
    </w:rPr>
  </w:style>
  <w:style w:type="paragraph" w:customStyle="1" w:styleId="Style2">
    <w:name w:val="Style2"/>
    <w:basedOn w:val="a0"/>
    <w:uiPriority w:val="99"/>
    <w:rsid w:val="00500C6E"/>
    <w:pPr>
      <w:widowControl w:val="0"/>
      <w:autoSpaceDE w:val="0"/>
      <w:autoSpaceDN w:val="0"/>
      <w:adjustRightInd w:val="0"/>
      <w:spacing w:line="275" w:lineRule="exact"/>
    </w:pPr>
  </w:style>
  <w:style w:type="character" w:customStyle="1" w:styleId="FontStyle12">
    <w:name w:val="Font Style12"/>
    <w:uiPriority w:val="99"/>
    <w:rsid w:val="00500C6E"/>
    <w:rPr>
      <w:rFonts w:ascii="Times New Roman" w:hAnsi="Times New Roman"/>
      <w:sz w:val="24"/>
    </w:rPr>
  </w:style>
  <w:style w:type="paragraph" w:customStyle="1" w:styleId="1f2">
    <w:name w:val="Абзац списка1"/>
    <w:basedOn w:val="a0"/>
    <w:uiPriority w:val="99"/>
    <w:rsid w:val="00500C6E"/>
    <w:pPr>
      <w:ind w:left="720"/>
      <w:contextualSpacing/>
    </w:pPr>
    <w:rPr>
      <w:rFonts w:eastAsia="Calibri"/>
    </w:rPr>
  </w:style>
  <w:style w:type="paragraph" w:customStyle="1" w:styleId="rtejustify">
    <w:name w:val="rtejustify"/>
    <w:basedOn w:val="a0"/>
    <w:uiPriority w:val="99"/>
    <w:rsid w:val="00500C6E"/>
    <w:pPr>
      <w:spacing w:before="100" w:beforeAutospacing="1" w:after="100" w:afterAutospacing="1"/>
    </w:pPr>
  </w:style>
  <w:style w:type="table" w:customStyle="1" w:styleId="1f3">
    <w:name w:val="Сетка таблицы1"/>
    <w:uiPriority w:val="99"/>
    <w:rsid w:val="00500C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 Знак Знак Знак Знак1 Знак"/>
    <w:basedOn w:val="a0"/>
    <w:uiPriority w:val="99"/>
    <w:rsid w:val="00500C6E"/>
    <w:pPr>
      <w:spacing w:after="160" w:line="240" w:lineRule="exact"/>
    </w:pPr>
    <w:rPr>
      <w:rFonts w:ascii="Verdana" w:hAnsi="Verdana"/>
      <w:lang w:val="en-US" w:eastAsia="en-US"/>
    </w:rPr>
  </w:style>
  <w:style w:type="character" w:customStyle="1" w:styleId="apple-converted-space">
    <w:name w:val="apple-converted-space"/>
    <w:uiPriority w:val="99"/>
    <w:rsid w:val="00500C6E"/>
    <w:rPr>
      <w:rFonts w:cs="Times New Roman"/>
    </w:rPr>
  </w:style>
  <w:style w:type="paragraph" w:customStyle="1" w:styleId="Style51">
    <w:name w:val="Style51"/>
    <w:basedOn w:val="a0"/>
    <w:uiPriority w:val="99"/>
    <w:rsid w:val="00500C6E"/>
    <w:pPr>
      <w:widowControl w:val="0"/>
      <w:autoSpaceDE w:val="0"/>
      <w:autoSpaceDN w:val="0"/>
      <w:adjustRightInd w:val="0"/>
      <w:spacing w:line="315" w:lineRule="exact"/>
      <w:ind w:firstLine="533"/>
      <w:jc w:val="both"/>
    </w:pPr>
    <w:rPr>
      <w:rFonts w:ascii="Century Schoolbook" w:hAnsi="Century Schoolbook"/>
    </w:rPr>
  </w:style>
  <w:style w:type="character" w:customStyle="1" w:styleId="FontStyle444">
    <w:name w:val="Font Style444"/>
    <w:uiPriority w:val="99"/>
    <w:rsid w:val="00500C6E"/>
    <w:rPr>
      <w:rFonts w:ascii="Times New Roman" w:hAnsi="Times New Roman"/>
      <w:b/>
      <w:sz w:val="26"/>
    </w:rPr>
  </w:style>
  <w:style w:type="character" w:customStyle="1" w:styleId="FontStyle502">
    <w:name w:val="Font Style502"/>
    <w:uiPriority w:val="99"/>
    <w:rsid w:val="00500C6E"/>
    <w:rPr>
      <w:rFonts w:ascii="Times New Roman" w:hAnsi="Times New Roman"/>
      <w:sz w:val="26"/>
    </w:rPr>
  </w:style>
  <w:style w:type="paragraph" w:customStyle="1" w:styleId="Style19">
    <w:name w:val="Style19"/>
    <w:basedOn w:val="a0"/>
    <w:uiPriority w:val="99"/>
    <w:rsid w:val="00500C6E"/>
    <w:pPr>
      <w:widowControl w:val="0"/>
      <w:autoSpaceDE w:val="0"/>
      <w:autoSpaceDN w:val="0"/>
      <w:adjustRightInd w:val="0"/>
      <w:jc w:val="center"/>
    </w:pPr>
    <w:rPr>
      <w:rFonts w:ascii="Century Schoolbook" w:hAnsi="Century Schoolbook"/>
    </w:rPr>
  </w:style>
  <w:style w:type="character" w:customStyle="1" w:styleId="Heading2Char2">
    <w:name w:val="Heading 2 Char2"/>
    <w:aliases w:val="Знак3 Char2"/>
    <w:uiPriority w:val="99"/>
    <w:locked/>
    <w:rsid w:val="00500C6E"/>
    <w:rPr>
      <w:rFonts w:ascii="Times New Roman" w:hAnsi="Times New Roman"/>
      <w:b/>
      <w:sz w:val="28"/>
      <w:lang w:eastAsia="ru-RU"/>
    </w:rPr>
  </w:style>
  <w:style w:type="paragraph" w:customStyle="1" w:styleId="1f5">
    <w:name w:val="Без интервала1"/>
    <w:uiPriority w:val="99"/>
    <w:rsid w:val="00500C6E"/>
    <w:pPr>
      <w:spacing w:before="20" w:after="120" w:line="360" w:lineRule="exact"/>
      <w:ind w:firstLine="709"/>
      <w:jc w:val="both"/>
    </w:pPr>
    <w:rPr>
      <w:rFonts w:ascii="Times New Roman" w:hAnsi="Times New Roman"/>
      <w:sz w:val="28"/>
      <w:szCs w:val="28"/>
      <w:lang w:eastAsia="en-US"/>
    </w:rPr>
  </w:style>
  <w:style w:type="paragraph" w:styleId="affff4">
    <w:name w:val="caption"/>
    <w:basedOn w:val="a0"/>
    <w:next w:val="a0"/>
    <w:uiPriority w:val="99"/>
    <w:qFormat/>
    <w:rsid w:val="00500C6E"/>
    <w:pPr>
      <w:spacing w:line="360" w:lineRule="auto"/>
      <w:jc w:val="both"/>
    </w:pPr>
    <w:rPr>
      <w:bCs/>
      <w:sz w:val="26"/>
      <w:szCs w:val="18"/>
    </w:rPr>
  </w:style>
  <w:style w:type="character" w:customStyle="1" w:styleId="FontStyle115">
    <w:name w:val="Font Style115"/>
    <w:uiPriority w:val="99"/>
    <w:rsid w:val="00500C6E"/>
    <w:rPr>
      <w:rFonts w:ascii="Times New Roman" w:hAnsi="Times New Roman"/>
      <w:sz w:val="24"/>
    </w:rPr>
  </w:style>
  <w:style w:type="paragraph" w:customStyle="1" w:styleId="std">
    <w:name w:val="std"/>
    <w:basedOn w:val="a0"/>
    <w:uiPriority w:val="99"/>
    <w:rsid w:val="00500C6E"/>
  </w:style>
  <w:style w:type="character" w:customStyle="1" w:styleId="msoins0">
    <w:name w:val="msoins0"/>
    <w:uiPriority w:val="99"/>
    <w:rsid w:val="00500C6E"/>
    <w:rPr>
      <w:rFonts w:cs="Times New Roman"/>
    </w:rPr>
  </w:style>
  <w:style w:type="character" w:customStyle="1" w:styleId="27">
    <w:name w:val="Обычный (веб) Знак2"/>
    <w:aliases w:val="Обычный (веб)1 Знак,Обычный (веб) Знак Знак1,Обычный (веб) Знак1 Знак,Обычный (веб) Знак Знак Знак1,Обычный (Web)1 Знак Знак,Обычный (Web) Знак,Обычный (Web)1 Знак1,Обычный (веб)11 Знак,Обычный (веб) Знак Знак Знак Знак"/>
    <w:link w:val="aff2"/>
    <w:uiPriority w:val="99"/>
    <w:locked/>
    <w:rsid w:val="00500C6E"/>
    <w:rPr>
      <w:sz w:val="24"/>
    </w:rPr>
  </w:style>
  <w:style w:type="paragraph" w:customStyle="1" w:styleId="Style105">
    <w:name w:val="Style105"/>
    <w:basedOn w:val="a0"/>
    <w:uiPriority w:val="99"/>
    <w:rsid w:val="00500C6E"/>
    <w:pPr>
      <w:widowControl w:val="0"/>
      <w:autoSpaceDE w:val="0"/>
      <w:autoSpaceDN w:val="0"/>
      <w:adjustRightInd w:val="0"/>
      <w:spacing w:line="481" w:lineRule="exact"/>
      <w:ind w:firstLine="907"/>
      <w:jc w:val="both"/>
    </w:pPr>
  </w:style>
  <w:style w:type="character" w:customStyle="1" w:styleId="FontStyle183">
    <w:name w:val="Font Style183"/>
    <w:uiPriority w:val="99"/>
    <w:rsid w:val="00500C6E"/>
    <w:rPr>
      <w:rFonts w:ascii="Times New Roman" w:hAnsi="Times New Roman"/>
      <w:b/>
      <w:sz w:val="26"/>
    </w:rPr>
  </w:style>
  <w:style w:type="character" w:customStyle="1" w:styleId="FontStyle11">
    <w:name w:val="Font Style11"/>
    <w:uiPriority w:val="99"/>
    <w:rsid w:val="00500C6E"/>
    <w:rPr>
      <w:rFonts w:ascii="Times New Roman" w:hAnsi="Times New Roman"/>
      <w:spacing w:val="20"/>
      <w:sz w:val="24"/>
    </w:rPr>
  </w:style>
  <w:style w:type="character" w:customStyle="1" w:styleId="FontStyle19">
    <w:name w:val="Font Style19"/>
    <w:uiPriority w:val="99"/>
    <w:rsid w:val="00500C6E"/>
    <w:rPr>
      <w:rFonts w:ascii="Times New Roman" w:hAnsi="Times New Roman"/>
      <w:sz w:val="28"/>
    </w:rPr>
  </w:style>
  <w:style w:type="character" w:customStyle="1" w:styleId="FontStyle14">
    <w:name w:val="Font Style14"/>
    <w:uiPriority w:val="99"/>
    <w:rsid w:val="00500C6E"/>
    <w:rPr>
      <w:rFonts w:ascii="Times New Roman" w:hAnsi="Times New Roman"/>
      <w:sz w:val="26"/>
    </w:rPr>
  </w:style>
  <w:style w:type="character" w:customStyle="1" w:styleId="affff5">
    <w:name w:val="Основной текст_"/>
    <w:link w:val="1f6"/>
    <w:uiPriority w:val="99"/>
    <w:locked/>
    <w:rsid w:val="00500C6E"/>
    <w:rPr>
      <w:sz w:val="28"/>
      <w:shd w:val="clear" w:color="auto" w:fill="FFFFFF"/>
    </w:rPr>
  </w:style>
  <w:style w:type="paragraph" w:customStyle="1" w:styleId="1f6">
    <w:name w:val="Основной текст1"/>
    <w:basedOn w:val="a0"/>
    <w:link w:val="affff5"/>
    <w:uiPriority w:val="99"/>
    <w:rsid w:val="00500C6E"/>
    <w:pPr>
      <w:shd w:val="clear" w:color="auto" w:fill="FFFFFF"/>
      <w:spacing w:line="240" w:lineRule="atLeast"/>
    </w:pPr>
    <w:rPr>
      <w:rFonts w:ascii="Calibri" w:eastAsia="Calibri" w:hAnsi="Calibri"/>
      <w:sz w:val="28"/>
      <w:szCs w:val="20"/>
    </w:rPr>
  </w:style>
  <w:style w:type="paragraph" w:customStyle="1" w:styleId="cont">
    <w:name w:val="cont"/>
    <w:basedOn w:val="a0"/>
    <w:uiPriority w:val="99"/>
    <w:rsid w:val="00500C6E"/>
    <w:pPr>
      <w:spacing w:before="100" w:beforeAutospacing="1" w:after="100" w:afterAutospacing="1"/>
    </w:pPr>
  </w:style>
  <w:style w:type="paragraph" w:styleId="44">
    <w:name w:val="toc 4"/>
    <w:basedOn w:val="a0"/>
    <w:next w:val="a0"/>
    <w:autoRedefine/>
    <w:uiPriority w:val="99"/>
    <w:semiHidden/>
    <w:rsid w:val="00500C6E"/>
    <w:pPr>
      <w:ind w:left="720"/>
    </w:pPr>
  </w:style>
  <w:style w:type="paragraph" w:styleId="55">
    <w:name w:val="toc 5"/>
    <w:basedOn w:val="a0"/>
    <w:next w:val="a0"/>
    <w:autoRedefine/>
    <w:uiPriority w:val="99"/>
    <w:semiHidden/>
    <w:rsid w:val="00500C6E"/>
    <w:pPr>
      <w:ind w:left="960"/>
    </w:pPr>
  </w:style>
  <w:style w:type="paragraph" w:styleId="62">
    <w:name w:val="toc 6"/>
    <w:basedOn w:val="a0"/>
    <w:next w:val="a0"/>
    <w:autoRedefine/>
    <w:uiPriority w:val="99"/>
    <w:semiHidden/>
    <w:rsid w:val="00500C6E"/>
    <w:pPr>
      <w:ind w:left="1200"/>
    </w:pPr>
  </w:style>
  <w:style w:type="paragraph" w:styleId="72">
    <w:name w:val="toc 7"/>
    <w:basedOn w:val="a0"/>
    <w:next w:val="a0"/>
    <w:autoRedefine/>
    <w:uiPriority w:val="99"/>
    <w:semiHidden/>
    <w:rsid w:val="00500C6E"/>
    <w:pPr>
      <w:ind w:left="1440"/>
    </w:pPr>
  </w:style>
  <w:style w:type="paragraph" w:styleId="82">
    <w:name w:val="toc 8"/>
    <w:basedOn w:val="a0"/>
    <w:next w:val="a0"/>
    <w:autoRedefine/>
    <w:uiPriority w:val="99"/>
    <w:semiHidden/>
    <w:rsid w:val="00500C6E"/>
    <w:pPr>
      <w:ind w:left="1680"/>
    </w:pPr>
  </w:style>
  <w:style w:type="paragraph" w:styleId="91">
    <w:name w:val="toc 9"/>
    <w:basedOn w:val="a0"/>
    <w:next w:val="a0"/>
    <w:autoRedefine/>
    <w:uiPriority w:val="99"/>
    <w:semiHidden/>
    <w:rsid w:val="00500C6E"/>
    <w:pPr>
      <w:ind w:left="1920"/>
    </w:pPr>
  </w:style>
  <w:style w:type="character" w:customStyle="1" w:styleId="NormalWebChar">
    <w:name w:val="Normal (Web) Char"/>
    <w:aliases w:val="Обычный (веб)1 Char,Обычный (веб) Знак Char,Обычный (веб) Знак1 Char,Обычный (веб) Знак Знак Char,Обычный (Web)1 Знак Char,Обычный (Web) Char,Обычный (Web)1 Char,Обычный (веб)11 Char,Обычный (веб) Знак Знак Знак Char"/>
    <w:uiPriority w:val="99"/>
    <w:locked/>
    <w:rsid w:val="00500C6E"/>
    <w:rPr>
      <w:rFonts w:ascii="Calibri" w:hAnsi="Calibri"/>
      <w:sz w:val="24"/>
      <w:lang w:eastAsia="ru-RU"/>
    </w:rPr>
  </w:style>
  <w:style w:type="paragraph" w:customStyle="1" w:styleId="ConsPlusCell">
    <w:name w:val="ConsPlusCell"/>
    <w:uiPriority w:val="99"/>
    <w:rsid w:val="00500C6E"/>
    <w:pPr>
      <w:autoSpaceDE w:val="0"/>
      <w:autoSpaceDN w:val="0"/>
      <w:adjustRightInd w:val="0"/>
      <w:spacing w:before="20" w:after="120" w:line="360" w:lineRule="exact"/>
      <w:ind w:firstLine="709"/>
    </w:pPr>
    <w:rPr>
      <w:rFonts w:ascii="Times New Roman" w:hAnsi="Times New Roman"/>
      <w:sz w:val="26"/>
      <w:szCs w:val="26"/>
    </w:rPr>
  </w:style>
  <w:style w:type="character" w:customStyle="1" w:styleId="FontStyle411">
    <w:name w:val="Font Style411"/>
    <w:uiPriority w:val="99"/>
    <w:rsid w:val="00500C6E"/>
    <w:rPr>
      <w:rFonts w:ascii="Times New Roman" w:hAnsi="Times New Roman"/>
      <w:sz w:val="24"/>
    </w:rPr>
  </w:style>
  <w:style w:type="paragraph" w:customStyle="1" w:styleId="Style9">
    <w:name w:val="Style9"/>
    <w:basedOn w:val="a0"/>
    <w:uiPriority w:val="99"/>
    <w:rsid w:val="00500C6E"/>
    <w:pPr>
      <w:widowControl w:val="0"/>
      <w:autoSpaceDE w:val="0"/>
      <w:autoSpaceDN w:val="0"/>
      <w:adjustRightInd w:val="0"/>
      <w:spacing w:line="358" w:lineRule="exact"/>
      <w:ind w:firstLine="691"/>
      <w:jc w:val="both"/>
    </w:pPr>
  </w:style>
  <w:style w:type="paragraph" w:customStyle="1" w:styleId="Style11">
    <w:name w:val="Style11"/>
    <w:basedOn w:val="a0"/>
    <w:uiPriority w:val="99"/>
    <w:rsid w:val="00500C6E"/>
    <w:pPr>
      <w:widowControl w:val="0"/>
      <w:autoSpaceDE w:val="0"/>
      <w:autoSpaceDN w:val="0"/>
      <w:adjustRightInd w:val="0"/>
      <w:spacing w:line="322" w:lineRule="exact"/>
    </w:pPr>
  </w:style>
  <w:style w:type="paragraph" w:customStyle="1" w:styleId="Style8">
    <w:name w:val="Style8"/>
    <w:basedOn w:val="a0"/>
    <w:uiPriority w:val="99"/>
    <w:rsid w:val="00500C6E"/>
    <w:pPr>
      <w:widowControl w:val="0"/>
      <w:autoSpaceDE w:val="0"/>
      <w:autoSpaceDN w:val="0"/>
      <w:adjustRightInd w:val="0"/>
    </w:pPr>
    <w:rPr>
      <w:rFonts w:eastAsia="Batang"/>
      <w:lang w:eastAsia="ko-KR"/>
    </w:rPr>
  </w:style>
  <w:style w:type="character" w:customStyle="1" w:styleId="FontStyle22">
    <w:name w:val="Font Style22"/>
    <w:uiPriority w:val="99"/>
    <w:rsid w:val="00500C6E"/>
    <w:rPr>
      <w:rFonts w:ascii="Times New Roman" w:hAnsi="Times New Roman"/>
      <w:sz w:val="28"/>
    </w:rPr>
  </w:style>
  <w:style w:type="character" w:customStyle="1" w:styleId="FontStyle193">
    <w:name w:val="Font Style193"/>
    <w:uiPriority w:val="99"/>
    <w:rsid w:val="00500C6E"/>
    <w:rPr>
      <w:rFonts w:ascii="Times New Roman" w:hAnsi="Times New Roman"/>
      <w:b/>
      <w:sz w:val="14"/>
    </w:rPr>
  </w:style>
  <w:style w:type="character" w:customStyle="1" w:styleId="FontStyle176">
    <w:name w:val="Font Style176"/>
    <w:uiPriority w:val="99"/>
    <w:rsid w:val="00500C6E"/>
    <w:rPr>
      <w:rFonts w:ascii="Times New Roman" w:hAnsi="Times New Roman"/>
      <w:sz w:val="22"/>
    </w:rPr>
  </w:style>
  <w:style w:type="paragraph" w:customStyle="1" w:styleId="04">
    <w:name w:val="04 Основной"/>
    <w:basedOn w:val="a0"/>
    <w:link w:val="040"/>
    <w:uiPriority w:val="99"/>
    <w:rsid w:val="00500C6E"/>
    <w:pPr>
      <w:jc w:val="both"/>
    </w:pPr>
    <w:rPr>
      <w:rFonts w:ascii="OfficinaSansCTT" w:eastAsia="Calibri" w:hAnsi="OfficinaSansCTT"/>
      <w:szCs w:val="20"/>
      <w:lang w:eastAsia="en-US"/>
    </w:rPr>
  </w:style>
  <w:style w:type="character" w:customStyle="1" w:styleId="040">
    <w:name w:val="04 Основной Знак"/>
    <w:link w:val="04"/>
    <w:uiPriority w:val="99"/>
    <w:locked/>
    <w:rsid w:val="00500C6E"/>
    <w:rPr>
      <w:rFonts w:ascii="OfficinaSansCTT" w:hAnsi="OfficinaSansCTT"/>
      <w:sz w:val="24"/>
      <w:lang w:eastAsia="en-US"/>
    </w:rPr>
  </w:style>
  <w:style w:type="paragraph" w:customStyle="1" w:styleId="affff6">
    <w:name w:val="Знак Знак Знак Знак Знак Знак Знак Знак Знак Знак Знак Знак Знак"/>
    <w:basedOn w:val="a0"/>
    <w:autoRedefine/>
    <w:uiPriority w:val="99"/>
    <w:rsid w:val="00500C6E"/>
    <w:pPr>
      <w:spacing w:after="160" w:line="240" w:lineRule="exact"/>
    </w:pPr>
    <w:rPr>
      <w:sz w:val="28"/>
      <w:szCs w:val="28"/>
      <w:lang w:val="en-US" w:eastAsia="en-US"/>
    </w:rPr>
  </w:style>
  <w:style w:type="paragraph" w:customStyle="1" w:styleId="p2">
    <w:name w:val="p2"/>
    <w:basedOn w:val="a0"/>
    <w:uiPriority w:val="99"/>
    <w:rsid w:val="00500C6E"/>
    <w:pPr>
      <w:spacing w:before="100" w:beforeAutospacing="1" w:after="100" w:afterAutospacing="1"/>
    </w:pPr>
  </w:style>
  <w:style w:type="paragraph" w:customStyle="1" w:styleId="affff7">
    <w:name w:val="Знак Знак Знак Знак Знак Знак Знак Знак Знак Знак"/>
    <w:basedOn w:val="a0"/>
    <w:autoRedefine/>
    <w:uiPriority w:val="99"/>
    <w:rsid w:val="00500C6E"/>
    <w:pPr>
      <w:spacing w:after="160" w:line="240" w:lineRule="exact"/>
    </w:pPr>
    <w:rPr>
      <w:sz w:val="28"/>
      <w:szCs w:val="20"/>
      <w:lang w:val="en-US" w:eastAsia="en-US"/>
    </w:rPr>
  </w:style>
  <w:style w:type="paragraph" w:customStyle="1" w:styleId="affff8">
    <w:name w:val="текст документа"/>
    <w:basedOn w:val="a0"/>
    <w:link w:val="affff9"/>
    <w:uiPriority w:val="99"/>
    <w:rsid w:val="00500C6E"/>
    <w:pPr>
      <w:spacing w:line="360" w:lineRule="auto"/>
      <w:jc w:val="both"/>
    </w:pPr>
    <w:rPr>
      <w:rFonts w:eastAsia="Calibri"/>
      <w:sz w:val="28"/>
      <w:szCs w:val="20"/>
    </w:rPr>
  </w:style>
  <w:style w:type="character" w:customStyle="1" w:styleId="affff9">
    <w:name w:val="текст документа Знак"/>
    <w:link w:val="affff8"/>
    <w:uiPriority w:val="99"/>
    <w:locked/>
    <w:rsid w:val="00500C6E"/>
    <w:rPr>
      <w:rFonts w:ascii="Times New Roman" w:hAnsi="Times New Roman"/>
      <w:sz w:val="28"/>
    </w:rPr>
  </w:style>
  <w:style w:type="paragraph" w:customStyle="1" w:styleId="affffa">
    <w:name w:val="машинопись"/>
    <w:basedOn w:val="a0"/>
    <w:uiPriority w:val="99"/>
    <w:rsid w:val="00500C6E"/>
    <w:pPr>
      <w:spacing w:line="360" w:lineRule="auto"/>
      <w:ind w:firstLine="567"/>
      <w:jc w:val="both"/>
    </w:pPr>
    <w:rPr>
      <w:rFonts w:ascii="Arial" w:hAnsi="Arial" w:cs="Arial"/>
      <w:szCs w:val="20"/>
    </w:rPr>
  </w:style>
  <w:style w:type="paragraph" w:customStyle="1" w:styleId="112">
    <w:name w:val="Обычный11"/>
    <w:uiPriority w:val="99"/>
    <w:rsid w:val="00500C6E"/>
    <w:pPr>
      <w:spacing w:before="20" w:after="120" w:line="276" w:lineRule="auto"/>
      <w:ind w:firstLine="709"/>
      <w:jc w:val="both"/>
    </w:pPr>
    <w:rPr>
      <w:rFonts w:ascii="Times New Roman" w:eastAsia="Times New Roman" w:hAnsi="Times New Roman"/>
    </w:rPr>
  </w:style>
  <w:style w:type="paragraph" w:customStyle="1" w:styleId="Style1">
    <w:name w:val="Style1"/>
    <w:basedOn w:val="a0"/>
    <w:uiPriority w:val="99"/>
    <w:rsid w:val="00500C6E"/>
    <w:pPr>
      <w:widowControl w:val="0"/>
      <w:autoSpaceDE w:val="0"/>
      <w:autoSpaceDN w:val="0"/>
      <w:adjustRightInd w:val="0"/>
      <w:spacing w:line="485" w:lineRule="exact"/>
      <w:ind w:firstLine="706"/>
      <w:jc w:val="both"/>
    </w:pPr>
  </w:style>
  <w:style w:type="character" w:customStyle="1" w:styleId="121">
    <w:name w:val="Знак Знак12"/>
    <w:uiPriority w:val="99"/>
    <w:semiHidden/>
    <w:locked/>
    <w:rsid w:val="00500C6E"/>
    <w:rPr>
      <w:rFonts w:ascii="Calibri" w:hAnsi="Calibri"/>
      <w:b/>
      <w:i/>
      <w:sz w:val="26"/>
      <w:lang w:eastAsia="en-US"/>
    </w:rPr>
  </w:style>
  <w:style w:type="character" w:customStyle="1" w:styleId="100">
    <w:name w:val="Знак Знак10"/>
    <w:uiPriority w:val="99"/>
    <w:locked/>
    <w:rsid w:val="00500C6E"/>
    <w:rPr>
      <w:rFonts w:ascii="Times New Roman" w:hAnsi="Times New Roman"/>
      <w:b/>
      <w:sz w:val="24"/>
    </w:rPr>
  </w:style>
  <w:style w:type="character" w:customStyle="1" w:styleId="92">
    <w:name w:val="Знак Знак9"/>
    <w:uiPriority w:val="99"/>
    <w:semiHidden/>
    <w:locked/>
    <w:rsid w:val="00500C6E"/>
    <w:rPr>
      <w:lang w:eastAsia="en-US"/>
    </w:rPr>
  </w:style>
  <w:style w:type="character" w:customStyle="1" w:styleId="73">
    <w:name w:val="Знак Знак7"/>
    <w:uiPriority w:val="99"/>
    <w:semiHidden/>
    <w:locked/>
    <w:rsid w:val="00500C6E"/>
    <w:rPr>
      <w:b/>
      <w:lang w:eastAsia="en-US"/>
    </w:rPr>
  </w:style>
  <w:style w:type="character" w:customStyle="1" w:styleId="63">
    <w:name w:val="Знак Знак6"/>
    <w:uiPriority w:val="99"/>
    <w:semiHidden/>
    <w:locked/>
    <w:rsid w:val="00500C6E"/>
    <w:rPr>
      <w:rFonts w:ascii="Tahoma" w:hAnsi="Tahoma"/>
      <w:sz w:val="16"/>
      <w:lang w:eastAsia="en-US"/>
    </w:rPr>
  </w:style>
  <w:style w:type="character" w:customStyle="1" w:styleId="56">
    <w:name w:val="Знак Знак5"/>
    <w:uiPriority w:val="99"/>
    <w:locked/>
    <w:rsid w:val="00500C6E"/>
    <w:rPr>
      <w:sz w:val="22"/>
      <w:lang w:eastAsia="en-US"/>
    </w:rPr>
  </w:style>
  <w:style w:type="character" w:customStyle="1" w:styleId="45">
    <w:name w:val="Знак Знак4"/>
    <w:uiPriority w:val="99"/>
    <w:locked/>
    <w:rsid w:val="00500C6E"/>
    <w:rPr>
      <w:rFonts w:ascii="Times New Roman CYR" w:hAnsi="Times New Roman CYR"/>
      <w:sz w:val="28"/>
    </w:rPr>
  </w:style>
  <w:style w:type="character" w:customStyle="1" w:styleId="320">
    <w:name w:val="Знак3 Знак Знак2"/>
    <w:uiPriority w:val="99"/>
    <w:rsid w:val="00500C6E"/>
    <w:rPr>
      <w:b/>
      <w:sz w:val="28"/>
      <w:lang w:val="ru-RU" w:eastAsia="ru-RU"/>
    </w:rPr>
  </w:style>
  <w:style w:type="character" w:customStyle="1" w:styleId="212">
    <w:name w:val="Знак Знак21"/>
    <w:uiPriority w:val="99"/>
    <w:locked/>
    <w:rsid w:val="00500C6E"/>
    <w:rPr>
      <w:sz w:val="22"/>
      <w:lang w:eastAsia="en-US"/>
    </w:rPr>
  </w:style>
  <w:style w:type="character" w:customStyle="1" w:styleId="132">
    <w:name w:val="Знак Знак13"/>
    <w:uiPriority w:val="99"/>
    <w:locked/>
    <w:rsid w:val="00500C6E"/>
    <w:rPr>
      <w:rFonts w:ascii="Courier New" w:hAnsi="Courier New"/>
    </w:rPr>
  </w:style>
  <w:style w:type="character" w:customStyle="1" w:styleId="113">
    <w:name w:val="Знак Знак11"/>
    <w:uiPriority w:val="99"/>
    <w:locked/>
    <w:rsid w:val="00500C6E"/>
    <w:rPr>
      <w:rFonts w:ascii="Arial" w:hAnsi="Arial"/>
      <w:sz w:val="22"/>
    </w:rPr>
  </w:style>
  <w:style w:type="paragraph" w:customStyle="1" w:styleId="123">
    <w:name w:val="Знак1 Знак Знак Знак2"/>
    <w:basedOn w:val="a0"/>
    <w:uiPriority w:val="99"/>
    <w:rsid w:val="00500C6E"/>
    <w:rPr>
      <w:rFonts w:ascii="Verdana" w:eastAsia="Calibri" w:hAnsi="Verdana" w:cs="Verdana"/>
      <w:sz w:val="20"/>
      <w:szCs w:val="20"/>
      <w:lang w:val="en-US" w:eastAsia="en-US"/>
    </w:rPr>
  </w:style>
  <w:style w:type="paragraph" w:customStyle="1" w:styleId="46">
    <w:name w:val="Знак4"/>
    <w:basedOn w:val="a0"/>
    <w:uiPriority w:val="99"/>
    <w:rsid w:val="00500C6E"/>
    <w:pPr>
      <w:widowControl w:val="0"/>
      <w:adjustRightInd w:val="0"/>
      <w:spacing w:after="160" w:line="240" w:lineRule="exact"/>
      <w:jc w:val="right"/>
    </w:pPr>
    <w:rPr>
      <w:rFonts w:eastAsia="Calibri"/>
      <w:sz w:val="20"/>
      <w:szCs w:val="20"/>
      <w:lang w:val="en-GB" w:eastAsia="en-US"/>
    </w:rPr>
  </w:style>
  <w:style w:type="paragraph" w:customStyle="1" w:styleId="213">
    <w:name w:val="Знак21"/>
    <w:basedOn w:val="a0"/>
    <w:uiPriority w:val="99"/>
    <w:rsid w:val="00500C6E"/>
    <w:pPr>
      <w:spacing w:after="160" w:line="240" w:lineRule="exact"/>
    </w:pPr>
    <w:rPr>
      <w:rFonts w:ascii="Verdana" w:eastAsia="Calibri" w:hAnsi="Verdana" w:cs="Verdana"/>
      <w:sz w:val="20"/>
      <w:szCs w:val="20"/>
      <w:lang w:val="en-US" w:eastAsia="en-US"/>
    </w:rPr>
  </w:style>
  <w:style w:type="paragraph" w:customStyle="1" w:styleId="1f7">
    <w:name w:val="Знак Знак Знак Знак1"/>
    <w:basedOn w:val="a0"/>
    <w:uiPriority w:val="99"/>
    <w:rsid w:val="00500C6E"/>
    <w:pPr>
      <w:spacing w:after="160" w:line="240" w:lineRule="exact"/>
    </w:pPr>
    <w:rPr>
      <w:rFonts w:ascii="Verdana" w:eastAsia="Calibri" w:hAnsi="Verdana" w:cs="Verdana"/>
      <w:sz w:val="20"/>
      <w:szCs w:val="20"/>
      <w:lang w:val="en-US" w:eastAsia="en-US"/>
    </w:rPr>
  </w:style>
  <w:style w:type="paragraph" w:customStyle="1" w:styleId="2f0">
    <w:name w:val="Знак Знак Знак2"/>
    <w:basedOn w:val="a0"/>
    <w:uiPriority w:val="99"/>
    <w:rsid w:val="00500C6E"/>
    <w:pPr>
      <w:spacing w:after="160" w:line="240" w:lineRule="exact"/>
    </w:pPr>
    <w:rPr>
      <w:rFonts w:ascii="Verdana" w:eastAsia="Calibri" w:hAnsi="Verdana" w:cs="Verdana"/>
      <w:sz w:val="20"/>
      <w:szCs w:val="20"/>
      <w:lang w:val="en-US" w:eastAsia="en-US"/>
    </w:rPr>
  </w:style>
  <w:style w:type="paragraph" w:customStyle="1" w:styleId="style13">
    <w:name w:val="style13"/>
    <w:basedOn w:val="a0"/>
    <w:uiPriority w:val="99"/>
    <w:rsid w:val="00500C6E"/>
    <w:pPr>
      <w:spacing w:before="100" w:beforeAutospacing="1" w:after="100" w:afterAutospacing="1"/>
    </w:pPr>
  </w:style>
  <w:style w:type="paragraph" w:customStyle="1" w:styleId="style15">
    <w:name w:val="style15"/>
    <w:basedOn w:val="a0"/>
    <w:uiPriority w:val="99"/>
    <w:rsid w:val="00500C6E"/>
    <w:pPr>
      <w:spacing w:before="100" w:beforeAutospacing="1" w:after="100" w:afterAutospacing="1"/>
    </w:pPr>
  </w:style>
  <w:style w:type="character" w:customStyle="1" w:styleId="fontstyle70">
    <w:name w:val="fontstyle70"/>
    <w:uiPriority w:val="99"/>
    <w:rsid w:val="00500C6E"/>
    <w:rPr>
      <w:rFonts w:cs="Times New Roman"/>
    </w:rPr>
  </w:style>
  <w:style w:type="character" w:customStyle="1" w:styleId="fontstyle72">
    <w:name w:val="fontstyle72"/>
    <w:uiPriority w:val="99"/>
    <w:rsid w:val="00500C6E"/>
    <w:rPr>
      <w:rFonts w:cs="Times New Roman"/>
    </w:rPr>
  </w:style>
  <w:style w:type="character" w:customStyle="1" w:styleId="FootnoteTextChar1">
    <w:name w:val="Footnote Text Char1"/>
    <w:aliases w:val="Текст сноски1 Char1,Текст сноски Знак Знак1 Char1,Текст сноски Знак1 Char1,Текст сноски Знак Знак Знак Знак Знак Char1,Текст сноски Знак Знак Знак Знак Знак Знак Char1,Знак1 Char1"/>
    <w:uiPriority w:val="99"/>
    <w:locked/>
    <w:rsid w:val="00500C6E"/>
    <w:rPr>
      <w:rFonts w:ascii="Times New Roman" w:hAnsi="Times New Roman"/>
    </w:rPr>
  </w:style>
  <w:style w:type="character" w:customStyle="1" w:styleId="190">
    <w:name w:val="Знак Знак19"/>
    <w:uiPriority w:val="99"/>
    <w:rsid w:val="00500C6E"/>
    <w:rPr>
      <w:rFonts w:ascii="Calibri" w:hAnsi="Calibri"/>
      <w:b/>
      <w:i/>
      <w:sz w:val="26"/>
    </w:rPr>
  </w:style>
  <w:style w:type="character" w:customStyle="1" w:styleId="150">
    <w:name w:val="Знак Знак15"/>
    <w:uiPriority w:val="99"/>
    <w:rsid w:val="00500C6E"/>
    <w:rPr>
      <w:rFonts w:ascii="Arial" w:hAnsi="Arial"/>
      <w:lang w:eastAsia="ru-RU"/>
    </w:rPr>
  </w:style>
  <w:style w:type="character" w:customStyle="1" w:styleId="141">
    <w:name w:val="Знак Знак14"/>
    <w:uiPriority w:val="99"/>
    <w:rsid w:val="00500C6E"/>
    <w:rPr>
      <w:rFonts w:ascii="Times New Roman" w:hAnsi="Times New Roman"/>
      <w:b/>
      <w:sz w:val="24"/>
      <w:lang w:eastAsia="ru-RU"/>
    </w:rPr>
  </w:style>
  <w:style w:type="character" w:customStyle="1" w:styleId="bt1">
    <w:name w:val="bt Знак Знак1"/>
    <w:uiPriority w:val="99"/>
    <w:rsid w:val="00500C6E"/>
    <w:rPr>
      <w:rFonts w:ascii="Times New Roman" w:hAnsi="Times New Roman"/>
      <w:sz w:val="20"/>
      <w:lang w:eastAsia="ru-RU"/>
    </w:rPr>
  </w:style>
  <w:style w:type="character" w:customStyle="1" w:styleId="1f8">
    <w:name w:val="Верхний колонтитул Знак1"/>
    <w:uiPriority w:val="99"/>
    <w:semiHidden/>
    <w:rsid w:val="00500C6E"/>
    <w:rPr>
      <w:rFonts w:ascii="Calibri" w:hAnsi="Calibri"/>
    </w:rPr>
  </w:style>
  <w:style w:type="table" w:customStyle="1" w:styleId="2f1">
    <w:name w:val="Сетка таблицы2"/>
    <w:uiPriority w:val="99"/>
    <w:rsid w:val="00975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75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Основной текст + Полужирный"/>
    <w:uiPriority w:val="99"/>
    <w:rsid w:val="00226C04"/>
    <w:rPr>
      <w:rFonts w:ascii="Times New Roman" w:hAnsi="Times New Roman"/>
      <w:b/>
      <w:color w:val="000000"/>
      <w:spacing w:val="0"/>
      <w:w w:val="100"/>
      <w:position w:val="0"/>
      <w:sz w:val="26"/>
      <w:u w:val="none"/>
      <w:lang w:val="ru-RU"/>
    </w:rPr>
  </w:style>
  <w:style w:type="paragraph" w:customStyle="1" w:styleId="3c">
    <w:name w:val="Основной текст3"/>
    <w:basedOn w:val="a0"/>
    <w:uiPriority w:val="99"/>
    <w:rsid w:val="00226C04"/>
    <w:pPr>
      <w:widowControl w:val="0"/>
      <w:shd w:val="clear" w:color="auto" w:fill="FFFFFF"/>
      <w:spacing w:before="0" w:after="300" w:line="240" w:lineRule="atLeast"/>
      <w:ind w:hanging="380"/>
      <w:jc w:val="right"/>
    </w:pPr>
    <w:rPr>
      <w:rFonts w:eastAsia="Calibri"/>
      <w:sz w:val="26"/>
      <w:szCs w:val="26"/>
    </w:rPr>
  </w:style>
  <w:style w:type="paragraph" w:customStyle="1" w:styleId="3d">
    <w:name w:val="Знак Знак Знак3"/>
    <w:basedOn w:val="a0"/>
    <w:uiPriority w:val="99"/>
    <w:rsid w:val="00DE3E89"/>
    <w:pPr>
      <w:spacing w:before="0" w:after="160" w:line="240" w:lineRule="exact"/>
    </w:pPr>
    <w:rPr>
      <w:rFonts w:ascii="Verdana" w:hAnsi="Verdana"/>
      <w:sz w:val="20"/>
      <w:szCs w:val="20"/>
      <w:lang w:val="en-US" w:eastAsia="en-US"/>
    </w:rPr>
  </w:style>
  <w:style w:type="table" w:customStyle="1" w:styleId="47">
    <w:name w:val="Сетка таблицы4"/>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Веб-таблица 31"/>
    <w:uiPriority w:val="99"/>
    <w:rsid w:val="00D11F6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4">
    <w:name w:val="Сетка таблицы 11"/>
    <w:uiPriority w:val="99"/>
    <w:rsid w:val="00D11F6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етка таблицы11"/>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
    <w:next w:val="a0"/>
    <w:uiPriority w:val="99"/>
    <w:qFormat/>
    <w:rsid w:val="00381E82"/>
    <w:pPr>
      <w:spacing w:after="0"/>
      <w:ind w:firstLine="0"/>
      <w:outlineLvl w:val="9"/>
    </w:pPr>
    <w:rPr>
      <w:rFonts w:eastAsia="MS Gothic"/>
    </w:rPr>
  </w:style>
  <w:style w:type="table" w:customStyle="1" w:styleId="57">
    <w:name w:val="Сетка таблицы5"/>
    <w:uiPriority w:val="99"/>
    <w:rsid w:val="00E87F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9D69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0">
    <w:name w:val="Знак5 Знак Знак Знак2"/>
    <w:basedOn w:val="a0"/>
    <w:uiPriority w:val="99"/>
    <w:rsid w:val="00EB0AEA"/>
    <w:pPr>
      <w:spacing w:before="0" w:after="160" w:line="240" w:lineRule="exact"/>
      <w:ind w:firstLine="0"/>
    </w:pPr>
    <w:rPr>
      <w:rFonts w:ascii="Verdana" w:hAnsi="Verdana"/>
      <w:sz w:val="20"/>
      <w:szCs w:val="20"/>
      <w:lang w:val="en-US" w:eastAsia="en-US"/>
    </w:rPr>
  </w:style>
  <w:style w:type="character" w:styleId="affffd">
    <w:name w:val="Book Title"/>
    <w:uiPriority w:val="99"/>
    <w:qFormat/>
    <w:rsid w:val="002F2F4C"/>
    <w:rPr>
      <w:rFonts w:ascii="Cambria" w:eastAsia="Times New Roman" w:hAnsi="Cambria"/>
      <w:b/>
      <w:i/>
      <w:sz w:val="24"/>
      <w:szCs w:val="24"/>
    </w:rPr>
  </w:style>
  <w:style w:type="paragraph" w:styleId="2f2">
    <w:name w:val="Quote"/>
    <w:basedOn w:val="a0"/>
    <w:next w:val="a0"/>
    <w:link w:val="2f3"/>
    <w:uiPriority w:val="99"/>
    <w:qFormat/>
    <w:rsid w:val="002F2F4C"/>
    <w:pPr>
      <w:spacing w:before="0" w:after="0" w:line="240" w:lineRule="auto"/>
      <w:ind w:firstLine="0"/>
    </w:pPr>
    <w:rPr>
      <w:rFonts w:ascii="Calibri" w:hAnsi="Calibri"/>
      <w:i/>
    </w:rPr>
  </w:style>
  <w:style w:type="character" w:customStyle="1" w:styleId="2f3">
    <w:name w:val="Цитата 2 Знак"/>
    <w:link w:val="2f2"/>
    <w:uiPriority w:val="99"/>
    <w:rsid w:val="002F2F4C"/>
    <w:rPr>
      <w:rFonts w:eastAsia="Times New Roman"/>
      <w:i/>
      <w:sz w:val="24"/>
      <w:szCs w:val="24"/>
    </w:rPr>
  </w:style>
  <w:style w:type="paragraph" w:styleId="affffe">
    <w:name w:val="Intense Quote"/>
    <w:basedOn w:val="a0"/>
    <w:next w:val="a0"/>
    <w:link w:val="afffff"/>
    <w:uiPriority w:val="99"/>
    <w:qFormat/>
    <w:rsid w:val="002F2F4C"/>
    <w:pPr>
      <w:spacing w:before="0" w:after="0" w:line="240" w:lineRule="auto"/>
      <w:ind w:left="720" w:right="720" w:firstLine="0"/>
    </w:pPr>
    <w:rPr>
      <w:rFonts w:ascii="Calibri" w:hAnsi="Calibri"/>
      <w:b/>
      <w:i/>
      <w:szCs w:val="22"/>
    </w:rPr>
  </w:style>
  <w:style w:type="character" w:customStyle="1" w:styleId="afffff">
    <w:name w:val="Выделенная цитата Знак"/>
    <w:link w:val="affffe"/>
    <w:uiPriority w:val="99"/>
    <w:rsid w:val="002F2F4C"/>
    <w:rPr>
      <w:rFonts w:eastAsia="Times New Roman"/>
      <w:b/>
      <w:i/>
      <w:sz w:val="24"/>
      <w:szCs w:val="22"/>
    </w:rPr>
  </w:style>
  <w:style w:type="character" w:styleId="afffff0">
    <w:name w:val="Subtle Emphasis"/>
    <w:uiPriority w:val="99"/>
    <w:qFormat/>
    <w:rsid w:val="002F2F4C"/>
    <w:rPr>
      <w:i/>
      <w:color w:val="5A5A5A"/>
    </w:rPr>
  </w:style>
  <w:style w:type="character" w:styleId="afffff1">
    <w:name w:val="Intense Emphasis"/>
    <w:uiPriority w:val="99"/>
    <w:qFormat/>
    <w:rsid w:val="002F2F4C"/>
    <w:rPr>
      <w:b/>
      <w:i/>
      <w:sz w:val="24"/>
      <w:szCs w:val="24"/>
      <w:u w:val="single"/>
    </w:rPr>
  </w:style>
  <w:style w:type="character" w:styleId="afffff2">
    <w:name w:val="Subtle Reference"/>
    <w:uiPriority w:val="99"/>
    <w:qFormat/>
    <w:rsid w:val="002F2F4C"/>
    <w:rPr>
      <w:sz w:val="24"/>
      <w:szCs w:val="24"/>
      <w:u w:val="single"/>
    </w:rPr>
  </w:style>
  <w:style w:type="character" w:styleId="afffff3">
    <w:name w:val="Intense Reference"/>
    <w:uiPriority w:val="99"/>
    <w:qFormat/>
    <w:rsid w:val="002F2F4C"/>
    <w:rPr>
      <w:b/>
      <w:sz w:val="24"/>
      <w:u w:val="single"/>
    </w:rPr>
  </w:style>
  <w:style w:type="numbering" w:customStyle="1" w:styleId="1f9">
    <w:name w:val="Нет списка1"/>
    <w:next w:val="a3"/>
    <w:semiHidden/>
    <w:rsid w:val="00E57678"/>
  </w:style>
  <w:style w:type="table" w:customStyle="1" w:styleId="74">
    <w:name w:val="Сетка таблицы7"/>
    <w:basedOn w:val="a2"/>
    <w:next w:val="af6"/>
    <w:uiPriority w:val="99"/>
    <w:rsid w:val="008B49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3"/>
    <w:uiPriority w:val="99"/>
    <w:semiHidden/>
    <w:unhideWhenUsed/>
    <w:rsid w:val="005F1311"/>
  </w:style>
  <w:style w:type="table" w:customStyle="1" w:styleId="83">
    <w:name w:val="Сетка таблицы8"/>
    <w:basedOn w:val="a2"/>
    <w:next w:val="af6"/>
    <w:uiPriority w:val="99"/>
    <w:rsid w:val="009B3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1">
    <w:name w:val="Основной текст с отступом 3 Знак2"/>
    <w:uiPriority w:val="99"/>
    <w:locked/>
    <w:rsid w:val="00EB0AEA"/>
    <w:rPr>
      <w:sz w:val="16"/>
      <w:lang w:val="ru-RU" w:eastAsia="ru-RU"/>
    </w:rPr>
  </w:style>
  <w:style w:type="character" w:customStyle="1" w:styleId="360">
    <w:name w:val="Основной текст с отступом 3 Знак6"/>
    <w:basedOn w:val="a1"/>
    <w:uiPriority w:val="99"/>
    <w:semiHidden/>
    <w:rsid w:val="00EB0AEA"/>
    <w:rPr>
      <w:rFonts w:ascii="Times New Roman" w:hAnsi="Times New Roman" w:cs="Times New Roman"/>
      <w:sz w:val="16"/>
      <w:szCs w:val="16"/>
    </w:rPr>
  </w:style>
  <w:style w:type="character" w:customStyle="1" w:styleId="350">
    <w:name w:val="Основной текст с отступом 3 Знак5"/>
    <w:basedOn w:val="a1"/>
    <w:uiPriority w:val="99"/>
    <w:semiHidden/>
    <w:rsid w:val="00EB0AEA"/>
    <w:rPr>
      <w:rFonts w:ascii="Times New Roman" w:hAnsi="Times New Roman" w:cs="Times New Roman"/>
      <w:sz w:val="16"/>
      <w:szCs w:val="16"/>
    </w:rPr>
  </w:style>
  <w:style w:type="character" w:customStyle="1" w:styleId="340">
    <w:name w:val="Основной текст с отступом 3 Знак4"/>
    <w:basedOn w:val="a1"/>
    <w:uiPriority w:val="99"/>
    <w:semiHidden/>
    <w:rsid w:val="00EB0AEA"/>
    <w:rPr>
      <w:rFonts w:ascii="Times New Roman" w:hAnsi="Times New Roman" w:cs="Times New Roman"/>
      <w:sz w:val="16"/>
      <w:szCs w:val="16"/>
    </w:rPr>
  </w:style>
  <w:style w:type="character" w:customStyle="1" w:styleId="330">
    <w:name w:val="Основной текст с отступом 3 Знак3"/>
    <w:basedOn w:val="a1"/>
    <w:uiPriority w:val="99"/>
    <w:semiHidden/>
    <w:rsid w:val="00EB0AEA"/>
    <w:rPr>
      <w:rFonts w:ascii="Times New Roman" w:hAnsi="Times New Roman" w:cs="Times New Roman"/>
      <w:sz w:val="16"/>
      <w:szCs w:val="16"/>
    </w:rPr>
  </w:style>
  <w:style w:type="paragraph" w:customStyle="1" w:styleId="510">
    <w:name w:val="Знак5 Знак Знак Знак1"/>
    <w:basedOn w:val="a0"/>
    <w:uiPriority w:val="99"/>
    <w:rsid w:val="00EB0AEA"/>
    <w:pPr>
      <w:spacing w:before="0" w:after="160" w:line="240" w:lineRule="exact"/>
      <w:ind w:firstLine="0"/>
    </w:pPr>
    <w:rPr>
      <w:rFonts w:ascii="Verdana" w:hAnsi="Verdana"/>
      <w:sz w:val="20"/>
      <w:szCs w:val="20"/>
      <w:lang w:val="en-US" w:eastAsia="en-US"/>
    </w:rPr>
  </w:style>
  <w:style w:type="table" w:customStyle="1" w:styleId="124">
    <w:name w:val="Сетка таблицы12"/>
    <w:basedOn w:val="a2"/>
    <w:next w:val="af6"/>
    <w:uiPriority w:val="59"/>
    <w:rsid w:val="00BD3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39"/>
    <w:rsid w:val="000E6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0">
    <w:name w:val="Normal"/>
    <w:qFormat/>
    <w:rsid w:val="00EB7C21"/>
    <w:pPr>
      <w:spacing w:before="120" w:after="120" w:line="360" w:lineRule="exact"/>
      <w:ind w:firstLine="709"/>
    </w:pPr>
    <w:rPr>
      <w:rFonts w:ascii="Times New Roman" w:eastAsia="Times New Roman" w:hAnsi="Times New Roman"/>
      <w:sz w:val="24"/>
      <w:szCs w:val="24"/>
    </w:rPr>
  </w:style>
  <w:style w:type="paragraph" w:styleId="1">
    <w:name w:val="heading 1"/>
    <w:aliases w:val="Head 1,????????? 1"/>
    <w:basedOn w:val="a0"/>
    <w:next w:val="a0"/>
    <w:link w:val="10"/>
    <w:uiPriority w:val="99"/>
    <w:qFormat/>
    <w:rsid w:val="0018337F"/>
    <w:pPr>
      <w:keepNext/>
      <w:keepLines/>
      <w:spacing w:before="480" w:line="276" w:lineRule="auto"/>
      <w:outlineLvl w:val="0"/>
    </w:pPr>
    <w:rPr>
      <w:rFonts w:ascii="Cambria" w:hAnsi="Cambria"/>
      <w:b/>
      <w:bCs/>
      <w:color w:val="365F91"/>
      <w:sz w:val="28"/>
      <w:szCs w:val="28"/>
    </w:rPr>
  </w:style>
  <w:style w:type="paragraph" w:styleId="2">
    <w:name w:val="heading 2"/>
    <w:aliases w:val="Знак3"/>
    <w:basedOn w:val="a0"/>
    <w:next w:val="a0"/>
    <w:link w:val="21"/>
    <w:uiPriority w:val="99"/>
    <w:qFormat/>
    <w:rsid w:val="00500C6E"/>
    <w:pPr>
      <w:keepNext/>
      <w:spacing w:before="240" w:after="240"/>
      <w:jc w:val="center"/>
      <w:outlineLvl w:val="1"/>
    </w:pPr>
    <w:rPr>
      <w:rFonts w:eastAsia="Calibri"/>
      <w:b/>
      <w:sz w:val="28"/>
      <w:szCs w:val="20"/>
    </w:rPr>
  </w:style>
  <w:style w:type="paragraph" w:styleId="3">
    <w:name w:val="heading 3"/>
    <w:aliases w:val="Знак2 Знак"/>
    <w:basedOn w:val="a0"/>
    <w:next w:val="a0"/>
    <w:link w:val="31"/>
    <w:uiPriority w:val="99"/>
    <w:qFormat/>
    <w:rsid w:val="00155D8D"/>
    <w:pPr>
      <w:keepNext/>
      <w:spacing w:before="240" w:after="60"/>
      <w:outlineLvl w:val="2"/>
    </w:pPr>
    <w:rPr>
      <w:rFonts w:ascii="Arial" w:hAnsi="Arial"/>
      <w:b/>
      <w:bCs/>
      <w:sz w:val="26"/>
      <w:szCs w:val="26"/>
    </w:rPr>
  </w:style>
  <w:style w:type="paragraph" w:styleId="4">
    <w:name w:val="heading 4"/>
    <w:aliases w:val="Знак1,Заголовок 4 Знак1,Знак1 Знак"/>
    <w:basedOn w:val="a0"/>
    <w:next w:val="a0"/>
    <w:link w:val="42"/>
    <w:uiPriority w:val="99"/>
    <w:qFormat/>
    <w:rsid w:val="00500C6E"/>
    <w:pPr>
      <w:keepNext/>
      <w:spacing w:before="240" w:after="60" w:line="276" w:lineRule="auto"/>
      <w:outlineLvl w:val="3"/>
    </w:pPr>
    <w:rPr>
      <w:rFonts w:eastAsia="Calibri"/>
      <w:b/>
      <w:bCs/>
      <w:sz w:val="28"/>
      <w:szCs w:val="28"/>
      <w:lang w:eastAsia="en-US"/>
    </w:rPr>
  </w:style>
  <w:style w:type="paragraph" w:styleId="5">
    <w:name w:val="heading 5"/>
    <w:basedOn w:val="a0"/>
    <w:next w:val="a0"/>
    <w:link w:val="50"/>
    <w:uiPriority w:val="99"/>
    <w:qFormat/>
    <w:rsid w:val="004F5DC0"/>
    <w:pPr>
      <w:spacing w:before="240" w:after="60"/>
      <w:outlineLvl w:val="4"/>
    </w:pPr>
    <w:rPr>
      <w:b/>
      <w:bCs/>
      <w:i/>
      <w:iCs/>
      <w:sz w:val="26"/>
      <w:szCs w:val="26"/>
    </w:rPr>
  </w:style>
  <w:style w:type="paragraph" w:styleId="6">
    <w:name w:val="heading 6"/>
    <w:basedOn w:val="a0"/>
    <w:next w:val="a0"/>
    <w:link w:val="60"/>
    <w:uiPriority w:val="99"/>
    <w:qFormat/>
    <w:rsid w:val="004F5DC0"/>
    <w:pPr>
      <w:spacing w:before="240" w:after="60"/>
      <w:outlineLvl w:val="5"/>
    </w:pPr>
    <w:rPr>
      <w:b/>
      <w:bCs/>
      <w:sz w:val="22"/>
      <w:szCs w:val="22"/>
    </w:rPr>
  </w:style>
  <w:style w:type="paragraph" w:styleId="7">
    <w:name w:val="heading 7"/>
    <w:basedOn w:val="a0"/>
    <w:next w:val="a0"/>
    <w:link w:val="70"/>
    <w:uiPriority w:val="99"/>
    <w:qFormat/>
    <w:rsid w:val="00500C6E"/>
    <w:pPr>
      <w:spacing w:before="240" w:after="60"/>
      <w:outlineLvl w:val="6"/>
    </w:pPr>
    <w:rPr>
      <w:rFonts w:eastAsia="Calibri"/>
      <w:szCs w:val="20"/>
    </w:rPr>
  </w:style>
  <w:style w:type="paragraph" w:styleId="8">
    <w:name w:val="heading 8"/>
    <w:basedOn w:val="a0"/>
    <w:next w:val="a0"/>
    <w:link w:val="80"/>
    <w:uiPriority w:val="99"/>
    <w:qFormat/>
    <w:rsid w:val="00500C6E"/>
    <w:pPr>
      <w:spacing w:before="240" w:after="60"/>
      <w:outlineLvl w:val="7"/>
    </w:pPr>
    <w:rPr>
      <w:i/>
      <w:iCs/>
    </w:rPr>
  </w:style>
  <w:style w:type="paragraph" w:styleId="9">
    <w:name w:val="heading 9"/>
    <w:basedOn w:val="a0"/>
    <w:next w:val="a0"/>
    <w:link w:val="90"/>
    <w:uiPriority w:val="99"/>
    <w:qFormat/>
    <w:rsid w:val="00027B15"/>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1,????????? 1 Знак"/>
    <w:link w:val="1"/>
    <w:uiPriority w:val="99"/>
    <w:locked/>
    <w:rsid w:val="0018337F"/>
    <w:rPr>
      <w:rFonts w:ascii="Cambria" w:hAnsi="Cambria" w:cs="Times New Roman"/>
      <w:b/>
      <w:color w:val="365F91"/>
      <w:sz w:val="28"/>
    </w:rPr>
  </w:style>
  <w:style w:type="character" w:customStyle="1" w:styleId="Heading2Char">
    <w:name w:val="Heading 2 Char"/>
    <w:aliases w:val="Знак3 Char"/>
    <w:uiPriority w:val="99"/>
    <w:semiHidden/>
    <w:locked/>
    <w:rsid w:val="0029734C"/>
    <w:rPr>
      <w:rFonts w:ascii="Cambria" w:hAnsi="Cambria" w:cs="Times New Roman"/>
      <w:b/>
      <w:bCs/>
      <w:i/>
      <w:iCs/>
      <w:sz w:val="28"/>
      <w:szCs w:val="28"/>
    </w:rPr>
  </w:style>
  <w:style w:type="character" w:customStyle="1" w:styleId="31">
    <w:name w:val="Заголовок 3 Знак1"/>
    <w:aliases w:val="Знак2 Знак Знак"/>
    <w:link w:val="3"/>
    <w:uiPriority w:val="99"/>
    <w:locked/>
    <w:rsid w:val="00500C6E"/>
    <w:rPr>
      <w:rFonts w:ascii="Arial" w:hAnsi="Arial" w:cs="Times New Roman"/>
      <w:b/>
      <w:sz w:val="26"/>
    </w:rPr>
  </w:style>
  <w:style w:type="character" w:customStyle="1" w:styleId="42">
    <w:name w:val="Заголовок 4 Знак2"/>
    <w:aliases w:val="Знак1 Знак2,Заголовок 4 Знак1 Знак1,Знак1 Знак Знак"/>
    <w:link w:val="4"/>
    <w:uiPriority w:val="99"/>
    <w:locked/>
    <w:rsid w:val="00500C6E"/>
    <w:rPr>
      <w:rFonts w:ascii="Times New Roman" w:hAnsi="Times New Roman" w:cs="Times New Roman"/>
      <w:b/>
      <w:sz w:val="28"/>
      <w:lang w:eastAsia="en-US"/>
    </w:rPr>
  </w:style>
  <w:style w:type="character" w:customStyle="1" w:styleId="50">
    <w:name w:val="Заголовок 5 Знак"/>
    <w:link w:val="5"/>
    <w:uiPriority w:val="99"/>
    <w:locked/>
    <w:rsid w:val="00500C6E"/>
    <w:rPr>
      <w:rFonts w:ascii="Times New Roman" w:hAnsi="Times New Roman" w:cs="Times New Roman"/>
      <w:b/>
      <w:i/>
      <w:sz w:val="26"/>
    </w:rPr>
  </w:style>
  <w:style w:type="character" w:customStyle="1" w:styleId="60">
    <w:name w:val="Заголовок 6 Знак"/>
    <w:link w:val="6"/>
    <w:uiPriority w:val="99"/>
    <w:locked/>
    <w:rsid w:val="00500C6E"/>
    <w:rPr>
      <w:rFonts w:ascii="Times New Roman" w:hAnsi="Times New Roman" w:cs="Times New Roman"/>
      <w:b/>
      <w:sz w:val="22"/>
    </w:rPr>
  </w:style>
  <w:style w:type="character" w:customStyle="1" w:styleId="Heading7Char">
    <w:name w:val="Heading 7 Char"/>
    <w:uiPriority w:val="99"/>
    <w:locked/>
    <w:rsid w:val="00500C6E"/>
    <w:rPr>
      <w:rFonts w:cs="Times New Roman"/>
      <w:i/>
      <w:sz w:val="28"/>
      <w:lang w:val="ru-RU" w:eastAsia="ru-RU"/>
    </w:rPr>
  </w:style>
  <w:style w:type="character" w:customStyle="1" w:styleId="80">
    <w:name w:val="Заголовок 8 Знак"/>
    <w:link w:val="8"/>
    <w:uiPriority w:val="99"/>
    <w:locked/>
    <w:rsid w:val="00500C6E"/>
    <w:rPr>
      <w:rFonts w:ascii="Times New Roman" w:hAnsi="Times New Roman" w:cs="Times New Roman"/>
      <w:i/>
      <w:sz w:val="24"/>
    </w:rPr>
  </w:style>
  <w:style w:type="character" w:customStyle="1" w:styleId="90">
    <w:name w:val="Заголовок 9 Знак"/>
    <w:link w:val="9"/>
    <w:uiPriority w:val="99"/>
    <w:locked/>
    <w:rsid w:val="00500C6E"/>
    <w:rPr>
      <w:rFonts w:ascii="Arial" w:hAnsi="Arial" w:cs="Times New Roman"/>
      <w:sz w:val="22"/>
    </w:rPr>
  </w:style>
  <w:style w:type="paragraph" w:customStyle="1" w:styleId="11">
    <w:name w:val="Знак1 Знак Знак Знак"/>
    <w:basedOn w:val="a0"/>
    <w:uiPriority w:val="99"/>
    <w:rsid w:val="0088123D"/>
    <w:rPr>
      <w:rFonts w:ascii="Verdana" w:hAnsi="Verdana" w:cs="Verdana"/>
      <w:sz w:val="20"/>
      <w:szCs w:val="20"/>
      <w:lang w:val="en-US" w:eastAsia="en-US"/>
    </w:rPr>
  </w:style>
  <w:style w:type="paragraph" w:styleId="a4">
    <w:name w:val="Balloon Text"/>
    <w:basedOn w:val="a0"/>
    <w:link w:val="a5"/>
    <w:uiPriority w:val="99"/>
    <w:rsid w:val="000203F2"/>
  </w:style>
  <w:style w:type="character" w:customStyle="1" w:styleId="a5">
    <w:name w:val="Текст выноски Знак"/>
    <w:link w:val="a4"/>
    <w:uiPriority w:val="99"/>
    <w:locked/>
    <w:rsid w:val="00FB6DF8"/>
    <w:rPr>
      <w:rFonts w:ascii="Times New Roman" w:hAnsi="Times New Roman" w:cs="Times New Roman"/>
      <w:sz w:val="24"/>
    </w:rPr>
  </w:style>
  <w:style w:type="paragraph" w:styleId="a6">
    <w:name w:val="Body Text"/>
    <w:aliases w:val="bt"/>
    <w:basedOn w:val="a0"/>
    <w:link w:val="a7"/>
    <w:uiPriority w:val="99"/>
    <w:rsid w:val="000203F2"/>
    <w:rPr>
      <w:rFonts w:eastAsia="Calibri"/>
      <w:szCs w:val="20"/>
    </w:rPr>
  </w:style>
  <w:style w:type="character" w:customStyle="1" w:styleId="BodyTextChar">
    <w:name w:val="Body Text Char"/>
    <w:aliases w:val="bt Char"/>
    <w:uiPriority w:val="99"/>
    <w:semiHidden/>
    <w:locked/>
    <w:rsid w:val="00500C6E"/>
    <w:rPr>
      <w:rFonts w:ascii="Calibri" w:hAnsi="Calibri" w:cs="Times New Roman"/>
      <w:sz w:val="22"/>
      <w:lang w:val="ru-RU" w:eastAsia="en-US"/>
    </w:rPr>
  </w:style>
  <w:style w:type="character" w:customStyle="1" w:styleId="a7">
    <w:name w:val="Основной текст Знак"/>
    <w:aliases w:val="bt Знак"/>
    <w:link w:val="a6"/>
    <w:uiPriority w:val="99"/>
    <w:locked/>
    <w:rsid w:val="000203F2"/>
    <w:rPr>
      <w:rFonts w:ascii="Times New Roman" w:hAnsi="Times New Roman"/>
      <w:sz w:val="24"/>
    </w:rPr>
  </w:style>
  <w:style w:type="paragraph" w:styleId="20">
    <w:name w:val="Body Text Indent 2"/>
    <w:basedOn w:val="a0"/>
    <w:link w:val="22"/>
    <w:uiPriority w:val="99"/>
    <w:rsid w:val="000203F2"/>
    <w:pPr>
      <w:spacing w:line="480" w:lineRule="auto"/>
      <w:ind w:left="283"/>
    </w:pPr>
    <w:rPr>
      <w:rFonts w:ascii="Calibri" w:eastAsia="Calibri" w:hAnsi="Calibri"/>
    </w:rPr>
  </w:style>
  <w:style w:type="character" w:customStyle="1" w:styleId="22">
    <w:name w:val="Основной текст с отступом 2 Знак"/>
    <w:link w:val="20"/>
    <w:uiPriority w:val="99"/>
    <w:locked/>
    <w:rsid w:val="002D1ABA"/>
    <w:rPr>
      <w:rFonts w:cs="Times New Roman"/>
      <w:sz w:val="24"/>
      <w:lang w:val="ru-RU" w:eastAsia="ru-RU"/>
    </w:rPr>
  </w:style>
  <w:style w:type="character" w:customStyle="1" w:styleId="12">
    <w:name w:val="Знак Знак1"/>
    <w:uiPriority w:val="99"/>
    <w:rsid w:val="00FB6DF8"/>
    <w:rPr>
      <w:b/>
      <w:sz w:val="24"/>
      <w:lang w:val="ru-RU" w:eastAsia="ru-RU"/>
    </w:rPr>
  </w:style>
  <w:style w:type="paragraph" w:styleId="a8">
    <w:name w:val="Body Text Indent"/>
    <w:aliases w:val="Основной текст 1,Нумерованный список !!,Надин стиль"/>
    <w:basedOn w:val="a0"/>
    <w:link w:val="13"/>
    <w:uiPriority w:val="99"/>
    <w:rsid w:val="000203F2"/>
    <w:pPr>
      <w:ind w:left="283"/>
    </w:pPr>
  </w:style>
  <w:style w:type="character" w:customStyle="1" w:styleId="13">
    <w:name w:val="Основной текст с отступом Знак1"/>
    <w:aliases w:val="Основной текст 1 Знак1,Нумерованный список !! Знак1,Надин стиль Знак1"/>
    <w:link w:val="a8"/>
    <w:uiPriority w:val="99"/>
    <w:locked/>
    <w:rsid w:val="00500C6E"/>
    <w:rPr>
      <w:rFonts w:ascii="Times New Roman" w:hAnsi="Times New Roman" w:cs="Times New Roman"/>
      <w:sz w:val="24"/>
    </w:rPr>
  </w:style>
  <w:style w:type="character" w:customStyle="1" w:styleId="30">
    <w:name w:val="Основной текст с отступом 3 Знак"/>
    <w:link w:val="32"/>
    <w:uiPriority w:val="99"/>
    <w:locked/>
    <w:rsid w:val="00FB6DF8"/>
    <w:rPr>
      <w:sz w:val="16"/>
      <w:lang w:val="ru-RU" w:eastAsia="ru-RU"/>
    </w:rPr>
  </w:style>
  <w:style w:type="paragraph" w:styleId="a9">
    <w:name w:val="Revision"/>
    <w:hidden/>
    <w:uiPriority w:val="99"/>
    <w:semiHidden/>
    <w:rsid w:val="004A063D"/>
    <w:pPr>
      <w:spacing w:before="20" w:after="120" w:line="360" w:lineRule="exact"/>
      <w:ind w:firstLine="709"/>
    </w:pPr>
    <w:rPr>
      <w:rFonts w:ascii="Times New Roman" w:eastAsia="Times New Roman" w:hAnsi="Times New Roman"/>
      <w:sz w:val="24"/>
      <w:szCs w:val="24"/>
    </w:rPr>
  </w:style>
  <w:style w:type="paragraph" w:styleId="23">
    <w:name w:val="Body Text 2"/>
    <w:basedOn w:val="a0"/>
    <w:link w:val="24"/>
    <w:uiPriority w:val="99"/>
    <w:rsid w:val="00027B15"/>
    <w:pPr>
      <w:spacing w:line="480" w:lineRule="auto"/>
    </w:pPr>
  </w:style>
  <w:style w:type="character" w:customStyle="1" w:styleId="24">
    <w:name w:val="Основной текст 2 Знак"/>
    <w:link w:val="23"/>
    <w:uiPriority w:val="99"/>
    <w:locked/>
    <w:rsid w:val="00500C6E"/>
    <w:rPr>
      <w:rFonts w:ascii="Times New Roman" w:hAnsi="Times New Roman" w:cs="Times New Roman"/>
      <w:sz w:val="24"/>
    </w:rPr>
  </w:style>
  <w:style w:type="paragraph" w:customStyle="1" w:styleId="text">
    <w:name w:val="text"/>
    <w:basedOn w:val="a0"/>
    <w:uiPriority w:val="99"/>
    <w:rsid w:val="00027B15"/>
    <w:rPr>
      <w:color w:val="000000"/>
      <w:sz w:val="19"/>
      <w:szCs w:val="19"/>
    </w:rPr>
  </w:style>
  <w:style w:type="paragraph" w:styleId="aa">
    <w:name w:val="footer"/>
    <w:basedOn w:val="a0"/>
    <w:link w:val="ab"/>
    <w:uiPriority w:val="99"/>
    <w:rsid w:val="00CC0381"/>
    <w:pPr>
      <w:tabs>
        <w:tab w:val="center" w:pos="4677"/>
        <w:tab w:val="right" w:pos="9355"/>
      </w:tabs>
    </w:pPr>
    <w:rPr>
      <w:rFonts w:eastAsia="Calibri"/>
      <w:szCs w:val="20"/>
    </w:rPr>
  </w:style>
  <w:style w:type="character" w:customStyle="1" w:styleId="FooterChar">
    <w:name w:val="Footer Char"/>
    <w:uiPriority w:val="99"/>
    <w:locked/>
    <w:rsid w:val="00500C6E"/>
    <w:rPr>
      <w:rFonts w:cs="Times New Roman"/>
      <w:sz w:val="22"/>
      <w:lang w:eastAsia="en-US"/>
    </w:rPr>
  </w:style>
  <w:style w:type="character" w:styleId="ac">
    <w:name w:val="page number"/>
    <w:uiPriority w:val="99"/>
    <w:rsid w:val="00CC0381"/>
    <w:rPr>
      <w:rFonts w:cs="Times New Roman"/>
    </w:rPr>
  </w:style>
  <w:style w:type="paragraph" w:customStyle="1" w:styleId="210">
    <w:name w:val="Основной текст 21"/>
    <w:basedOn w:val="a0"/>
    <w:uiPriority w:val="99"/>
    <w:rsid w:val="00D92ABE"/>
    <w:pPr>
      <w:jc w:val="both"/>
    </w:pPr>
    <w:rPr>
      <w:sz w:val="28"/>
      <w:szCs w:val="20"/>
    </w:rPr>
  </w:style>
  <w:style w:type="character" w:styleId="ad">
    <w:name w:val="annotation reference"/>
    <w:uiPriority w:val="99"/>
    <w:semiHidden/>
    <w:rsid w:val="00DB076F"/>
    <w:rPr>
      <w:rFonts w:cs="Times New Roman"/>
      <w:sz w:val="16"/>
    </w:rPr>
  </w:style>
  <w:style w:type="paragraph" w:styleId="ae">
    <w:name w:val="annotation text"/>
    <w:basedOn w:val="a0"/>
    <w:link w:val="af"/>
    <w:uiPriority w:val="99"/>
    <w:rsid w:val="00DB076F"/>
    <w:rPr>
      <w:rFonts w:eastAsia="Calibri"/>
      <w:sz w:val="20"/>
      <w:szCs w:val="20"/>
    </w:rPr>
  </w:style>
  <w:style w:type="character" w:customStyle="1" w:styleId="CommentTextChar">
    <w:name w:val="Comment Text Char"/>
    <w:uiPriority w:val="99"/>
    <w:semiHidden/>
    <w:locked/>
    <w:rsid w:val="00500C6E"/>
    <w:rPr>
      <w:rFonts w:ascii="Calibri" w:hAnsi="Calibri" w:cs="Times New Roman"/>
      <w:sz w:val="20"/>
    </w:rPr>
  </w:style>
  <w:style w:type="paragraph" w:styleId="af0">
    <w:name w:val="annotation subject"/>
    <w:basedOn w:val="ae"/>
    <w:next w:val="ae"/>
    <w:link w:val="af1"/>
    <w:uiPriority w:val="99"/>
    <w:semiHidden/>
    <w:rsid w:val="00DB076F"/>
    <w:rPr>
      <w:b/>
      <w:bCs/>
    </w:rPr>
  </w:style>
  <w:style w:type="character" w:customStyle="1" w:styleId="af1">
    <w:name w:val="Тема примечания Знак"/>
    <w:link w:val="af0"/>
    <w:uiPriority w:val="99"/>
    <w:semiHidden/>
    <w:locked/>
    <w:rsid w:val="00500C6E"/>
    <w:rPr>
      <w:rFonts w:ascii="Times New Roman" w:hAnsi="Times New Roman" w:cs="Times New Roman"/>
      <w:b/>
      <w:sz w:val="20"/>
    </w:rPr>
  </w:style>
  <w:style w:type="paragraph" w:styleId="a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0"/>
    <w:link w:val="14"/>
    <w:uiPriority w:val="99"/>
    <w:rsid w:val="00D95C4A"/>
    <w:rPr>
      <w:rFonts w:eastAsia="Calibri"/>
      <w:sz w:val="20"/>
      <w:szCs w:val="20"/>
    </w:rPr>
  </w:style>
  <w:style w:type="character" w:customStyle="1" w:styleId="FootnoteTextChar">
    <w:name w:val="Footnote Text Char"/>
    <w:aliases w:val="Table_Footnote_last Char,Текст сноски Знак Знак Char Char1,Texto de nota al pie Char Char,Texto de nota al pie Char1,Текст сноски Знак Знак Char Char Char,Schriftart: 9 pt Char,Schriftart: 10 pt Char,Schriftart: 8 pt Char,fn Char"/>
    <w:uiPriority w:val="99"/>
    <w:locked/>
    <w:rsid w:val="00500C6E"/>
    <w:rPr>
      <w:rFonts w:ascii="Times New Roman" w:hAnsi="Times New Roman" w:cs="Times New Roman"/>
      <w:sz w:val="20"/>
      <w:lang w:eastAsia="ru-RU"/>
    </w:rPr>
  </w:style>
  <w:style w:type="character" w:styleId="af3">
    <w:name w:val="footnote reference"/>
    <w:aliases w:val="Знак сноски-FN,Ciae niinee-FN,SUPERS,Знак сноски 1,Referencia nota al pie,fr,Used by Word for Help footnote symbols,Ciae niinee 1,Ссылка на сноску 45,Appel note de bas de page,Стиль Знак сноски,Appel note de bas de page + 1..."/>
    <w:uiPriority w:val="99"/>
    <w:rsid w:val="00D95C4A"/>
    <w:rPr>
      <w:rFonts w:cs="Times New Roman"/>
      <w:vertAlign w:val="superscript"/>
    </w:rPr>
  </w:style>
  <w:style w:type="paragraph" w:styleId="af4">
    <w:name w:val="header"/>
    <w:basedOn w:val="a0"/>
    <w:link w:val="af5"/>
    <w:uiPriority w:val="99"/>
    <w:rsid w:val="00C62BB1"/>
    <w:pPr>
      <w:tabs>
        <w:tab w:val="center" w:pos="4677"/>
        <w:tab w:val="right" w:pos="9355"/>
      </w:tabs>
    </w:pPr>
    <w:rPr>
      <w:rFonts w:eastAsia="Calibri"/>
      <w:szCs w:val="20"/>
    </w:rPr>
  </w:style>
  <w:style w:type="character" w:customStyle="1" w:styleId="HeaderChar">
    <w:name w:val="Header Char"/>
    <w:uiPriority w:val="99"/>
    <w:locked/>
    <w:rsid w:val="00500C6E"/>
    <w:rPr>
      <w:rFonts w:ascii="Times New Roman CYR" w:hAnsi="Times New Roman CYR" w:cs="Times New Roman"/>
      <w:sz w:val="28"/>
    </w:rPr>
  </w:style>
  <w:style w:type="table" w:styleId="af6">
    <w:name w:val="Table Grid"/>
    <w:basedOn w:val="a2"/>
    <w:uiPriority w:val="59"/>
    <w:rsid w:val="00D031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0"/>
    <w:link w:val="af8"/>
    <w:uiPriority w:val="99"/>
    <w:qFormat/>
    <w:rsid w:val="0004401D"/>
    <w:pPr>
      <w:spacing w:line="480" w:lineRule="auto"/>
      <w:ind w:firstLine="720"/>
      <w:jc w:val="center"/>
    </w:pPr>
    <w:rPr>
      <w:rFonts w:ascii="Calibri" w:eastAsia="Calibri" w:hAnsi="Calibri"/>
      <w:b/>
      <w:szCs w:val="20"/>
    </w:rPr>
  </w:style>
  <w:style w:type="character" w:customStyle="1" w:styleId="TitleChar">
    <w:name w:val="Title Char"/>
    <w:uiPriority w:val="99"/>
    <w:locked/>
    <w:rsid w:val="00500C6E"/>
    <w:rPr>
      <w:rFonts w:ascii="Times New Roman" w:hAnsi="Times New Roman" w:cs="Times New Roman"/>
      <w:b/>
      <w:color w:val="FF0000"/>
      <w:sz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CF3FF1"/>
    <w:rPr>
      <w:rFonts w:ascii="Verdana" w:hAnsi="Verdana" w:cs="Verdana"/>
      <w:sz w:val="20"/>
      <w:szCs w:val="20"/>
      <w:lang w:val="en-US" w:eastAsia="en-US"/>
    </w:rPr>
  </w:style>
  <w:style w:type="paragraph" w:customStyle="1" w:styleId="25">
    <w:name w:val="сновной текст с отступом 2"/>
    <w:basedOn w:val="a0"/>
    <w:uiPriority w:val="99"/>
    <w:rsid w:val="001C31CF"/>
    <w:pPr>
      <w:widowControl w:val="0"/>
      <w:ind w:firstLine="720"/>
      <w:jc w:val="both"/>
    </w:pPr>
    <w:rPr>
      <w:sz w:val="26"/>
      <w:szCs w:val="20"/>
    </w:rPr>
  </w:style>
  <w:style w:type="paragraph" w:styleId="32">
    <w:name w:val="Body Text Indent 3"/>
    <w:basedOn w:val="a0"/>
    <w:link w:val="30"/>
    <w:uiPriority w:val="99"/>
    <w:rsid w:val="001C31CF"/>
    <w:pPr>
      <w:ind w:left="283"/>
    </w:pPr>
    <w:rPr>
      <w:rFonts w:ascii="Calibri" w:eastAsia="Calibri" w:hAnsi="Calibri"/>
      <w:sz w:val="16"/>
      <w:szCs w:val="20"/>
    </w:rPr>
  </w:style>
  <w:style w:type="character" w:customStyle="1" w:styleId="BodyTextIndent3Char1">
    <w:name w:val="Body Text Indent 3 Char1"/>
    <w:uiPriority w:val="99"/>
    <w:semiHidden/>
    <w:locked/>
    <w:rsid w:val="0029734C"/>
    <w:rPr>
      <w:rFonts w:ascii="Times New Roman" w:hAnsi="Times New Roman" w:cs="Times New Roman"/>
      <w:sz w:val="16"/>
      <w:szCs w:val="16"/>
    </w:rPr>
  </w:style>
  <w:style w:type="paragraph" w:styleId="33">
    <w:name w:val="Body Text 3"/>
    <w:basedOn w:val="a0"/>
    <w:link w:val="34"/>
    <w:uiPriority w:val="99"/>
    <w:rsid w:val="00D00568"/>
    <w:rPr>
      <w:sz w:val="16"/>
      <w:szCs w:val="16"/>
    </w:rPr>
  </w:style>
  <w:style w:type="character" w:customStyle="1" w:styleId="34">
    <w:name w:val="Основной текст 3 Знак"/>
    <w:link w:val="33"/>
    <w:uiPriority w:val="99"/>
    <w:locked/>
    <w:rsid w:val="006B64A2"/>
    <w:rPr>
      <w:rFonts w:ascii="Times New Roman" w:hAnsi="Times New Roman" w:cs="Times New Roman"/>
      <w:sz w:val="16"/>
    </w:rPr>
  </w:style>
  <w:style w:type="paragraph" w:styleId="af9">
    <w:name w:val="Plain Text"/>
    <w:basedOn w:val="a0"/>
    <w:link w:val="afa"/>
    <w:uiPriority w:val="99"/>
    <w:rsid w:val="00045D01"/>
    <w:rPr>
      <w:rFonts w:ascii="Courier New" w:eastAsia="Calibri" w:hAnsi="Courier New"/>
      <w:sz w:val="20"/>
      <w:szCs w:val="20"/>
    </w:rPr>
  </w:style>
  <w:style w:type="character" w:customStyle="1" w:styleId="PlainTextChar">
    <w:name w:val="Plain Text Char"/>
    <w:uiPriority w:val="99"/>
    <w:locked/>
    <w:rsid w:val="00500C6E"/>
    <w:rPr>
      <w:rFonts w:ascii="Courier New" w:hAnsi="Courier New" w:cs="Times New Roman"/>
      <w:sz w:val="20"/>
      <w:lang w:eastAsia="ru-RU"/>
    </w:rPr>
  </w:style>
  <w:style w:type="character" w:customStyle="1" w:styleId="35">
    <w:name w:val="Знак Знак3"/>
    <w:uiPriority w:val="99"/>
    <w:locked/>
    <w:rsid w:val="00FB6DF8"/>
    <w:rPr>
      <w:rFonts w:ascii="Tahoma" w:hAnsi="Tahoma"/>
      <w:sz w:val="16"/>
    </w:rPr>
  </w:style>
  <w:style w:type="character" w:customStyle="1" w:styleId="FontStyle117">
    <w:name w:val="Font Style117"/>
    <w:uiPriority w:val="99"/>
    <w:rsid w:val="00C808E2"/>
    <w:rPr>
      <w:rFonts w:ascii="Times New Roman" w:hAnsi="Times New Roman"/>
      <w:sz w:val="26"/>
    </w:rPr>
  </w:style>
  <w:style w:type="character" w:customStyle="1" w:styleId="af8">
    <w:name w:val="Название Знак"/>
    <w:link w:val="af7"/>
    <w:uiPriority w:val="99"/>
    <w:locked/>
    <w:rsid w:val="00401ACB"/>
    <w:rPr>
      <w:b/>
      <w:sz w:val="24"/>
      <w:lang w:val="ru-RU" w:eastAsia="ru-RU"/>
    </w:rPr>
  </w:style>
  <w:style w:type="paragraph" w:customStyle="1" w:styleId="15">
    <w:name w:val="Знак Знак Знак1"/>
    <w:aliases w:val="Текст сноски Знак Знак Char Знак1,Texto de nota al pie Char Знак1,Texto de nota al pie Знак1,Текст сноски Знак Знак Char Char Знак1,Schriftart: 9 pt Знак1,Schriftart: 10 pt Знак1"/>
    <w:basedOn w:val="a0"/>
    <w:uiPriority w:val="99"/>
    <w:rsid w:val="00F32B60"/>
    <w:pPr>
      <w:spacing w:after="160" w:line="240" w:lineRule="exact"/>
    </w:pPr>
    <w:rPr>
      <w:rFonts w:ascii="Verdana" w:hAnsi="Verdana" w:cs="Verdana"/>
      <w:sz w:val="20"/>
      <w:szCs w:val="20"/>
      <w:lang w:val="en-US" w:eastAsia="en-US"/>
    </w:rPr>
  </w:style>
  <w:style w:type="character" w:customStyle="1" w:styleId="16">
    <w:name w:val="Основной текст 1 Знак Знак"/>
    <w:uiPriority w:val="99"/>
    <w:rsid w:val="00F65BDB"/>
    <w:rPr>
      <w:rFonts w:ascii="Times New Roman" w:hAnsi="Times New Roman"/>
      <w:sz w:val="24"/>
    </w:rPr>
  </w:style>
  <w:style w:type="paragraph" w:customStyle="1" w:styleId="ConsPlusNormal">
    <w:name w:val="ConsPlusNormal"/>
    <w:uiPriority w:val="99"/>
    <w:rsid w:val="00B5377D"/>
    <w:pPr>
      <w:widowControl w:val="0"/>
      <w:autoSpaceDE w:val="0"/>
      <w:autoSpaceDN w:val="0"/>
      <w:adjustRightInd w:val="0"/>
      <w:spacing w:before="20" w:after="120" w:line="360" w:lineRule="exact"/>
      <w:ind w:firstLine="720"/>
    </w:pPr>
    <w:rPr>
      <w:rFonts w:ascii="Arial" w:hAnsi="Arial" w:cs="Arial"/>
    </w:rPr>
  </w:style>
  <w:style w:type="character" w:styleId="afb">
    <w:name w:val="Hyperlink"/>
    <w:uiPriority w:val="99"/>
    <w:rsid w:val="004F5DC0"/>
    <w:rPr>
      <w:rFonts w:cs="Times New Roman"/>
      <w:color w:val="0000FF"/>
      <w:u w:val="single"/>
    </w:rPr>
  </w:style>
  <w:style w:type="character" w:customStyle="1" w:styleId="110">
    <w:name w:val="Основной текст 1 Знак Знак1"/>
    <w:uiPriority w:val="99"/>
    <w:rsid w:val="00BB16B5"/>
    <w:rPr>
      <w:rFonts w:ascii="Times New Roman" w:hAnsi="Times New Roman"/>
      <w:sz w:val="24"/>
    </w:rPr>
  </w:style>
  <w:style w:type="paragraph" w:customStyle="1" w:styleId="default">
    <w:name w:val="default"/>
    <w:basedOn w:val="a0"/>
    <w:uiPriority w:val="99"/>
    <w:rsid w:val="002D1ABA"/>
    <w:pPr>
      <w:spacing w:before="100" w:beforeAutospacing="1" w:after="100" w:afterAutospacing="1"/>
    </w:pPr>
  </w:style>
  <w:style w:type="paragraph" w:customStyle="1" w:styleId="afc">
    <w:name w:val="Знак Знак Знак"/>
    <w:aliases w:val="Знак Знак Знак1 Знак,Текст сноски Знак Знак Char Знак1 Знак,Texto de nota al pie Char Знак1 Знак,Texto de nota al pie Знак1 Знак,Текст сноски Знак Знак Char Char Знак1 Знак,Schriftart: 9 pt Знак1 Знак"/>
    <w:basedOn w:val="a0"/>
    <w:uiPriority w:val="99"/>
    <w:rsid w:val="001325FD"/>
    <w:pPr>
      <w:spacing w:after="160" w:line="240" w:lineRule="exact"/>
    </w:pPr>
    <w:rPr>
      <w:rFonts w:ascii="Verdana" w:hAnsi="Verdana"/>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uiPriority w:val="99"/>
    <w:rsid w:val="00593A41"/>
    <w:pPr>
      <w:widowControl w:val="0"/>
      <w:adjustRightInd w:val="0"/>
      <w:spacing w:after="160" w:line="240" w:lineRule="exact"/>
      <w:jc w:val="right"/>
    </w:pPr>
    <w:rPr>
      <w:sz w:val="20"/>
      <w:szCs w:val="20"/>
      <w:lang w:val="en-GB" w:eastAsia="en-US"/>
    </w:rPr>
  </w:style>
  <w:style w:type="paragraph" w:styleId="afd">
    <w:name w:val="List Paragraph"/>
    <w:basedOn w:val="a0"/>
    <w:uiPriority w:val="99"/>
    <w:qFormat/>
    <w:rsid w:val="0015484F"/>
    <w:pPr>
      <w:ind w:left="720"/>
      <w:contextualSpacing/>
    </w:pPr>
  </w:style>
  <w:style w:type="paragraph" w:styleId="afe">
    <w:name w:val="endnote text"/>
    <w:basedOn w:val="a0"/>
    <w:link w:val="aff"/>
    <w:uiPriority w:val="99"/>
    <w:semiHidden/>
    <w:rsid w:val="00054B08"/>
    <w:rPr>
      <w:sz w:val="20"/>
      <w:szCs w:val="20"/>
    </w:rPr>
  </w:style>
  <w:style w:type="character" w:customStyle="1" w:styleId="aff">
    <w:name w:val="Текст концевой сноски Знак"/>
    <w:link w:val="afe"/>
    <w:uiPriority w:val="99"/>
    <w:semiHidden/>
    <w:locked/>
    <w:rsid w:val="00054B08"/>
    <w:rPr>
      <w:rFonts w:ascii="Times New Roman" w:hAnsi="Times New Roman" w:cs="Times New Roman"/>
    </w:rPr>
  </w:style>
  <w:style w:type="character" w:styleId="aff0">
    <w:name w:val="endnote reference"/>
    <w:uiPriority w:val="99"/>
    <w:rsid w:val="00054B08"/>
    <w:rPr>
      <w:rFonts w:cs="Times New Roman"/>
      <w:vertAlign w:val="superscript"/>
    </w:rPr>
  </w:style>
  <w:style w:type="character" w:customStyle="1" w:styleId="ab">
    <w:name w:val="Нижний колонтитул Знак"/>
    <w:link w:val="aa"/>
    <w:uiPriority w:val="99"/>
    <w:locked/>
    <w:rsid w:val="00054B08"/>
    <w:rPr>
      <w:rFonts w:ascii="Times New Roman" w:hAnsi="Times New Roman"/>
      <w:sz w:val="24"/>
    </w:rPr>
  </w:style>
  <w:style w:type="character" w:customStyle="1" w:styleId="26">
    <w:name w:val="Заголовок 2 Знак"/>
    <w:aliases w:val="Знак3 Знак1"/>
    <w:uiPriority w:val="99"/>
    <w:rsid w:val="00500C6E"/>
    <w:rPr>
      <w:rFonts w:ascii="Cambria" w:hAnsi="Cambria"/>
      <w:b/>
      <w:color w:val="4F81BD"/>
      <w:sz w:val="26"/>
    </w:rPr>
  </w:style>
  <w:style w:type="character" w:customStyle="1" w:styleId="40">
    <w:name w:val="Заголовок 4 Знак"/>
    <w:aliases w:val="Знак1 Знак3,Заголовок 4 Знак1 Знак2,Знак1 Знак Знак1"/>
    <w:uiPriority w:val="99"/>
    <w:rsid w:val="00500C6E"/>
    <w:rPr>
      <w:rFonts w:ascii="Cambria" w:hAnsi="Cambria"/>
      <w:b/>
      <w:i/>
      <w:color w:val="4F81BD"/>
      <w:sz w:val="24"/>
    </w:rPr>
  </w:style>
  <w:style w:type="character" w:customStyle="1" w:styleId="70">
    <w:name w:val="Заголовок 7 Знак"/>
    <w:link w:val="7"/>
    <w:uiPriority w:val="99"/>
    <w:locked/>
    <w:rsid w:val="00500C6E"/>
    <w:rPr>
      <w:rFonts w:ascii="Times New Roman" w:hAnsi="Times New Roman"/>
      <w:sz w:val="24"/>
    </w:rPr>
  </w:style>
  <w:style w:type="character" w:customStyle="1" w:styleId="aff1">
    <w:name w:val="Основной текст с отступом Знак"/>
    <w:aliases w:val="Основной текст 1 Знак,Нумерованный список !! Знак,Надин стиль Знак"/>
    <w:uiPriority w:val="99"/>
    <w:rsid w:val="00500C6E"/>
    <w:rPr>
      <w:rFonts w:ascii="Times New Roman" w:hAnsi="Times New Roman"/>
      <w:sz w:val="24"/>
      <w:lang w:eastAsia="ru-RU"/>
    </w:rPr>
  </w:style>
  <w:style w:type="character" w:customStyle="1" w:styleId="36">
    <w:name w:val="Заголовок 3 Знак"/>
    <w:aliases w:val="Знак2 Знак Знак1"/>
    <w:uiPriority w:val="99"/>
    <w:rsid w:val="00500C6E"/>
    <w:rPr>
      <w:rFonts w:ascii="Cambria" w:hAnsi="Cambria"/>
      <w:b/>
      <w:color w:val="4F81BD"/>
      <w:sz w:val="24"/>
      <w:lang w:eastAsia="ru-RU"/>
    </w:rPr>
  </w:style>
  <w:style w:type="character" w:customStyle="1" w:styleId="af5">
    <w:name w:val="Верхний колонтитул Знак"/>
    <w:link w:val="af4"/>
    <w:uiPriority w:val="99"/>
    <w:locked/>
    <w:rsid w:val="00500C6E"/>
    <w:rPr>
      <w:rFonts w:ascii="Times New Roman" w:hAnsi="Times New Roman"/>
      <w:sz w:val="24"/>
    </w:rPr>
  </w:style>
  <w:style w:type="character" w:customStyle="1" w:styleId="21">
    <w:name w:val="Заголовок 2 Знак1"/>
    <w:aliases w:val="Знак3 Знак"/>
    <w:link w:val="2"/>
    <w:uiPriority w:val="99"/>
    <w:locked/>
    <w:rsid w:val="00500C6E"/>
    <w:rPr>
      <w:rFonts w:ascii="Times New Roman" w:hAnsi="Times New Roman"/>
      <w:b/>
      <w:sz w:val="28"/>
    </w:rPr>
  </w:style>
  <w:style w:type="paragraph" w:customStyle="1" w:styleId="51">
    <w:name w:val="Знак5 Знак Знак Знак"/>
    <w:basedOn w:val="a0"/>
    <w:uiPriority w:val="99"/>
    <w:rsid w:val="00500C6E"/>
    <w:pPr>
      <w:spacing w:after="160" w:line="240" w:lineRule="exact"/>
    </w:pPr>
    <w:rPr>
      <w:rFonts w:ascii="Verdana" w:hAnsi="Verdana"/>
      <w:sz w:val="20"/>
      <w:szCs w:val="20"/>
      <w:lang w:val="en-US" w:eastAsia="en-US"/>
    </w:rPr>
  </w:style>
  <w:style w:type="paragraph" w:styleId="37">
    <w:name w:val="toc 3"/>
    <w:basedOn w:val="a0"/>
    <w:next w:val="a0"/>
    <w:autoRedefine/>
    <w:uiPriority w:val="99"/>
    <w:rsid w:val="00500C6E"/>
    <w:pPr>
      <w:tabs>
        <w:tab w:val="left" w:pos="720"/>
        <w:tab w:val="right" w:leader="dot" w:pos="10080"/>
      </w:tabs>
      <w:spacing w:line="300" w:lineRule="exact"/>
      <w:ind w:left="720" w:hanging="363"/>
    </w:pPr>
    <w:rPr>
      <w:rFonts w:eastAsia="Calibri"/>
      <w:sz w:val="26"/>
      <w:szCs w:val="26"/>
      <w:lang w:eastAsia="en-US"/>
    </w:rPr>
  </w:style>
  <w:style w:type="paragraph" w:styleId="aff2">
    <w:name w:val="Normal (Web)"/>
    <w:aliases w:val="Обычный (веб)1,Обычный (веб) Знак,Обычный (веб) Знак1,Обычный (веб) Знак Знак,Обычный (Web)1 Знак,Обычный (Web),Обычный (Web)1,Обычный (веб)11,Обычный (веб) Знак Знак Знак,Обычный (веб) Знак Знак Знак Знак Знак,Обычный (веб) Знак2 Знак"/>
    <w:basedOn w:val="a0"/>
    <w:link w:val="27"/>
    <w:uiPriority w:val="99"/>
    <w:rsid w:val="00500C6E"/>
    <w:pPr>
      <w:spacing w:before="100" w:beforeAutospacing="1" w:after="100" w:afterAutospacing="1"/>
    </w:pPr>
    <w:rPr>
      <w:rFonts w:ascii="Calibri" w:eastAsia="Calibri" w:hAnsi="Calibri"/>
      <w:szCs w:val="20"/>
    </w:rPr>
  </w:style>
  <w:style w:type="character" w:customStyle="1" w:styleId="17">
    <w:name w:val="Основной текст Знак1"/>
    <w:aliases w:val="bt Знак1"/>
    <w:uiPriority w:val="99"/>
    <w:rsid w:val="00500C6E"/>
    <w:rPr>
      <w:rFonts w:ascii="Times New Roman" w:hAnsi="Times New Roman"/>
      <w:sz w:val="20"/>
      <w:lang w:eastAsia="ru-RU"/>
    </w:rPr>
  </w:style>
  <w:style w:type="paragraph" w:customStyle="1" w:styleId="consplusnormal0">
    <w:name w:val="consplusnormal"/>
    <w:basedOn w:val="a0"/>
    <w:uiPriority w:val="99"/>
    <w:rsid w:val="00500C6E"/>
    <w:pPr>
      <w:spacing w:before="100" w:beforeAutospacing="1" w:after="100" w:afterAutospacing="1"/>
    </w:pPr>
    <w:rPr>
      <w:rFonts w:eastAsia="Calibri"/>
    </w:rPr>
  </w:style>
  <w:style w:type="character" w:customStyle="1" w:styleId="af">
    <w:name w:val="Текст примечания Знак"/>
    <w:link w:val="ae"/>
    <w:uiPriority w:val="99"/>
    <w:locked/>
    <w:rsid w:val="00500C6E"/>
    <w:rPr>
      <w:rFonts w:ascii="Times New Roman" w:hAnsi="Times New Roman"/>
    </w:rPr>
  </w:style>
  <w:style w:type="paragraph" w:customStyle="1" w:styleId="aff3">
    <w:name w:val="письмо"/>
    <w:basedOn w:val="a0"/>
    <w:uiPriority w:val="99"/>
    <w:rsid w:val="00500C6E"/>
    <w:pPr>
      <w:jc w:val="both"/>
    </w:pPr>
    <w:rPr>
      <w:sz w:val="28"/>
      <w:szCs w:val="20"/>
    </w:rPr>
  </w:style>
  <w:style w:type="paragraph" w:customStyle="1" w:styleId="ee1">
    <w:name w:val="загола'eeвок 1"/>
    <w:basedOn w:val="a0"/>
    <w:next w:val="a0"/>
    <w:uiPriority w:val="99"/>
    <w:rsid w:val="00500C6E"/>
    <w:pPr>
      <w:keepNext/>
      <w:widowControl w:val="0"/>
      <w:jc w:val="center"/>
    </w:pPr>
    <w:rPr>
      <w:szCs w:val="20"/>
    </w:rPr>
  </w:style>
  <w:style w:type="paragraph" w:customStyle="1" w:styleId="bt">
    <w:name w:val="Основной текст.bt.Основной текст Знак"/>
    <w:basedOn w:val="a0"/>
    <w:uiPriority w:val="99"/>
    <w:rsid w:val="00500C6E"/>
    <w:rPr>
      <w:szCs w:val="20"/>
    </w:rPr>
  </w:style>
  <w:style w:type="paragraph" w:customStyle="1" w:styleId="aff4">
    <w:name w:val="Основной"/>
    <w:basedOn w:val="a0"/>
    <w:uiPriority w:val="99"/>
    <w:rsid w:val="00500C6E"/>
    <w:pPr>
      <w:ind w:firstLine="720"/>
      <w:jc w:val="both"/>
    </w:pPr>
    <w:rPr>
      <w:sz w:val="28"/>
      <w:szCs w:val="20"/>
    </w:rPr>
  </w:style>
  <w:style w:type="paragraph" w:customStyle="1" w:styleId="13-15">
    <w:name w:val="Стиль13-15"/>
    <w:basedOn w:val="a0"/>
    <w:uiPriority w:val="99"/>
    <w:rsid w:val="00500C6E"/>
    <w:pPr>
      <w:spacing w:line="360" w:lineRule="auto"/>
      <w:jc w:val="both"/>
    </w:pPr>
    <w:rPr>
      <w:sz w:val="26"/>
      <w:szCs w:val="26"/>
    </w:rPr>
  </w:style>
  <w:style w:type="paragraph" w:customStyle="1" w:styleId="13-1">
    <w:name w:val="Стиль13-1"/>
    <w:basedOn w:val="a0"/>
    <w:uiPriority w:val="99"/>
    <w:rsid w:val="00500C6E"/>
    <w:pPr>
      <w:widowControl w:val="0"/>
      <w:autoSpaceDE w:val="0"/>
      <w:autoSpaceDN w:val="0"/>
      <w:adjustRightInd w:val="0"/>
      <w:jc w:val="both"/>
    </w:pPr>
    <w:rPr>
      <w:sz w:val="26"/>
      <w:szCs w:val="20"/>
    </w:rPr>
  </w:style>
  <w:style w:type="paragraph" w:customStyle="1" w:styleId="ConsNormal">
    <w:name w:val="ConsNormal"/>
    <w:uiPriority w:val="99"/>
    <w:rsid w:val="00500C6E"/>
    <w:pPr>
      <w:autoSpaceDE w:val="0"/>
      <w:autoSpaceDN w:val="0"/>
      <w:adjustRightInd w:val="0"/>
      <w:spacing w:before="20" w:after="120" w:line="360" w:lineRule="exact"/>
      <w:ind w:firstLine="720"/>
    </w:pPr>
    <w:rPr>
      <w:rFonts w:ascii="Arial" w:eastAsia="Times New Roman" w:hAnsi="Arial" w:cs="Arial"/>
    </w:rPr>
  </w:style>
  <w:style w:type="character" w:styleId="aff5">
    <w:name w:val="Strong"/>
    <w:uiPriority w:val="99"/>
    <w:qFormat/>
    <w:rsid w:val="00500C6E"/>
    <w:rPr>
      <w:rFonts w:cs="Times New Roman"/>
      <w:b/>
    </w:rPr>
  </w:style>
  <w:style w:type="paragraph" w:customStyle="1" w:styleId="1KGK9">
    <w:name w:val="1KG=K9"/>
    <w:uiPriority w:val="99"/>
    <w:rsid w:val="00500C6E"/>
    <w:pPr>
      <w:autoSpaceDE w:val="0"/>
      <w:autoSpaceDN w:val="0"/>
      <w:adjustRightInd w:val="0"/>
      <w:spacing w:before="20" w:after="120" w:line="360" w:lineRule="exact"/>
      <w:ind w:firstLine="709"/>
    </w:pPr>
    <w:rPr>
      <w:rFonts w:ascii="MS Sans Serif" w:eastAsia="Times New Roman" w:hAnsi="MS Sans Serif"/>
      <w:szCs w:val="24"/>
    </w:rPr>
  </w:style>
  <w:style w:type="character" w:customStyle="1" w:styleId="apple-style-span">
    <w:name w:val="apple-style-span"/>
    <w:uiPriority w:val="99"/>
    <w:rsid w:val="00500C6E"/>
    <w:rPr>
      <w:rFonts w:cs="Times New Roman"/>
    </w:rPr>
  </w:style>
  <w:style w:type="paragraph" w:customStyle="1" w:styleId="Style3">
    <w:name w:val="Style3"/>
    <w:basedOn w:val="a0"/>
    <w:uiPriority w:val="99"/>
    <w:rsid w:val="00500C6E"/>
    <w:pPr>
      <w:widowControl w:val="0"/>
      <w:autoSpaceDE w:val="0"/>
      <w:autoSpaceDN w:val="0"/>
      <w:adjustRightInd w:val="0"/>
      <w:spacing w:line="451" w:lineRule="exact"/>
      <w:ind w:firstLine="854"/>
      <w:jc w:val="both"/>
    </w:pPr>
  </w:style>
  <w:style w:type="paragraph" w:customStyle="1" w:styleId="aff6">
    <w:name w:val="a"/>
    <w:basedOn w:val="a0"/>
    <w:uiPriority w:val="99"/>
    <w:rsid w:val="00500C6E"/>
    <w:pPr>
      <w:spacing w:before="100" w:beforeAutospacing="1" w:after="100" w:afterAutospacing="1"/>
    </w:pPr>
  </w:style>
  <w:style w:type="paragraph" w:styleId="38">
    <w:name w:val="List 3"/>
    <w:basedOn w:val="a0"/>
    <w:uiPriority w:val="99"/>
    <w:rsid w:val="00500C6E"/>
    <w:pPr>
      <w:spacing w:after="200" w:line="276" w:lineRule="auto"/>
      <w:ind w:left="849" w:hanging="283"/>
    </w:pPr>
    <w:rPr>
      <w:rFonts w:ascii="Calibri" w:eastAsia="Calibri" w:hAnsi="Calibri"/>
      <w:sz w:val="22"/>
      <w:szCs w:val="22"/>
      <w:lang w:eastAsia="en-US"/>
    </w:rPr>
  </w:style>
  <w:style w:type="paragraph" w:styleId="18">
    <w:name w:val="toc 1"/>
    <w:basedOn w:val="a0"/>
    <w:next w:val="a0"/>
    <w:autoRedefine/>
    <w:uiPriority w:val="39"/>
    <w:rsid w:val="000706E1"/>
    <w:pPr>
      <w:tabs>
        <w:tab w:val="right" w:leader="dot" w:pos="10080"/>
      </w:tabs>
      <w:ind w:left="426" w:hanging="426"/>
    </w:pPr>
    <w:rPr>
      <w:rFonts w:ascii="Calibri" w:eastAsia="Calibri" w:hAnsi="Calibri"/>
      <w:sz w:val="22"/>
      <w:szCs w:val="22"/>
      <w:lang w:eastAsia="en-US"/>
    </w:rPr>
  </w:style>
  <w:style w:type="paragraph" w:styleId="28">
    <w:name w:val="toc 2"/>
    <w:basedOn w:val="a0"/>
    <w:next w:val="a0"/>
    <w:autoRedefine/>
    <w:uiPriority w:val="99"/>
    <w:rsid w:val="00500C6E"/>
    <w:pPr>
      <w:tabs>
        <w:tab w:val="right" w:leader="dot" w:pos="10080"/>
      </w:tabs>
      <w:spacing w:before="40" w:after="40" w:line="320" w:lineRule="exact"/>
      <w:ind w:left="720" w:hanging="360"/>
    </w:pPr>
    <w:rPr>
      <w:rFonts w:ascii="Calibri" w:eastAsia="Calibri" w:hAnsi="Calibri"/>
      <w:sz w:val="22"/>
      <w:szCs w:val="22"/>
      <w:lang w:eastAsia="en-US"/>
    </w:rPr>
  </w:style>
  <w:style w:type="paragraph" w:customStyle="1" w:styleId="29">
    <w:name w:val="Знак2"/>
    <w:basedOn w:val="a0"/>
    <w:uiPriority w:val="99"/>
    <w:rsid w:val="00500C6E"/>
    <w:pPr>
      <w:spacing w:after="160" w:line="240" w:lineRule="exact"/>
    </w:pPr>
    <w:rPr>
      <w:rFonts w:ascii="Verdana" w:hAnsi="Verdana"/>
      <w:sz w:val="20"/>
      <w:szCs w:val="20"/>
      <w:lang w:val="en-US" w:eastAsia="en-US"/>
    </w:rPr>
  </w:style>
  <w:style w:type="paragraph" w:styleId="aff7">
    <w:name w:val="No Spacing"/>
    <w:uiPriority w:val="99"/>
    <w:qFormat/>
    <w:rsid w:val="00500C6E"/>
    <w:pPr>
      <w:spacing w:before="20" w:after="120" w:line="360" w:lineRule="exact"/>
      <w:ind w:firstLine="709"/>
      <w:jc w:val="both"/>
    </w:pPr>
    <w:rPr>
      <w:rFonts w:ascii="Times New Roman" w:hAnsi="Times New Roman"/>
      <w:sz w:val="28"/>
      <w:szCs w:val="28"/>
      <w:lang w:eastAsia="en-US"/>
    </w:rPr>
  </w:style>
  <w:style w:type="paragraph" w:customStyle="1" w:styleId="41">
    <w:name w:val="Заголовок4"/>
    <w:aliases w:val="BIKITI"/>
    <w:uiPriority w:val="99"/>
    <w:rsid w:val="00500C6E"/>
    <w:pPr>
      <w:autoSpaceDE w:val="0"/>
      <w:autoSpaceDN w:val="0"/>
      <w:adjustRightInd w:val="0"/>
      <w:spacing w:before="20" w:after="57" w:line="240" w:lineRule="atLeast"/>
      <w:ind w:left="283" w:firstLine="709"/>
    </w:pPr>
    <w:rPr>
      <w:rFonts w:ascii="BalticaCTT" w:eastAsia="Times New Roman" w:hAnsi="BalticaCTT" w:cs="BalticaCTT"/>
      <w:b/>
      <w:bCs/>
      <w:color w:val="000000"/>
      <w:sz w:val="22"/>
      <w:szCs w:val="22"/>
    </w:rPr>
  </w:style>
  <w:style w:type="paragraph" w:customStyle="1" w:styleId="2a">
    <w:name w:val="Обычный2"/>
    <w:uiPriority w:val="99"/>
    <w:rsid w:val="00500C6E"/>
    <w:pPr>
      <w:spacing w:before="20" w:after="120" w:line="360" w:lineRule="exact"/>
      <w:ind w:firstLine="709"/>
    </w:pPr>
    <w:rPr>
      <w:rFonts w:ascii="Times New Roman" w:eastAsia="Times New Roman" w:hAnsi="Times New Roman"/>
    </w:rPr>
  </w:style>
  <w:style w:type="paragraph" w:customStyle="1" w:styleId="aff8">
    <w:name w:val="Чиновничий"/>
    <w:basedOn w:val="a0"/>
    <w:autoRedefine/>
    <w:uiPriority w:val="99"/>
    <w:rsid w:val="00500C6E"/>
    <w:pPr>
      <w:widowControl w:val="0"/>
      <w:snapToGrid w:val="0"/>
      <w:spacing w:line="300" w:lineRule="exact"/>
      <w:jc w:val="both"/>
    </w:pPr>
    <w:rPr>
      <w:sz w:val="26"/>
      <w:szCs w:val="26"/>
    </w:rPr>
  </w:style>
  <w:style w:type="character" w:customStyle="1" w:styleId="aff9">
    <w:name w:val="Текст сноски Знак"/>
    <w:uiPriority w:val="99"/>
    <w:rsid w:val="00500C6E"/>
    <w:rPr>
      <w:rFonts w:ascii="Times New Roman" w:hAnsi="Times New Roman"/>
      <w:sz w:val="20"/>
      <w:lang w:eastAsia="ru-RU"/>
    </w:rPr>
  </w:style>
  <w:style w:type="paragraph" w:customStyle="1" w:styleId="xl74">
    <w:name w:val="xl74"/>
    <w:basedOn w:val="a0"/>
    <w:uiPriority w:val="99"/>
    <w:rsid w:val="00500C6E"/>
    <w:pPr>
      <w:pBdr>
        <w:left w:val="single" w:sz="8" w:space="0" w:color="auto"/>
        <w:right w:val="single" w:sz="8" w:space="0" w:color="auto"/>
      </w:pBdr>
      <w:spacing w:before="100" w:beforeAutospacing="1" w:after="100" w:afterAutospacing="1"/>
    </w:pPr>
    <w:rPr>
      <w:rFonts w:ascii="Times New Roman CYR" w:eastAsia="Calibri" w:hAnsi="Times New Roman CYR" w:cs="GaramondC"/>
      <w:sz w:val="18"/>
      <w:szCs w:val="18"/>
    </w:rPr>
  </w:style>
  <w:style w:type="character" w:customStyle="1" w:styleId="14">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1"/>
    <w:link w:val="af2"/>
    <w:uiPriority w:val="99"/>
    <w:locked/>
    <w:rsid w:val="00500C6E"/>
    <w:rPr>
      <w:rFonts w:ascii="Times New Roman" w:hAnsi="Times New Roman"/>
    </w:rPr>
  </w:style>
  <w:style w:type="paragraph" w:styleId="affa">
    <w:name w:val="E-mail Signature"/>
    <w:basedOn w:val="a0"/>
    <w:link w:val="affb"/>
    <w:uiPriority w:val="99"/>
    <w:rsid w:val="00500C6E"/>
  </w:style>
  <w:style w:type="character" w:customStyle="1" w:styleId="affb">
    <w:name w:val="Электронная подпись Знак"/>
    <w:link w:val="affa"/>
    <w:uiPriority w:val="99"/>
    <w:locked/>
    <w:rsid w:val="00500C6E"/>
    <w:rPr>
      <w:rFonts w:ascii="Times New Roman" w:hAnsi="Times New Roman" w:cs="Times New Roman"/>
      <w:sz w:val="24"/>
    </w:rPr>
  </w:style>
  <w:style w:type="character" w:customStyle="1" w:styleId="afa">
    <w:name w:val="Текст Знак"/>
    <w:link w:val="af9"/>
    <w:uiPriority w:val="99"/>
    <w:locked/>
    <w:rsid w:val="00500C6E"/>
    <w:rPr>
      <w:rFonts w:ascii="Courier New" w:hAnsi="Courier New"/>
    </w:rPr>
  </w:style>
  <w:style w:type="paragraph" w:customStyle="1" w:styleId="affc">
    <w:name w:val="МОН"/>
    <w:basedOn w:val="a0"/>
    <w:link w:val="affd"/>
    <w:uiPriority w:val="99"/>
    <w:rsid w:val="00500C6E"/>
    <w:pPr>
      <w:spacing w:line="360" w:lineRule="auto"/>
      <w:jc w:val="both"/>
    </w:pPr>
    <w:rPr>
      <w:rFonts w:eastAsia="Calibri"/>
      <w:szCs w:val="20"/>
    </w:rPr>
  </w:style>
  <w:style w:type="character" w:customStyle="1" w:styleId="affd">
    <w:name w:val="МОН Знак"/>
    <w:link w:val="affc"/>
    <w:uiPriority w:val="99"/>
    <w:locked/>
    <w:rsid w:val="00500C6E"/>
    <w:rPr>
      <w:rFonts w:ascii="Times New Roman" w:hAnsi="Times New Roman"/>
      <w:sz w:val="24"/>
    </w:rPr>
  </w:style>
  <w:style w:type="paragraph" w:customStyle="1" w:styleId="affe">
    <w:name w:val="Стиль мой"/>
    <w:basedOn w:val="a0"/>
    <w:uiPriority w:val="99"/>
    <w:rsid w:val="00500C6E"/>
    <w:pPr>
      <w:widowControl w:val="0"/>
      <w:spacing w:line="360" w:lineRule="auto"/>
      <w:ind w:firstLine="567"/>
      <w:jc w:val="both"/>
    </w:pPr>
    <w:rPr>
      <w:szCs w:val="20"/>
    </w:rPr>
  </w:style>
  <w:style w:type="paragraph" w:customStyle="1" w:styleId="afff">
    <w:name w:val="текст"/>
    <w:basedOn w:val="afff0"/>
    <w:uiPriority w:val="99"/>
    <w:rsid w:val="00500C6E"/>
    <w:pPr>
      <w:autoSpaceDE w:val="0"/>
      <w:autoSpaceDN w:val="0"/>
      <w:adjustRightInd w:val="0"/>
      <w:spacing w:before="113" w:after="113" w:line="260" w:lineRule="atLeast"/>
      <w:ind w:firstLine="454"/>
      <w:jc w:val="both"/>
      <w:outlineLvl w:val="9"/>
    </w:pPr>
    <w:rPr>
      <w:rFonts w:ascii="GaramondC" w:eastAsia="Times New Roman" w:hAnsi="GaramondC"/>
      <w:sz w:val="20"/>
      <w:szCs w:val="20"/>
      <w:lang w:val="en-US" w:eastAsia="ru-RU"/>
    </w:rPr>
  </w:style>
  <w:style w:type="paragraph" w:styleId="afff0">
    <w:name w:val="Subtitle"/>
    <w:basedOn w:val="a0"/>
    <w:link w:val="afff1"/>
    <w:uiPriority w:val="99"/>
    <w:qFormat/>
    <w:rsid w:val="00500C6E"/>
    <w:pPr>
      <w:spacing w:after="60" w:line="276" w:lineRule="auto"/>
      <w:jc w:val="center"/>
      <w:outlineLvl w:val="1"/>
    </w:pPr>
    <w:rPr>
      <w:rFonts w:ascii="Arial" w:eastAsia="Calibri" w:hAnsi="Arial"/>
      <w:lang w:eastAsia="en-US"/>
    </w:rPr>
  </w:style>
  <w:style w:type="character" w:customStyle="1" w:styleId="afff1">
    <w:name w:val="Подзаголовок Знак"/>
    <w:link w:val="afff0"/>
    <w:uiPriority w:val="99"/>
    <w:locked/>
    <w:rsid w:val="00500C6E"/>
    <w:rPr>
      <w:rFonts w:ascii="Arial" w:hAnsi="Arial" w:cs="Times New Roman"/>
      <w:sz w:val="24"/>
      <w:lang w:eastAsia="en-US"/>
    </w:rPr>
  </w:style>
  <w:style w:type="paragraph" w:customStyle="1" w:styleId="xl31">
    <w:name w:val="xl31"/>
    <w:basedOn w:val="a0"/>
    <w:uiPriority w:val="99"/>
    <w:rsid w:val="00500C6E"/>
    <w:pPr>
      <w:pBdr>
        <w:right w:val="single" w:sz="4" w:space="0" w:color="auto"/>
      </w:pBdr>
      <w:spacing w:before="100" w:after="100"/>
      <w:jc w:val="center"/>
    </w:pPr>
    <w:rPr>
      <w:rFonts w:eastAsia="Calibri"/>
      <w:sz w:val="26"/>
      <w:szCs w:val="20"/>
    </w:rPr>
  </w:style>
  <w:style w:type="character" w:customStyle="1" w:styleId="310">
    <w:name w:val="Заголовок 3 Знак Знак1"/>
    <w:aliases w:val="Знак2 Знак Знак Знак1"/>
    <w:uiPriority w:val="99"/>
    <w:rsid w:val="00500C6E"/>
    <w:rPr>
      <w:b/>
      <w:sz w:val="26"/>
      <w:lang w:val="ru-RU" w:eastAsia="ru-RU"/>
    </w:rPr>
  </w:style>
  <w:style w:type="paragraph" w:customStyle="1" w:styleId="Standard">
    <w:name w:val="Standard"/>
    <w:uiPriority w:val="99"/>
    <w:rsid w:val="00500C6E"/>
    <w:pPr>
      <w:widowControl w:val="0"/>
      <w:suppressAutoHyphens/>
      <w:autoSpaceDN w:val="0"/>
      <w:spacing w:before="20" w:after="120" w:line="360" w:lineRule="exact"/>
      <w:ind w:firstLine="709"/>
      <w:textAlignment w:val="baseline"/>
    </w:pPr>
    <w:rPr>
      <w:rFonts w:ascii="Arial" w:hAnsi="Arial" w:cs="Tahoma"/>
      <w:kern w:val="3"/>
      <w:sz w:val="21"/>
      <w:szCs w:val="24"/>
    </w:rPr>
  </w:style>
  <w:style w:type="character" w:customStyle="1" w:styleId="Head1">
    <w:name w:val="Head 1 Знак"/>
    <w:aliases w:val="????????? 1 Знак Знак"/>
    <w:uiPriority w:val="99"/>
    <w:rsid w:val="00500C6E"/>
    <w:rPr>
      <w:rFonts w:ascii="Arial" w:hAnsi="Arial"/>
      <w:b/>
      <w:kern w:val="32"/>
      <w:sz w:val="32"/>
      <w:lang w:val="ru-RU" w:eastAsia="ru-RU"/>
    </w:rPr>
  </w:style>
  <w:style w:type="paragraph" w:customStyle="1" w:styleId="14-1">
    <w:name w:val="Стиль14-1"/>
    <w:basedOn w:val="a0"/>
    <w:uiPriority w:val="99"/>
    <w:rsid w:val="00500C6E"/>
    <w:pPr>
      <w:jc w:val="both"/>
    </w:pPr>
    <w:rPr>
      <w:sz w:val="28"/>
    </w:rPr>
  </w:style>
  <w:style w:type="character" w:customStyle="1" w:styleId="bt0">
    <w:name w:val="bt Знак Знак"/>
    <w:uiPriority w:val="99"/>
    <w:rsid w:val="00500C6E"/>
    <w:rPr>
      <w:sz w:val="24"/>
      <w:lang w:val="ru-RU" w:eastAsia="ru-RU"/>
    </w:rPr>
  </w:style>
  <w:style w:type="table" w:styleId="-3">
    <w:name w:val="Table Web 3"/>
    <w:basedOn w:val="a2"/>
    <w:uiPriority w:val="99"/>
    <w:rsid w:val="00500C6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ff2">
    <w:name w:val="Знак"/>
    <w:basedOn w:val="a0"/>
    <w:uiPriority w:val="99"/>
    <w:rsid w:val="00500C6E"/>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0"/>
    <w:uiPriority w:val="99"/>
    <w:rsid w:val="00500C6E"/>
    <w:pPr>
      <w:jc w:val="both"/>
    </w:pPr>
    <w:rPr>
      <w:sz w:val="28"/>
      <w:szCs w:val="20"/>
    </w:rPr>
  </w:style>
  <w:style w:type="paragraph" w:customStyle="1" w:styleId="xl25">
    <w:name w:val="xl25"/>
    <w:basedOn w:val="a0"/>
    <w:uiPriority w:val="99"/>
    <w:rsid w:val="00500C6E"/>
    <w:pPr>
      <w:pBdr>
        <w:left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Tablename">
    <w:name w:val="Table name"/>
    <w:uiPriority w:val="99"/>
    <w:rsid w:val="00500C6E"/>
    <w:pPr>
      <w:widowControl w:val="0"/>
      <w:overflowPunct w:val="0"/>
      <w:autoSpaceDE w:val="0"/>
      <w:autoSpaceDN w:val="0"/>
      <w:adjustRightInd w:val="0"/>
      <w:spacing w:before="20" w:after="120" w:line="360" w:lineRule="exact"/>
      <w:ind w:firstLine="709"/>
      <w:jc w:val="center"/>
      <w:textAlignment w:val="baseline"/>
    </w:pPr>
    <w:rPr>
      <w:rFonts w:ascii="ACSRS" w:eastAsia="Times New Roman" w:hAnsi="ACSRS"/>
      <w:b/>
      <w:sz w:val="18"/>
    </w:rPr>
  </w:style>
  <w:style w:type="paragraph" w:customStyle="1" w:styleId="19">
    <w:name w:val="Стиль1"/>
    <w:basedOn w:val="a0"/>
    <w:uiPriority w:val="99"/>
    <w:rsid w:val="00500C6E"/>
    <w:pPr>
      <w:spacing w:line="300" w:lineRule="exact"/>
      <w:jc w:val="both"/>
    </w:pPr>
    <w:rPr>
      <w:rFonts w:eastAsia="Calibri"/>
      <w:sz w:val="26"/>
      <w:szCs w:val="22"/>
      <w:lang w:eastAsia="en-US"/>
    </w:rPr>
  </w:style>
  <w:style w:type="paragraph" w:customStyle="1" w:styleId="39">
    <w:name w:val="Стиль3"/>
    <w:basedOn w:val="a0"/>
    <w:uiPriority w:val="99"/>
    <w:rsid w:val="00500C6E"/>
    <w:pPr>
      <w:spacing w:before="40" w:after="40"/>
    </w:pPr>
    <w:rPr>
      <w:rFonts w:eastAsia="Calibri"/>
      <w:szCs w:val="22"/>
      <w:lang w:eastAsia="en-US"/>
    </w:rPr>
  </w:style>
  <w:style w:type="paragraph" w:customStyle="1" w:styleId="43">
    <w:name w:val="Стиль4"/>
    <w:basedOn w:val="a0"/>
    <w:uiPriority w:val="99"/>
    <w:rsid w:val="00500C6E"/>
    <w:pPr>
      <w:spacing w:before="40" w:after="40"/>
      <w:jc w:val="center"/>
    </w:pPr>
    <w:rPr>
      <w:rFonts w:eastAsia="Calibri"/>
      <w:szCs w:val="22"/>
      <w:lang w:eastAsia="en-US"/>
    </w:rPr>
  </w:style>
  <w:style w:type="paragraph" w:customStyle="1" w:styleId="2b">
    <w:name w:val="Стиль2"/>
    <w:basedOn w:val="4"/>
    <w:uiPriority w:val="99"/>
    <w:rsid w:val="00500C6E"/>
    <w:pPr>
      <w:widowControl w:val="0"/>
      <w:spacing w:after="240" w:line="300" w:lineRule="exact"/>
      <w:jc w:val="center"/>
    </w:pPr>
    <w:rPr>
      <w:bCs w:val="0"/>
      <w:noProof/>
    </w:rPr>
  </w:style>
  <w:style w:type="character" w:customStyle="1" w:styleId="311">
    <w:name w:val="Основной текст с отступом 3 Знак1"/>
    <w:uiPriority w:val="99"/>
    <w:locked/>
    <w:rsid w:val="00500C6E"/>
    <w:rPr>
      <w:sz w:val="16"/>
      <w:lang w:val="ru-RU" w:eastAsia="ru-RU"/>
    </w:rPr>
  </w:style>
  <w:style w:type="paragraph" w:customStyle="1" w:styleId="52">
    <w:name w:val="Стиль5"/>
    <w:basedOn w:val="39"/>
    <w:uiPriority w:val="99"/>
    <w:rsid w:val="00500C6E"/>
    <w:pPr>
      <w:spacing w:before="240" w:after="120"/>
      <w:jc w:val="center"/>
    </w:pPr>
    <w:rPr>
      <w:b/>
      <w:bCs/>
      <w:sz w:val="26"/>
      <w:szCs w:val="26"/>
    </w:rPr>
  </w:style>
  <w:style w:type="paragraph" w:customStyle="1" w:styleId="61">
    <w:name w:val="Стиль6"/>
    <w:basedOn w:val="2"/>
    <w:uiPriority w:val="99"/>
    <w:rsid w:val="00500C6E"/>
    <w:rPr>
      <w:i/>
    </w:rPr>
  </w:style>
  <w:style w:type="paragraph" w:customStyle="1" w:styleId="Iauiue1">
    <w:name w:val="Iau?iue1"/>
    <w:uiPriority w:val="99"/>
    <w:rsid w:val="00500C6E"/>
    <w:pPr>
      <w:widowControl w:val="0"/>
      <w:overflowPunct w:val="0"/>
      <w:autoSpaceDE w:val="0"/>
      <w:autoSpaceDN w:val="0"/>
      <w:adjustRightInd w:val="0"/>
      <w:spacing w:before="20" w:after="120" w:line="360" w:lineRule="exact"/>
      <w:ind w:firstLine="709"/>
      <w:textAlignment w:val="baseline"/>
    </w:pPr>
    <w:rPr>
      <w:rFonts w:ascii="Times New Roman" w:eastAsia="Times New Roman" w:hAnsi="Times New Roman"/>
    </w:rPr>
  </w:style>
  <w:style w:type="paragraph" w:customStyle="1" w:styleId="Iniiaiie1">
    <w:name w:val="Iniiaiie1"/>
    <w:aliases w:val="oaeno1"/>
    <w:basedOn w:val="Iauiue1"/>
    <w:uiPriority w:val="99"/>
    <w:rsid w:val="00500C6E"/>
    <w:pPr>
      <w:spacing w:before="120" w:line="360" w:lineRule="auto"/>
      <w:jc w:val="both"/>
    </w:pPr>
    <w:rPr>
      <w:rFonts w:ascii="Arial" w:hAnsi="Arial"/>
      <w:sz w:val="21"/>
    </w:rPr>
  </w:style>
  <w:style w:type="paragraph" w:customStyle="1" w:styleId="afff3">
    <w:name w:val="Знак Знак Знак Знак"/>
    <w:basedOn w:val="a0"/>
    <w:uiPriority w:val="99"/>
    <w:rsid w:val="00500C6E"/>
    <w:pPr>
      <w:spacing w:before="100" w:beforeAutospacing="1" w:after="100" w:afterAutospacing="1"/>
    </w:pPr>
    <w:rPr>
      <w:rFonts w:ascii="Tahoma" w:hAnsi="Tahoma"/>
      <w:sz w:val="20"/>
      <w:szCs w:val="20"/>
      <w:lang w:val="en-US" w:eastAsia="en-US"/>
    </w:rPr>
  </w:style>
  <w:style w:type="character" w:styleId="afff4">
    <w:name w:val="Emphasis"/>
    <w:uiPriority w:val="99"/>
    <w:qFormat/>
    <w:rsid w:val="00500C6E"/>
    <w:rPr>
      <w:rFonts w:cs="Times New Roman"/>
      <w:i/>
    </w:rPr>
  </w:style>
  <w:style w:type="paragraph" w:customStyle="1" w:styleId="ConsPlusNonformat">
    <w:name w:val="ConsPlusNonformat"/>
    <w:uiPriority w:val="99"/>
    <w:rsid w:val="00500C6E"/>
    <w:pPr>
      <w:widowControl w:val="0"/>
      <w:autoSpaceDE w:val="0"/>
      <w:autoSpaceDN w:val="0"/>
      <w:adjustRightInd w:val="0"/>
      <w:spacing w:before="20" w:after="120" w:line="360" w:lineRule="exact"/>
      <w:ind w:firstLine="709"/>
    </w:pPr>
    <w:rPr>
      <w:rFonts w:ascii="Courier New" w:eastAsia="Times New Roman" w:hAnsi="Courier New" w:cs="Courier New"/>
    </w:rPr>
  </w:style>
  <w:style w:type="paragraph" w:customStyle="1" w:styleId="a">
    <w:name w:val="Список с кружком"/>
    <w:basedOn w:val="a0"/>
    <w:uiPriority w:val="99"/>
    <w:rsid w:val="00500C6E"/>
    <w:pPr>
      <w:numPr>
        <w:numId w:val="1"/>
      </w:numPr>
    </w:pPr>
  </w:style>
  <w:style w:type="paragraph" w:styleId="afff5">
    <w:name w:val="table of authorities"/>
    <w:basedOn w:val="a0"/>
    <w:next w:val="a0"/>
    <w:uiPriority w:val="99"/>
    <w:semiHidden/>
    <w:rsid w:val="00500C6E"/>
    <w:pPr>
      <w:spacing w:after="200" w:line="276" w:lineRule="auto"/>
      <w:ind w:left="240" w:hanging="240"/>
    </w:pPr>
    <w:rPr>
      <w:rFonts w:ascii="Calibri" w:eastAsia="Calibri" w:hAnsi="Calibri"/>
      <w:sz w:val="22"/>
      <w:szCs w:val="22"/>
      <w:lang w:eastAsia="en-US"/>
    </w:rPr>
  </w:style>
  <w:style w:type="paragraph" w:customStyle="1" w:styleId="71">
    <w:name w:val="Стиль7"/>
    <w:basedOn w:val="a0"/>
    <w:uiPriority w:val="99"/>
    <w:rsid w:val="00500C6E"/>
    <w:pPr>
      <w:spacing w:after="200" w:line="276" w:lineRule="auto"/>
    </w:pPr>
    <w:rPr>
      <w:rFonts w:ascii="Calibri" w:eastAsia="Calibri" w:hAnsi="Calibri"/>
      <w:sz w:val="20"/>
      <w:szCs w:val="20"/>
      <w:vertAlign w:val="superscript"/>
      <w:lang w:eastAsia="en-US"/>
    </w:rPr>
  </w:style>
  <w:style w:type="paragraph" w:customStyle="1" w:styleId="afff6">
    <w:name w:val="Письмо"/>
    <w:basedOn w:val="a0"/>
    <w:uiPriority w:val="99"/>
    <w:rsid w:val="00500C6E"/>
    <w:pPr>
      <w:spacing w:line="300" w:lineRule="auto"/>
      <w:jc w:val="both"/>
    </w:pPr>
    <w:rPr>
      <w:sz w:val="26"/>
      <w:szCs w:val="26"/>
    </w:rPr>
  </w:style>
  <w:style w:type="character" w:customStyle="1" w:styleId="81">
    <w:name w:val="Знак Знак8"/>
    <w:uiPriority w:val="99"/>
    <w:rsid w:val="00500C6E"/>
    <w:rPr>
      <w:b/>
      <w:caps/>
      <w:kern w:val="32"/>
      <w:sz w:val="28"/>
      <w:lang w:val="ru-RU" w:eastAsia="en-US"/>
    </w:rPr>
  </w:style>
  <w:style w:type="character" w:customStyle="1" w:styleId="3a">
    <w:name w:val="Знак3 Знак Знак"/>
    <w:uiPriority w:val="99"/>
    <w:rsid w:val="00500C6E"/>
    <w:rPr>
      <w:rFonts w:ascii="Arial" w:hAnsi="Arial"/>
      <w:b/>
      <w:i/>
      <w:sz w:val="28"/>
      <w:lang w:val="ru-RU" w:eastAsia="ru-RU"/>
    </w:rPr>
  </w:style>
  <w:style w:type="character" w:customStyle="1" w:styleId="-FN">
    <w:name w:val="Текст сноски-FN Знак"/>
    <w:aliases w:val="Footnote Text Char Знак Знак Знак,Footnote Text Char Знак Знак1,Текст сноски Знак Знак1,Footnote Text Char Char Знак,Footnote Text Char Char Char Char Знак,Footnote Text1 Знак,Footnote Text Char Char Char Знак,fn Знак,ft Знак"/>
    <w:uiPriority w:val="99"/>
    <w:locked/>
    <w:rsid w:val="00500C6E"/>
    <w:rPr>
      <w:lang w:val="ru-RU" w:eastAsia="ru-RU"/>
    </w:rPr>
  </w:style>
  <w:style w:type="character" w:customStyle="1" w:styleId="2c">
    <w:name w:val="Знак Знак2"/>
    <w:uiPriority w:val="99"/>
    <w:locked/>
    <w:rsid w:val="00500C6E"/>
    <w:rPr>
      <w:rFonts w:ascii="Calibri" w:hAnsi="Calibri"/>
      <w:sz w:val="22"/>
      <w:lang w:val="ru-RU" w:eastAsia="en-US"/>
    </w:rPr>
  </w:style>
  <w:style w:type="character" w:customStyle="1" w:styleId="afff7">
    <w:name w:val="Знак Знак"/>
    <w:uiPriority w:val="99"/>
    <w:locked/>
    <w:rsid w:val="00500C6E"/>
    <w:rPr>
      <w:sz w:val="24"/>
      <w:lang w:val="ru-RU" w:eastAsia="ru-RU"/>
    </w:rPr>
  </w:style>
  <w:style w:type="paragraph" w:customStyle="1" w:styleId="Style60">
    <w:name w:val="Style60"/>
    <w:basedOn w:val="a0"/>
    <w:uiPriority w:val="99"/>
    <w:rsid w:val="00500C6E"/>
    <w:pPr>
      <w:widowControl w:val="0"/>
      <w:autoSpaceDE w:val="0"/>
      <w:autoSpaceDN w:val="0"/>
      <w:adjustRightInd w:val="0"/>
      <w:spacing w:line="480" w:lineRule="exact"/>
      <w:ind w:hanging="163"/>
    </w:pPr>
  </w:style>
  <w:style w:type="character" w:customStyle="1" w:styleId="FontStyle120">
    <w:name w:val="Font Style120"/>
    <w:uiPriority w:val="99"/>
    <w:rsid w:val="00500C6E"/>
    <w:rPr>
      <w:rFonts w:ascii="Times New Roman" w:hAnsi="Times New Roman"/>
      <w:b/>
      <w:sz w:val="26"/>
    </w:rPr>
  </w:style>
  <w:style w:type="paragraph" w:customStyle="1" w:styleId="Style36">
    <w:name w:val="Style36"/>
    <w:basedOn w:val="a0"/>
    <w:uiPriority w:val="99"/>
    <w:rsid w:val="00500C6E"/>
    <w:pPr>
      <w:widowControl w:val="0"/>
      <w:autoSpaceDE w:val="0"/>
      <w:autoSpaceDN w:val="0"/>
      <w:adjustRightInd w:val="0"/>
      <w:spacing w:line="230" w:lineRule="exact"/>
      <w:jc w:val="center"/>
    </w:pPr>
  </w:style>
  <w:style w:type="paragraph" w:customStyle="1" w:styleId="Style70">
    <w:name w:val="Style70"/>
    <w:basedOn w:val="a0"/>
    <w:uiPriority w:val="99"/>
    <w:rsid w:val="00500C6E"/>
    <w:pPr>
      <w:widowControl w:val="0"/>
      <w:autoSpaceDE w:val="0"/>
      <w:autoSpaceDN w:val="0"/>
      <w:adjustRightInd w:val="0"/>
    </w:pPr>
  </w:style>
  <w:style w:type="paragraph" w:customStyle="1" w:styleId="Style75">
    <w:name w:val="Style75"/>
    <w:basedOn w:val="a0"/>
    <w:uiPriority w:val="99"/>
    <w:rsid w:val="00500C6E"/>
    <w:pPr>
      <w:widowControl w:val="0"/>
      <w:autoSpaceDE w:val="0"/>
      <w:autoSpaceDN w:val="0"/>
      <w:adjustRightInd w:val="0"/>
      <w:spacing w:line="235" w:lineRule="exact"/>
    </w:pPr>
  </w:style>
  <w:style w:type="character" w:customStyle="1" w:styleId="FontStyle133">
    <w:name w:val="Font Style133"/>
    <w:uiPriority w:val="99"/>
    <w:rsid w:val="00500C6E"/>
    <w:rPr>
      <w:rFonts w:ascii="Times New Roman" w:hAnsi="Times New Roman"/>
      <w:i/>
      <w:sz w:val="16"/>
    </w:rPr>
  </w:style>
  <w:style w:type="character" w:customStyle="1" w:styleId="FontStyle134">
    <w:name w:val="Font Style134"/>
    <w:uiPriority w:val="99"/>
    <w:rsid w:val="00500C6E"/>
    <w:rPr>
      <w:rFonts w:ascii="Times New Roman" w:hAnsi="Times New Roman"/>
      <w:sz w:val="16"/>
    </w:rPr>
  </w:style>
  <w:style w:type="paragraph" w:customStyle="1" w:styleId="Style4">
    <w:name w:val="Style4"/>
    <w:basedOn w:val="a0"/>
    <w:uiPriority w:val="99"/>
    <w:rsid w:val="00500C6E"/>
    <w:pPr>
      <w:widowControl w:val="0"/>
      <w:autoSpaceDE w:val="0"/>
      <w:autoSpaceDN w:val="0"/>
      <w:adjustRightInd w:val="0"/>
      <w:jc w:val="center"/>
    </w:pPr>
  </w:style>
  <w:style w:type="character" w:customStyle="1" w:styleId="FontStyle142">
    <w:name w:val="Font Style142"/>
    <w:uiPriority w:val="99"/>
    <w:rsid w:val="00500C6E"/>
    <w:rPr>
      <w:rFonts w:ascii="Times New Roman" w:hAnsi="Times New Roman"/>
      <w:b/>
      <w:sz w:val="22"/>
    </w:rPr>
  </w:style>
  <w:style w:type="paragraph" w:customStyle="1" w:styleId="Default0">
    <w:name w:val="Default"/>
    <w:uiPriority w:val="99"/>
    <w:rsid w:val="00500C6E"/>
    <w:pPr>
      <w:autoSpaceDE w:val="0"/>
      <w:autoSpaceDN w:val="0"/>
      <w:adjustRightInd w:val="0"/>
      <w:spacing w:before="20" w:after="120" w:line="360" w:lineRule="exact"/>
      <w:ind w:firstLine="709"/>
    </w:pPr>
    <w:rPr>
      <w:rFonts w:eastAsia="Times New Roman" w:cs="Calibri"/>
      <w:color w:val="000000"/>
      <w:sz w:val="24"/>
      <w:szCs w:val="24"/>
    </w:rPr>
  </w:style>
  <w:style w:type="paragraph" w:customStyle="1" w:styleId="1a">
    <w:name w:val="Основной текст с отступом.Основной текст 1.Нумерованный список !!.Надин стиль"/>
    <w:basedOn w:val="a0"/>
    <w:uiPriority w:val="99"/>
    <w:rsid w:val="00500C6E"/>
    <w:pPr>
      <w:ind w:firstLine="720"/>
      <w:jc w:val="both"/>
    </w:pPr>
    <w:rPr>
      <w:sz w:val="26"/>
      <w:szCs w:val="20"/>
    </w:rPr>
  </w:style>
  <w:style w:type="character" w:customStyle="1" w:styleId="FontStyle188">
    <w:name w:val="Font Style188"/>
    <w:uiPriority w:val="99"/>
    <w:rsid w:val="00500C6E"/>
    <w:rPr>
      <w:rFonts w:ascii="Times New Roman" w:hAnsi="Times New Roman"/>
      <w:sz w:val="26"/>
    </w:rPr>
  </w:style>
  <w:style w:type="paragraph" w:customStyle="1" w:styleId="Style25">
    <w:name w:val="Style25"/>
    <w:basedOn w:val="a0"/>
    <w:uiPriority w:val="99"/>
    <w:rsid w:val="00500C6E"/>
    <w:pPr>
      <w:widowControl w:val="0"/>
      <w:autoSpaceDE w:val="0"/>
      <w:autoSpaceDN w:val="0"/>
      <w:adjustRightInd w:val="0"/>
      <w:spacing w:line="479" w:lineRule="exact"/>
      <w:ind w:firstLine="926"/>
      <w:jc w:val="both"/>
    </w:pPr>
  </w:style>
  <w:style w:type="paragraph" w:customStyle="1" w:styleId="Style31">
    <w:name w:val="Style31"/>
    <w:basedOn w:val="a0"/>
    <w:uiPriority w:val="99"/>
    <w:rsid w:val="00500C6E"/>
    <w:pPr>
      <w:widowControl w:val="0"/>
      <w:autoSpaceDE w:val="0"/>
      <w:autoSpaceDN w:val="0"/>
      <w:adjustRightInd w:val="0"/>
      <w:spacing w:line="485" w:lineRule="exact"/>
      <w:ind w:firstLine="590"/>
      <w:jc w:val="both"/>
    </w:pPr>
  </w:style>
  <w:style w:type="paragraph" w:customStyle="1" w:styleId="Style18">
    <w:name w:val="Style18"/>
    <w:basedOn w:val="a0"/>
    <w:uiPriority w:val="99"/>
    <w:rsid w:val="00500C6E"/>
    <w:pPr>
      <w:widowControl w:val="0"/>
      <w:autoSpaceDE w:val="0"/>
      <w:autoSpaceDN w:val="0"/>
      <w:adjustRightInd w:val="0"/>
      <w:spacing w:line="480" w:lineRule="exact"/>
      <w:ind w:firstLine="739"/>
      <w:jc w:val="both"/>
    </w:pPr>
  </w:style>
  <w:style w:type="character" w:customStyle="1" w:styleId="FontStyle27">
    <w:name w:val="Font Style27"/>
    <w:uiPriority w:val="99"/>
    <w:rsid w:val="00500C6E"/>
    <w:rPr>
      <w:rFonts w:ascii="Times New Roman" w:hAnsi="Times New Roman"/>
      <w:b/>
    </w:rPr>
  </w:style>
  <w:style w:type="paragraph" w:customStyle="1" w:styleId="afff8">
    <w:name w:val="Îáû÷íûé àáçàö"/>
    <w:basedOn w:val="a0"/>
    <w:uiPriority w:val="99"/>
    <w:rsid w:val="00500C6E"/>
    <w:pPr>
      <w:jc w:val="both"/>
    </w:pPr>
    <w:rPr>
      <w:sz w:val="28"/>
      <w:szCs w:val="20"/>
    </w:rPr>
  </w:style>
  <w:style w:type="character" w:customStyle="1" w:styleId="120">
    <w:name w:val="Основной текст 1 Знак Знак2"/>
    <w:uiPriority w:val="99"/>
    <w:rsid w:val="00500C6E"/>
    <w:rPr>
      <w:sz w:val="24"/>
      <w:lang w:val="ru-RU" w:eastAsia="ru-RU"/>
    </w:rPr>
  </w:style>
  <w:style w:type="paragraph" w:customStyle="1" w:styleId="-">
    <w:name w:val="прог-текст"/>
    <w:basedOn w:val="a0"/>
    <w:uiPriority w:val="99"/>
    <w:rsid w:val="00500C6E"/>
    <w:pPr>
      <w:spacing w:line="360" w:lineRule="auto"/>
      <w:ind w:firstLine="567"/>
      <w:jc w:val="both"/>
    </w:pPr>
  </w:style>
  <w:style w:type="paragraph" w:customStyle="1" w:styleId="CG-SingleSp05">
    <w:name w:val="CG-Single Sp 0.5"/>
    <w:aliases w:val="s2"/>
    <w:basedOn w:val="a0"/>
    <w:uiPriority w:val="99"/>
    <w:rsid w:val="00500C6E"/>
    <w:pPr>
      <w:spacing w:after="240"/>
      <w:ind w:firstLine="720"/>
    </w:pPr>
    <w:rPr>
      <w:szCs w:val="20"/>
      <w:lang w:val="en-GB" w:eastAsia="en-US"/>
    </w:rPr>
  </w:style>
  <w:style w:type="paragraph" w:customStyle="1" w:styleId="Spot">
    <w:name w:val="Spot"/>
    <w:basedOn w:val="a0"/>
    <w:next w:val="a0"/>
    <w:uiPriority w:val="99"/>
    <w:rsid w:val="00500C6E"/>
    <w:pPr>
      <w:tabs>
        <w:tab w:val="left" w:pos="709"/>
      </w:tabs>
      <w:spacing w:after="60" w:line="264" w:lineRule="auto"/>
      <w:jc w:val="both"/>
    </w:pPr>
    <w:rPr>
      <w:rFonts w:eastAsia="MS Mincho"/>
      <w:lang w:eastAsia="ja-JP"/>
    </w:rPr>
  </w:style>
  <w:style w:type="character" w:customStyle="1" w:styleId="SpotChar">
    <w:name w:val="Spot Char"/>
    <w:uiPriority w:val="99"/>
    <w:rsid w:val="00500C6E"/>
    <w:rPr>
      <w:rFonts w:eastAsia="MS Mincho"/>
      <w:sz w:val="24"/>
      <w:lang w:val="ru-RU" w:eastAsia="ja-JP"/>
    </w:rPr>
  </w:style>
  <w:style w:type="paragraph" w:customStyle="1" w:styleId="MARY">
    <w:name w:val="MARY обычн с отст"/>
    <w:basedOn w:val="a0"/>
    <w:uiPriority w:val="99"/>
    <w:rsid w:val="00500C6E"/>
    <w:pPr>
      <w:autoSpaceDE w:val="0"/>
      <w:autoSpaceDN w:val="0"/>
      <w:spacing w:line="360" w:lineRule="auto"/>
      <w:ind w:firstLine="720"/>
      <w:jc w:val="both"/>
    </w:pPr>
    <w:rPr>
      <w:szCs w:val="22"/>
    </w:rPr>
  </w:style>
  <w:style w:type="paragraph" w:customStyle="1" w:styleId="Mary0">
    <w:name w:val="Mary обычн без отступа"/>
    <w:basedOn w:val="MARY"/>
    <w:uiPriority w:val="99"/>
    <w:rsid w:val="00500C6E"/>
    <w:pPr>
      <w:autoSpaceDE/>
      <w:autoSpaceDN/>
      <w:ind w:firstLine="0"/>
    </w:pPr>
    <w:rPr>
      <w:szCs w:val="24"/>
    </w:rPr>
  </w:style>
  <w:style w:type="character" w:customStyle="1" w:styleId="Mary1">
    <w:name w:val="Mary обычн без отступа Знак"/>
    <w:uiPriority w:val="99"/>
    <w:rsid w:val="00500C6E"/>
    <w:rPr>
      <w:sz w:val="24"/>
      <w:lang w:val="ru-RU" w:eastAsia="ru-RU"/>
    </w:rPr>
  </w:style>
  <w:style w:type="paragraph" w:customStyle="1" w:styleId="1b">
    <w:name w:val="1Тема"/>
    <w:basedOn w:val="a0"/>
    <w:uiPriority w:val="99"/>
    <w:rsid w:val="00500C6E"/>
    <w:rPr>
      <w:rFonts w:ascii="Georgia" w:hAnsi="Georgia"/>
      <w:b/>
      <w:bCs/>
    </w:rPr>
  </w:style>
  <w:style w:type="paragraph" w:customStyle="1" w:styleId="afff9">
    <w:name w:val="Текст приложения"/>
    <w:basedOn w:val="a0"/>
    <w:uiPriority w:val="99"/>
    <w:rsid w:val="00500C6E"/>
    <w:pPr>
      <w:ind w:firstLine="720"/>
      <w:jc w:val="both"/>
    </w:pPr>
  </w:style>
  <w:style w:type="paragraph" w:customStyle="1" w:styleId="SpotIndentLn">
    <w:name w:val="SpotIndentLn"/>
    <w:basedOn w:val="a0"/>
    <w:uiPriority w:val="99"/>
    <w:rsid w:val="00500C6E"/>
    <w:pPr>
      <w:tabs>
        <w:tab w:val="num" w:pos="570"/>
        <w:tab w:val="num" w:pos="1260"/>
      </w:tabs>
      <w:ind w:left="570" w:hanging="285"/>
      <w:jc w:val="both"/>
    </w:pPr>
    <w:rPr>
      <w:rFonts w:eastAsia="MS Mincho"/>
      <w:sz w:val="20"/>
      <w:szCs w:val="20"/>
      <w:lang w:eastAsia="ja-JP"/>
    </w:rPr>
  </w:style>
  <w:style w:type="paragraph" w:customStyle="1" w:styleId="Normal6beforeCharChar">
    <w:name w:val="Normal 6 before Char Char"/>
    <w:basedOn w:val="a0"/>
    <w:next w:val="a0"/>
    <w:uiPriority w:val="99"/>
    <w:rsid w:val="00500C6E"/>
    <w:pPr>
      <w:ind w:firstLine="284"/>
      <w:jc w:val="both"/>
    </w:pPr>
    <w:rPr>
      <w:rFonts w:eastAsia="MS Mincho"/>
      <w:sz w:val="20"/>
      <w:lang w:eastAsia="ja-JP"/>
    </w:rPr>
  </w:style>
  <w:style w:type="character" w:customStyle="1" w:styleId="Normal6beforeCharCharChar">
    <w:name w:val="Normal 6 before Char Char Char"/>
    <w:uiPriority w:val="99"/>
    <w:rsid w:val="00500C6E"/>
    <w:rPr>
      <w:rFonts w:eastAsia="MS Mincho"/>
      <w:sz w:val="24"/>
      <w:lang w:val="ru-RU" w:eastAsia="ja-JP"/>
    </w:rPr>
  </w:style>
  <w:style w:type="paragraph" w:customStyle="1" w:styleId="1CharCharChar">
    <w:name w:val="Знак1 Знак Знак Знак Знак Знак Char Char Знак Знак Знак Знак Знак Знак Char"/>
    <w:basedOn w:val="a0"/>
    <w:uiPriority w:val="99"/>
    <w:rsid w:val="00500C6E"/>
    <w:rPr>
      <w:rFonts w:ascii="Verdana" w:hAnsi="Verdana" w:cs="Verdana"/>
      <w:sz w:val="20"/>
      <w:szCs w:val="20"/>
      <w:lang w:val="en-US" w:eastAsia="en-US"/>
    </w:rPr>
  </w:style>
  <w:style w:type="paragraph" w:customStyle="1" w:styleId="Spot0">
    <w:name w:val="Spot Знак"/>
    <w:basedOn w:val="a0"/>
    <w:next w:val="a0"/>
    <w:uiPriority w:val="99"/>
    <w:rsid w:val="00500C6E"/>
    <w:pPr>
      <w:tabs>
        <w:tab w:val="num" w:pos="567"/>
        <w:tab w:val="left" w:pos="709"/>
      </w:tabs>
      <w:spacing w:after="60" w:line="264" w:lineRule="auto"/>
      <w:ind w:left="567" w:hanging="567"/>
      <w:jc w:val="both"/>
    </w:pPr>
    <w:rPr>
      <w:rFonts w:eastAsia="MS Mincho"/>
      <w:lang w:eastAsia="ja-JP"/>
    </w:rPr>
  </w:style>
  <w:style w:type="character" w:customStyle="1" w:styleId="SpotChar0">
    <w:name w:val="Spot Знак Char"/>
    <w:uiPriority w:val="99"/>
    <w:rsid w:val="00500C6E"/>
    <w:rPr>
      <w:rFonts w:eastAsia="MS Mincho"/>
      <w:sz w:val="24"/>
      <w:lang w:val="ru-RU" w:eastAsia="ja-JP"/>
    </w:rPr>
  </w:style>
  <w:style w:type="paragraph" w:customStyle="1" w:styleId="1CharCharCharChar">
    <w:name w:val="Знак1 Знак Знак Знак Знак Знак Char Char Знак Знак Char Char Знак Знак Знак Знак Знак Знак"/>
    <w:basedOn w:val="a0"/>
    <w:uiPriority w:val="99"/>
    <w:rsid w:val="00500C6E"/>
    <w:rPr>
      <w:rFonts w:ascii="Verdana" w:hAnsi="Verdana" w:cs="Verdana"/>
      <w:sz w:val="20"/>
      <w:szCs w:val="20"/>
      <w:lang w:val="en-US" w:eastAsia="en-US"/>
    </w:rPr>
  </w:style>
  <w:style w:type="paragraph" w:customStyle="1" w:styleId="ArrowAfter">
    <w:name w:val="ArrowAfter"/>
    <w:basedOn w:val="a0"/>
    <w:next w:val="a0"/>
    <w:uiPriority w:val="99"/>
    <w:rsid w:val="00500C6E"/>
    <w:pPr>
      <w:spacing w:after="60" w:line="264" w:lineRule="auto"/>
      <w:ind w:left="709"/>
      <w:jc w:val="both"/>
    </w:pPr>
    <w:rPr>
      <w:rFonts w:eastAsia="MS Mincho"/>
      <w:lang w:eastAsia="ja-JP"/>
    </w:rPr>
  </w:style>
  <w:style w:type="paragraph" w:customStyle="1" w:styleId="1CharChar">
    <w:name w:val="Знак1 Знак Знак Знак Знак Знак Char Char Знак Знак Знак Знак Знак Знак"/>
    <w:basedOn w:val="a0"/>
    <w:uiPriority w:val="99"/>
    <w:rsid w:val="00500C6E"/>
    <w:rPr>
      <w:rFonts w:ascii="Verdana" w:hAnsi="Verdana" w:cs="Verdana"/>
      <w:sz w:val="20"/>
      <w:szCs w:val="20"/>
      <w:lang w:val="en-US" w:eastAsia="en-US"/>
    </w:rPr>
  </w:style>
  <w:style w:type="character" w:customStyle="1" w:styleId="MaryChar">
    <w:name w:val="Mary обычн без отступа Char"/>
    <w:uiPriority w:val="99"/>
    <w:rsid w:val="00500C6E"/>
    <w:rPr>
      <w:sz w:val="24"/>
      <w:lang w:val="ru-RU" w:eastAsia="ru-RU"/>
    </w:rPr>
  </w:style>
  <w:style w:type="paragraph" w:customStyle="1" w:styleId="01">
    <w:name w:val="ДГИЭС01"/>
    <w:basedOn w:val="a0"/>
    <w:uiPriority w:val="99"/>
    <w:rsid w:val="00500C6E"/>
    <w:pPr>
      <w:ind w:firstLine="720"/>
      <w:jc w:val="both"/>
    </w:pPr>
    <w:rPr>
      <w:color w:val="000000"/>
      <w:sz w:val="28"/>
      <w:szCs w:val="20"/>
    </w:rPr>
  </w:style>
  <w:style w:type="paragraph" w:customStyle="1" w:styleId="Char">
    <w:name w:val="Char Знак Знак Знак Знак"/>
    <w:basedOn w:val="a0"/>
    <w:uiPriority w:val="99"/>
    <w:rsid w:val="00500C6E"/>
    <w:pPr>
      <w:widowControl w:val="0"/>
      <w:adjustRightInd w:val="0"/>
      <w:spacing w:after="160" w:line="240" w:lineRule="exact"/>
      <w:jc w:val="right"/>
    </w:pPr>
    <w:rPr>
      <w:sz w:val="20"/>
      <w:szCs w:val="20"/>
      <w:lang w:val="en-GB" w:eastAsia="en-US"/>
    </w:rPr>
  </w:style>
  <w:style w:type="paragraph" w:customStyle="1" w:styleId="Normal2">
    <w:name w:val="Normal2"/>
    <w:uiPriority w:val="99"/>
    <w:rsid w:val="00500C6E"/>
    <w:pPr>
      <w:widowControl w:val="0"/>
      <w:spacing w:before="20" w:after="120" w:line="300" w:lineRule="auto"/>
      <w:ind w:firstLine="840"/>
      <w:jc w:val="both"/>
    </w:pPr>
    <w:rPr>
      <w:rFonts w:ascii="Times New Roman" w:eastAsia="Times New Roman" w:hAnsi="Times New Roman"/>
      <w:sz w:val="24"/>
    </w:rPr>
  </w:style>
  <w:style w:type="paragraph" w:customStyle="1" w:styleId="Iauiue">
    <w:name w:val="Iau?iue"/>
    <w:uiPriority w:val="99"/>
    <w:rsid w:val="00500C6E"/>
    <w:pPr>
      <w:overflowPunct w:val="0"/>
      <w:adjustRightInd w:val="0"/>
      <w:spacing w:before="20" w:after="120" w:line="360" w:lineRule="exact"/>
      <w:ind w:firstLine="709"/>
    </w:pPr>
    <w:rPr>
      <w:rFonts w:ascii="Times New Roman" w:eastAsia="Times New Roman" w:hAnsi="Times New Roman"/>
    </w:rPr>
  </w:style>
  <w:style w:type="paragraph" w:customStyle="1" w:styleId="BodyText21">
    <w:name w:val="Body Text 21"/>
    <w:basedOn w:val="a0"/>
    <w:uiPriority w:val="99"/>
    <w:rsid w:val="00500C6E"/>
    <w:pPr>
      <w:autoSpaceDE w:val="0"/>
      <w:autoSpaceDN w:val="0"/>
      <w:spacing w:line="360" w:lineRule="auto"/>
      <w:jc w:val="both"/>
    </w:pPr>
    <w:rPr>
      <w:rFonts w:ascii="Arial" w:hAnsi="Arial"/>
      <w:sz w:val="28"/>
      <w:szCs w:val="20"/>
    </w:rPr>
  </w:style>
  <w:style w:type="paragraph" w:styleId="afffa">
    <w:name w:val="Block Text"/>
    <w:basedOn w:val="a0"/>
    <w:uiPriority w:val="99"/>
    <w:rsid w:val="00500C6E"/>
    <w:pPr>
      <w:snapToGrid w:val="0"/>
      <w:spacing w:line="360" w:lineRule="auto"/>
      <w:ind w:left="159" w:right="799" w:firstLine="561"/>
      <w:jc w:val="both"/>
    </w:pPr>
    <w:rPr>
      <w:sz w:val="26"/>
      <w:szCs w:val="20"/>
    </w:rPr>
  </w:style>
  <w:style w:type="paragraph" w:customStyle="1" w:styleId="Iniiaiieoaeno">
    <w:name w:val="Iniiaiie oaeno"/>
    <w:basedOn w:val="a0"/>
    <w:uiPriority w:val="99"/>
    <w:rsid w:val="00500C6E"/>
    <w:pPr>
      <w:widowControl w:val="0"/>
      <w:jc w:val="both"/>
    </w:pPr>
    <w:rPr>
      <w:szCs w:val="20"/>
      <w:lang w:eastAsia="en-US"/>
    </w:rPr>
  </w:style>
  <w:style w:type="table" w:styleId="1c">
    <w:name w:val="Table Grid 1"/>
    <w:basedOn w:val="a2"/>
    <w:uiPriority w:val="99"/>
    <w:rsid w:val="00500C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BodyTextIndent21">
    <w:name w:val="Body Text Indent 21"/>
    <w:basedOn w:val="a0"/>
    <w:uiPriority w:val="99"/>
    <w:rsid w:val="00500C6E"/>
    <w:pPr>
      <w:overflowPunct w:val="0"/>
      <w:autoSpaceDE w:val="0"/>
      <w:autoSpaceDN w:val="0"/>
      <w:adjustRightInd w:val="0"/>
      <w:spacing w:line="360" w:lineRule="auto"/>
      <w:jc w:val="both"/>
      <w:textAlignment w:val="baseline"/>
    </w:pPr>
    <w:rPr>
      <w:sz w:val="28"/>
      <w:szCs w:val="20"/>
    </w:rPr>
  </w:style>
  <w:style w:type="paragraph" w:customStyle="1" w:styleId="consplustitle">
    <w:name w:val="consplustitle"/>
    <w:basedOn w:val="a0"/>
    <w:uiPriority w:val="99"/>
    <w:rsid w:val="00500C6E"/>
    <w:pPr>
      <w:autoSpaceDE w:val="0"/>
      <w:autoSpaceDN w:val="0"/>
    </w:pPr>
    <w:rPr>
      <w:rFonts w:ascii="Arial" w:hAnsi="Arial" w:cs="Arial"/>
      <w:b/>
      <w:bCs/>
      <w:sz w:val="20"/>
      <w:szCs w:val="20"/>
    </w:rPr>
  </w:style>
  <w:style w:type="character" w:styleId="afffb">
    <w:name w:val="FollowedHyperlink"/>
    <w:uiPriority w:val="99"/>
    <w:rsid w:val="00500C6E"/>
    <w:rPr>
      <w:rFonts w:cs="Times New Roman"/>
      <w:color w:val="800080"/>
      <w:u w:val="single"/>
    </w:rPr>
  </w:style>
  <w:style w:type="paragraph" w:customStyle="1" w:styleId="CG-Title-Left-Bold">
    <w:name w:val="CG-Title-Left-Bold"/>
    <w:aliases w:val="t3"/>
    <w:basedOn w:val="a0"/>
    <w:next w:val="a0"/>
    <w:uiPriority w:val="99"/>
    <w:rsid w:val="00500C6E"/>
    <w:pPr>
      <w:keepNext/>
      <w:spacing w:after="240"/>
    </w:pPr>
    <w:rPr>
      <w:b/>
      <w:szCs w:val="20"/>
      <w:lang w:val="en-GB" w:eastAsia="en-US"/>
    </w:rPr>
  </w:style>
  <w:style w:type="paragraph" w:customStyle="1" w:styleId="1d">
    <w:name w:val="Знак1 Знак Знак Знак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1e">
    <w:name w:val="1"/>
    <w:basedOn w:val="a0"/>
    <w:next w:val="aff2"/>
    <w:uiPriority w:val="99"/>
    <w:rsid w:val="00500C6E"/>
    <w:pPr>
      <w:spacing w:after="168"/>
    </w:pPr>
    <w:rPr>
      <w:rFonts w:ascii="Arial Unicode MS" w:eastAsia="Calibri" w:hAnsi="Arial Unicode MS" w:cs="Arial Unicode MS"/>
    </w:rPr>
  </w:style>
  <w:style w:type="paragraph" w:customStyle="1" w:styleId="afffc">
    <w:name w:val="Табл_заголовок"/>
    <w:basedOn w:val="a0"/>
    <w:autoRedefine/>
    <w:uiPriority w:val="99"/>
    <w:rsid w:val="00500C6E"/>
    <w:pPr>
      <w:jc w:val="center"/>
    </w:pPr>
    <w:rPr>
      <w:b/>
      <w:szCs w:val="20"/>
    </w:rPr>
  </w:style>
  <w:style w:type="character" w:customStyle="1" w:styleId="Char0">
    <w:name w:val="Char"/>
    <w:uiPriority w:val="99"/>
    <w:rsid w:val="00500C6E"/>
    <w:rPr>
      <w:rFonts w:ascii="Arial" w:hAnsi="Arial"/>
      <w:b/>
      <w:sz w:val="26"/>
      <w:lang w:val="ru-RU" w:eastAsia="ru-RU"/>
    </w:rPr>
  </w:style>
  <w:style w:type="paragraph" w:customStyle="1" w:styleId="1f">
    <w:name w:val="Знак1 Знак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0"/>
    <w:uiPriority w:val="99"/>
    <w:rsid w:val="00500C6E"/>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0"/>
    <w:uiPriority w:val="99"/>
    <w:rsid w:val="00500C6E"/>
    <w:pPr>
      <w:jc w:val="both"/>
    </w:pPr>
    <w:rPr>
      <w:sz w:val="28"/>
      <w:szCs w:val="20"/>
    </w:rPr>
  </w:style>
  <w:style w:type="paragraph" w:customStyle="1" w:styleId="xl24">
    <w:name w:val="xl24"/>
    <w:basedOn w:val="a0"/>
    <w:uiPriority w:val="99"/>
    <w:rsid w:val="00500C6E"/>
    <w:pPr>
      <w:spacing w:before="100" w:beforeAutospacing="1" w:after="100" w:afterAutospacing="1"/>
      <w:jc w:val="center"/>
    </w:pPr>
    <w:rPr>
      <w:rFonts w:eastAsia="Calibri"/>
    </w:rPr>
  </w:style>
  <w:style w:type="paragraph" w:customStyle="1" w:styleId="130">
    <w:name w:val="Обычный + 13 пт"/>
    <w:aliases w:val="По ширине,Первая строка:  1,25 см,полужирный,Обычный + 13 pt,по ширине"/>
    <w:basedOn w:val="a0"/>
    <w:uiPriority w:val="99"/>
    <w:rsid w:val="00500C6E"/>
    <w:pPr>
      <w:jc w:val="both"/>
    </w:pPr>
    <w:rPr>
      <w:sz w:val="26"/>
      <w:szCs w:val="26"/>
    </w:rPr>
  </w:style>
  <w:style w:type="paragraph" w:customStyle="1" w:styleId="AAA">
    <w:name w:val="! AAA !"/>
    <w:uiPriority w:val="99"/>
    <w:rsid w:val="00500C6E"/>
    <w:pPr>
      <w:spacing w:before="20" w:after="120" w:line="360" w:lineRule="exact"/>
      <w:ind w:firstLine="709"/>
      <w:jc w:val="both"/>
    </w:pPr>
    <w:rPr>
      <w:rFonts w:ascii="Times New Roman" w:eastAsia="Times New Roman" w:hAnsi="Times New Roman"/>
      <w:sz w:val="24"/>
      <w:szCs w:val="16"/>
    </w:rPr>
  </w:style>
  <w:style w:type="paragraph" w:customStyle="1" w:styleId="afffd">
    <w:name w:val="Список Г"/>
    <w:basedOn w:val="a0"/>
    <w:uiPriority w:val="99"/>
    <w:rsid w:val="00500C6E"/>
    <w:pPr>
      <w:tabs>
        <w:tab w:val="num" w:pos="363"/>
        <w:tab w:val="left" w:pos="4320"/>
      </w:tabs>
      <w:ind w:left="363" w:hanging="363"/>
      <w:jc w:val="both"/>
    </w:pPr>
    <w:rPr>
      <w:bCs/>
      <w:color w:val="000000"/>
      <w:sz w:val="26"/>
      <w:szCs w:val="26"/>
    </w:rPr>
  </w:style>
  <w:style w:type="paragraph" w:customStyle="1" w:styleId="1f0">
    <w:name w:val="пнкт1"/>
    <w:basedOn w:val="a0"/>
    <w:uiPriority w:val="99"/>
    <w:rsid w:val="00500C6E"/>
    <w:pPr>
      <w:tabs>
        <w:tab w:val="num" w:pos="720"/>
      </w:tabs>
      <w:ind w:left="720" w:hanging="360"/>
      <w:jc w:val="both"/>
    </w:pPr>
  </w:style>
  <w:style w:type="paragraph" w:styleId="2d">
    <w:name w:val="Body Text First Indent 2"/>
    <w:basedOn w:val="a8"/>
    <w:link w:val="2e"/>
    <w:uiPriority w:val="99"/>
    <w:rsid w:val="00500C6E"/>
    <w:pPr>
      <w:keepNext/>
      <w:keepLines/>
      <w:widowControl w:val="0"/>
      <w:ind w:right="-108" w:firstLine="210"/>
      <w:jc w:val="both"/>
    </w:pPr>
  </w:style>
  <w:style w:type="character" w:customStyle="1" w:styleId="2e">
    <w:name w:val="Красная строка 2 Знак"/>
    <w:link w:val="2d"/>
    <w:uiPriority w:val="99"/>
    <w:locked/>
    <w:rsid w:val="00500C6E"/>
    <w:rPr>
      <w:rFonts w:ascii="Times New Roman" w:hAnsi="Times New Roman" w:cs="Times New Roman"/>
      <w:sz w:val="24"/>
    </w:rPr>
  </w:style>
  <w:style w:type="paragraph" w:customStyle="1" w:styleId="CharCharChar">
    <w:name w:val="Char Char Char"/>
    <w:basedOn w:val="a0"/>
    <w:uiPriority w:val="99"/>
    <w:rsid w:val="00500C6E"/>
    <w:pPr>
      <w:jc w:val="both"/>
    </w:pPr>
    <w:rPr>
      <w:rFonts w:ascii="Verdana" w:hAnsi="Verdana" w:cs="Verdana"/>
      <w:sz w:val="20"/>
      <w:szCs w:val="20"/>
      <w:lang w:val="en-US" w:eastAsia="en-US"/>
    </w:rPr>
  </w:style>
  <w:style w:type="paragraph" w:customStyle="1" w:styleId="2110">
    <w:name w:val="Знак2 Знак Знак1 Знак1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53">
    <w:name w:val="Знак5"/>
    <w:basedOn w:val="a0"/>
    <w:uiPriority w:val="99"/>
    <w:rsid w:val="00500C6E"/>
    <w:pPr>
      <w:spacing w:after="160" w:line="240" w:lineRule="exact"/>
    </w:pPr>
    <w:rPr>
      <w:rFonts w:ascii="Verdana" w:hAnsi="Verdana"/>
      <w:sz w:val="20"/>
      <w:szCs w:val="20"/>
      <w:lang w:val="en-US" w:eastAsia="en-US"/>
    </w:rPr>
  </w:style>
  <w:style w:type="character" w:customStyle="1" w:styleId="410">
    <w:name w:val="Заголовок 4 Знак1 Знак"/>
    <w:aliases w:val="Знак1 Знак1"/>
    <w:uiPriority w:val="99"/>
    <w:rsid w:val="00500C6E"/>
    <w:rPr>
      <w:b/>
      <w:sz w:val="28"/>
      <w:lang w:val="ru-RU" w:eastAsia="ru-RU"/>
    </w:rPr>
  </w:style>
  <w:style w:type="paragraph" w:customStyle="1" w:styleId="2111">
    <w:name w:val="Знак2 Знак Знак1 Знак1 Знак Знак Знак Знак Знак Знак Знак Знак Знак Знак Знак Знак"/>
    <w:basedOn w:val="a0"/>
    <w:uiPriority w:val="99"/>
    <w:rsid w:val="00500C6E"/>
    <w:pPr>
      <w:spacing w:after="160" w:line="240" w:lineRule="exact"/>
    </w:pPr>
    <w:rPr>
      <w:rFonts w:ascii="Verdana" w:hAnsi="Verdana"/>
      <w:sz w:val="20"/>
      <w:szCs w:val="20"/>
      <w:lang w:val="en-US" w:eastAsia="en-US"/>
    </w:rPr>
  </w:style>
  <w:style w:type="paragraph" w:customStyle="1" w:styleId="rvps140">
    <w:name w:val="rvps140"/>
    <w:basedOn w:val="a0"/>
    <w:uiPriority w:val="99"/>
    <w:rsid w:val="00500C6E"/>
    <w:rPr>
      <w:rFonts w:ascii="Arial Unicode MS" w:eastAsia="Calibri" w:hAnsi="Arial Unicode MS" w:cs="Arial Unicode MS"/>
    </w:rPr>
  </w:style>
  <w:style w:type="paragraph" w:customStyle="1" w:styleId="CharChar0">
    <w:name w:val="Char Знак Знак Char"/>
    <w:basedOn w:val="a0"/>
    <w:uiPriority w:val="99"/>
    <w:rsid w:val="00500C6E"/>
    <w:pPr>
      <w:spacing w:after="160" w:line="240" w:lineRule="exact"/>
    </w:pPr>
    <w:rPr>
      <w:rFonts w:ascii="Verdana" w:hAnsi="Verdana"/>
      <w:sz w:val="20"/>
      <w:szCs w:val="20"/>
      <w:lang w:val="en-US" w:eastAsia="en-US"/>
    </w:rPr>
  </w:style>
  <w:style w:type="character" w:customStyle="1" w:styleId="FootnoteTextCharCh">
    <w:name w:val="Footnote Text Char Знак Ch"/>
    <w:uiPriority w:val="99"/>
    <w:locked/>
    <w:rsid w:val="00500C6E"/>
    <w:rPr>
      <w:lang w:val="ru-RU" w:eastAsia="ru-RU"/>
    </w:rPr>
  </w:style>
  <w:style w:type="paragraph" w:customStyle="1" w:styleId="2f">
    <w:name w:val="Обычный (веб)2"/>
    <w:basedOn w:val="a0"/>
    <w:uiPriority w:val="99"/>
    <w:rsid w:val="00500C6E"/>
    <w:pPr>
      <w:jc w:val="both"/>
    </w:pPr>
    <w:rPr>
      <w:rFonts w:ascii="Verdana" w:eastAsia="Calibri" w:hAnsi="Verdana"/>
      <w:color w:val="000000"/>
      <w:sz w:val="13"/>
      <w:szCs w:val="20"/>
    </w:rPr>
  </w:style>
  <w:style w:type="paragraph" w:customStyle="1" w:styleId="BodyTextIndent1">
    <w:name w:val="Body Text Indent.Основной текст 1.Нумерованный список !!.Надин стиль"/>
    <w:basedOn w:val="a0"/>
    <w:uiPriority w:val="99"/>
    <w:rsid w:val="00500C6E"/>
    <w:pPr>
      <w:ind w:left="360"/>
    </w:pPr>
    <w:rPr>
      <w:szCs w:val="20"/>
    </w:rPr>
  </w:style>
  <w:style w:type="paragraph" w:customStyle="1" w:styleId="afffe">
    <w:name w:val="Нормальный"/>
    <w:basedOn w:val="a0"/>
    <w:uiPriority w:val="99"/>
    <w:rsid w:val="00500C6E"/>
    <w:pPr>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00C6E"/>
    <w:pPr>
      <w:spacing w:before="100" w:beforeAutospacing="1" w:after="100" w:afterAutospacing="1"/>
    </w:pPr>
    <w:rPr>
      <w:rFonts w:ascii="Tahoma" w:hAnsi="Tahoma"/>
      <w:sz w:val="20"/>
      <w:szCs w:val="20"/>
      <w:lang w:val="en-US" w:eastAsia="en-US"/>
    </w:rPr>
  </w:style>
  <w:style w:type="paragraph" w:customStyle="1" w:styleId="affff">
    <w:name w:val="Стиль"/>
    <w:uiPriority w:val="99"/>
    <w:rsid w:val="00500C6E"/>
    <w:pPr>
      <w:widowControl w:val="0"/>
      <w:autoSpaceDE w:val="0"/>
      <w:autoSpaceDN w:val="0"/>
      <w:adjustRightInd w:val="0"/>
      <w:spacing w:before="20" w:after="120" w:line="360" w:lineRule="exact"/>
      <w:ind w:firstLine="709"/>
    </w:pPr>
    <w:rPr>
      <w:rFonts w:ascii="Times New Roman" w:eastAsia="Times New Roman" w:hAnsi="Times New Roman"/>
      <w:sz w:val="24"/>
      <w:szCs w:val="24"/>
    </w:rPr>
  </w:style>
  <w:style w:type="paragraph" w:customStyle="1" w:styleId="ConsPlusTitle0">
    <w:name w:val="ConsPlusTitle"/>
    <w:uiPriority w:val="99"/>
    <w:rsid w:val="00500C6E"/>
    <w:pPr>
      <w:widowControl w:val="0"/>
      <w:autoSpaceDE w:val="0"/>
      <w:autoSpaceDN w:val="0"/>
      <w:adjustRightInd w:val="0"/>
      <w:spacing w:before="20" w:after="120" w:line="360" w:lineRule="exact"/>
      <w:ind w:firstLine="709"/>
    </w:pPr>
    <w:rPr>
      <w:rFonts w:ascii="Arial" w:eastAsia="Times New Roman" w:hAnsi="Arial"/>
      <w:b/>
    </w:rPr>
  </w:style>
  <w:style w:type="paragraph" w:customStyle="1" w:styleId="111">
    <w:name w:val="Знак1 Знак Знак Знак1 Знак Знак Знак"/>
    <w:basedOn w:val="a0"/>
    <w:uiPriority w:val="99"/>
    <w:rsid w:val="00500C6E"/>
    <w:rPr>
      <w:rFonts w:ascii="Verdana" w:hAnsi="Verdana" w:cs="Verdana"/>
      <w:sz w:val="20"/>
      <w:szCs w:val="20"/>
      <w:lang w:val="en-US" w:eastAsia="en-US"/>
    </w:rPr>
  </w:style>
  <w:style w:type="paragraph" w:customStyle="1" w:styleId="1f1">
    <w:name w:val="Обычный1"/>
    <w:uiPriority w:val="99"/>
    <w:rsid w:val="00500C6E"/>
    <w:pPr>
      <w:spacing w:before="20" w:after="120" w:line="360" w:lineRule="exact"/>
      <w:ind w:firstLine="709"/>
    </w:pPr>
    <w:rPr>
      <w:rFonts w:ascii="Times New Roman" w:eastAsia="Times New Roman" w:hAnsi="Times New Roman"/>
    </w:rPr>
  </w:style>
  <w:style w:type="paragraph" w:customStyle="1" w:styleId="12-1">
    <w:name w:val="Стиль12-1"/>
    <w:basedOn w:val="a0"/>
    <w:uiPriority w:val="99"/>
    <w:rsid w:val="00500C6E"/>
    <w:pPr>
      <w:jc w:val="both"/>
    </w:pPr>
  </w:style>
  <w:style w:type="paragraph" w:customStyle="1" w:styleId="54">
    <w:name w:val="çàãîëîâîê 5"/>
    <w:uiPriority w:val="99"/>
    <w:rsid w:val="00500C6E"/>
    <w:pPr>
      <w:keepNext/>
      <w:spacing w:before="20" w:after="120" w:line="360" w:lineRule="exact"/>
      <w:ind w:firstLine="720"/>
      <w:jc w:val="both"/>
    </w:pPr>
    <w:rPr>
      <w:rFonts w:ascii="Times New Roman" w:eastAsia="Times New Roman" w:hAnsi="Times New Roman"/>
      <w:sz w:val="28"/>
    </w:rPr>
  </w:style>
  <w:style w:type="paragraph" w:customStyle="1" w:styleId="312">
    <w:name w:val="Основной текст с отступом 31"/>
    <w:basedOn w:val="a0"/>
    <w:uiPriority w:val="99"/>
    <w:rsid w:val="00500C6E"/>
    <w:pPr>
      <w:widowControl w:val="0"/>
      <w:ind w:firstLine="708"/>
      <w:jc w:val="both"/>
    </w:pPr>
    <w:rPr>
      <w:szCs w:val="20"/>
    </w:rPr>
  </w:style>
  <w:style w:type="paragraph" w:customStyle="1" w:styleId="140">
    <w:name w:val="Стиль 14 пт Синий По ширине"/>
    <w:basedOn w:val="a0"/>
    <w:autoRedefine/>
    <w:uiPriority w:val="99"/>
    <w:rsid w:val="00500C6E"/>
    <w:pPr>
      <w:jc w:val="both"/>
    </w:pPr>
    <w:rPr>
      <w:color w:val="0000FF"/>
      <w:sz w:val="28"/>
      <w:szCs w:val="20"/>
    </w:rPr>
  </w:style>
  <w:style w:type="paragraph" w:customStyle="1" w:styleId="131">
    <w:name w:val="Стиль 13 пт Синий По ширине"/>
    <w:basedOn w:val="a0"/>
    <w:uiPriority w:val="99"/>
    <w:rsid w:val="00500C6E"/>
    <w:pPr>
      <w:jc w:val="both"/>
    </w:pPr>
    <w:rPr>
      <w:color w:val="0000FF"/>
      <w:sz w:val="26"/>
      <w:szCs w:val="20"/>
    </w:rPr>
  </w:style>
  <w:style w:type="paragraph" w:customStyle="1" w:styleId="affff0">
    <w:name w:val="Стиль Список с кружком + Синий"/>
    <w:basedOn w:val="a"/>
    <w:uiPriority w:val="99"/>
    <w:rsid w:val="00500C6E"/>
    <w:pPr>
      <w:numPr>
        <w:numId w:val="0"/>
      </w:numPr>
      <w:tabs>
        <w:tab w:val="num" w:pos="-1"/>
      </w:tabs>
      <w:ind w:left="568" w:hanging="284"/>
      <w:jc w:val="both"/>
    </w:pPr>
    <w:rPr>
      <w:color w:val="0000FF"/>
      <w:sz w:val="26"/>
    </w:rPr>
  </w:style>
  <w:style w:type="paragraph" w:customStyle="1" w:styleId="affff1">
    <w:name w:val="Спецом Справочно"/>
    <w:basedOn w:val="a0"/>
    <w:autoRedefine/>
    <w:uiPriority w:val="99"/>
    <w:rsid w:val="00500C6E"/>
    <w:pPr>
      <w:suppressAutoHyphens/>
      <w:ind w:left="-119"/>
      <w:jc w:val="both"/>
    </w:pPr>
    <w:rPr>
      <w:sz w:val="28"/>
      <w:szCs w:val="28"/>
      <w:lang w:eastAsia="ar-SA"/>
    </w:rPr>
  </w:style>
  <w:style w:type="paragraph" w:customStyle="1" w:styleId="affff2">
    <w:name w:val="Оформление мониторинга"/>
    <w:basedOn w:val="a0"/>
    <w:link w:val="affff3"/>
    <w:uiPriority w:val="99"/>
    <w:rsid w:val="00500C6E"/>
    <w:pPr>
      <w:spacing w:line="300" w:lineRule="exact"/>
      <w:jc w:val="both"/>
    </w:pPr>
    <w:rPr>
      <w:rFonts w:eastAsia="Calibri"/>
      <w:sz w:val="26"/>
      <w:szCs w:val="20"/>
    </w:rPr>
  </w:style>
  <w:style w:type="character" w:customStyle="1" w:styleId="affff3">
    <w:name w:val="Оформление мониторинга Знак"/>
    <w:link w:val="affff2"/>
    <w:uiPriority w:val="99"/>
    <w:locked/>
    <w:rsid w:val="00500C6E"/>
    <w:rPr>
      <w:rFonts w:ascii="Times New Roman" w:hAnsi="Times New Roman"/>
      <w:sz w:val="26"/>
    </w:rPr>
  </w:style>
  <w:style w:type="paragraph" w:customStyle="1" w:styleId="Style2">
    <w:name w:val="Style2"/>
    <w:basedOn w:val="a0"/>
    <w:uiPriority w:val="99"/>
    <w:rsid w:val="00500C6E"/>
    <w:pPr>
      <w:widowControl w:val="0"/>
      <w:autoSpaceDE w:val="0"/>
      <w:autoSpaceDN w:val="0"/>
      <w:adjustRightInd w:val="0"/>
      <w:spacing w:line="275" w:lineRule="exact"/>
    </w:pPr>
  </w:style>
  <w:style w:type="character" w:customStyle="1" w:styleId="FontStyle12">
    <w:name w:val="Font Style12"/>
    <w:uiPriority w:val="99"/>
    <w:rsid w:val="00500C6E"/>
    <w:rPr>
      <w:rFonts w:ascii="Times New Roman" w:hAnsi="Times New Roman"/>
      <w:sz w:val="24"/>
    </w:rPr>
  </w:style>
  <w:style w:type="paragraph" w:customStyle="1" w:styleId="1f2">
    <w:name w:val="Абзац списка1"/>
    <w:basedOn w:val="a0"/>
    <w:uiPriority w:val="99"/>
    <w:rsid w:val="00500C6E"/>
    <w:pPr>
      <w:ind w:left="720"/>
      <w:contextualSpacing/>
    </w:pPr>
    <w:rPr>
      <w:rFonts w:eastAsia="Calibri"/>
    </w:rPr>
  </w:style>
  <w:style w:type="paragraph" w:customStyle="1" w:styleId="rtejustify">
    <w:name w:val="rtejustify"/>
    <w:basedOn w:val="a0"/>
    <w:uiPriority w:val="99"/>
    <w:rsid w:val="00500C6E"/>
    <w:pPr>
      <w:spacing w:before="100" w:beforeAutospacing="1" w:after="100" w:afterAutospacing="1"/>
    </w:pPr>
  </w:style>
  <w:style w:type="table" w:customStyle="1" w:styleId="1f3">
    <w:name w:val="Сетка таблицы1"/>
    <w:uiPriority w:val="99"/>
    <w:rsid w:val="00500C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 Знак Знак Знак Знак1 Знак"/>
    <w:basedOn w:val="a0"/>
    <w:uiPriority w:val="99"/>
    <w:rsid w:val="00500C6E"/>
    <w:pPr>
      <w:spacing w:after="160" w:line="240" w:lineRule="exact"/>
    </w:pPr>
    <w:rPr>
      <w:rFonts w:ascii="Verdana" w:hAnsi="Verdana"/>
      <w:lang w:val="en-US" w:eastAsia="en-US"/>
    </w:rPr>
  </w:style>
  <w:style w:type="character" w:customStyle="1" w:styleId="apple-converted-space">
    <w:name w:val="apple-converted-space"/>
    <w:uiPriority w:val="99"/>
    <w:rsid w:val="00500C6E"/>
    <w:rPr>
      <w:rFonts w:cs="Times New Roman"/>
    </w:rPr>
  </w:style>
  <w:style w:type="paragraph" w:customStyle="1" w:styleId="Style51">
    <w:name w:val="Style51"/>
    <w:basedOn w:val="a0"/>
    <w:uiPriority w:val="99"/>
    <w:rsid w:val="00500C6E"/>
    <w:pPr>
      <w:widowControl w:val="0"/>
      <w:autoSpaceDE w:val="0"/>
      <w:autoSpaceDN w:val="0"/>
      <w:adjustRightInd w:val="0"/>
      <w:spacing w:line="315" w:lineRule="exact"/>
      <w:ind w:firstLine="533"/>
      <w:jc w:val="both"/>
    </w:pPr>
    <w:rPr>
      <w:rFonts w:ascii="Century Schoolbook" w:hAnsi="Century Schoolbook"/>
    </w:rPr>
  </w:style>
  <w:style w:type="character" w:customStyle="1" w:styleId="FontStyle444">
    <w:name w:val="Font Style444"/>
    <w:uiPriority w:val="99"/>
    <w:rsid w:val="00500C6E"/>
    <w:rPr>
      <w:rFonts w:ascii="Times New Roman" w:hAnsi="Times New Roman"/>
      <w:b/>
      <w:sz w:val="26"/>
    </w:rPr>
  </w:style>
  <w:style w:type="character" w:customStyle="1" w:styleId="FontStyle502">
    <w:name w:val="Font Style502"/>
    <w:uiPriority w:val="99"/>
    <w:rsid w:val="00500C6E"/>
    <w:rPr>
      <w:rFonts w:ascii="Times New Roman" w:hAnsi="Times New Roman"/>
      <w:sz w:val="26"/>
    </w:rPr>
  </w:style>
  <w:style w:type="paragraph" w:customStyle="1" w:styleId="Style19">
    <w:name w:val="Style19"/>
    <w:basedOn w:val="a0"/>
    <w:uiPriority w:val="99"/>
    <w:rsid w:val="00500C6E"/>
    <w:pPr>
      <w:widowControl w:val="0"/>
      <w:autoSpaceDE w:val="0"/>
      <w:autoSpaceDN w:val="0"/>
      <w:adjustRightInd w:val="0"/>
      <w:jc w:val="center"/>
    </w:pPr>
    <w:rPr>
      <w:rFonts w:ascii="Century Schoolbook" w:hAnsi="Century Schoolbook"/>
    </w:rPr>
  </w:style>
  <w:style w:type="character" w:customStyle="1" w:styleId="Heading2Char2">
    <w:name w:val="Heading 2 Char2"/>
    <w:aliases w:val="Знак3 Char2"/>
    <w:uiPriority w:val="99"/>
    <w:locked/>
    <w:rsid w:val="00500C6E"/>
    <w:rPr>
      <w:rFonts w:ascii="Times New Roman" w:hAnsi="Times New Roman"/>
      <w:b/>
      <w:sz w:val="28"/>
      <w:lang w:eastAsia="ru-RU"/>
    </w:rPr>
  </w:style>
  <w:style w:type="paragraph" w:customStyle="1" w:styleId="1f5">
    <w:name w:val="Без интервала1"/>
    <w:uiPriority w:val="99"/>
    <w:rsid w:val="00500C6E"/>
    <w:pPr>
      <w:spacing w:before="20" w:after="120" w:line="360" w:lineRule="exact"/>
      <w:ind w:firstLine="709"/>
      <w:jc w:val="both"/>
    </w:pPr>
    <w:rPr>
      <w:rFonts w:ascii="Times New Roman" w:hAnsi="Times New Roman"/>
      <w:sz w:val="28"/>
      <w:szCs w:val="28"/>
      <w:lang w:eastAsia="en-US"/>
    </w:rPr>
  </w:style>
  <w:style w:type="paragraph" w:styleId="affff4">
    <w:name w:val="caption"/>
    <w:basedOn w:val="a0"/>
    <w:next w:val="a0"/>
    <w:uiPriority w:val="99"/>
    <w:qFormat/>
    <w:rsid w:val="00500C6E"/>
    <w:pPr>
      <w:spacing w:line="360" w:lineRule="auto"/>
      <w:jc w:val="both"/>
    </w:pPr>
    <w:rPr>
      <w:bCs/>
      <w:sz w:val="26"/>
      <w:szCs w:val="18"/>
    </w:rPr>
  </w:style>
  <w:style w:type="character" w:customStyle="1" w:styleId="FontStyle115">
    <w:name w:val="Font Style115"/>
    <w:uiPriority w:val="99"/>
    <w:rsid w:val="00500C6E"/>
    <w:rPr>
      <w:rFonts w:ascii="Times New Roman" w:hAnsi="Times New Roman"/>
      <w:sz w:val="24"/>
    </w:rPr>
  </w:style>
  <w:style w:type="paragraph" w:customStyle="1" w:styleId="std">
    <w:name w:val="std"/>
    <w:basedOn w:val="a0"/>
    <w:uiPriority w:val="99"/>
    <w:rsid w:val="00500C6E"/>
  </w:style>
  <w:style w:type="character" w:customStyle="1" w:styleId="msoins0">
    <w:name w:val="msoins0"/>
    <w:uiPriority w:val="99"/>
    <w:rsid w:val="00500C6E"/>
    <w:rPr>
      <w:rFonts w:cs="Times New Roman"/>
    </w:rPr>
  </w:style>
  <w:style w:type="character" w:customStyle="1" w:styleId="27">
    <w:name w:val="Обычный (веб) Знак2"/>
    <w:aliases w:val="Обычный (веб)1 Знак,Обычный (веб) Знак Знак1,Обычный (веб) Знак1 Знак,Обычный (веб) Знак Знак Знак1,Обычный (Web)1 Знак Знак,Обычный (Web) Знак,Обычный (Web)1 Знак1,Обычный (веб)11 Знак,Обычный (веб) Знак Знак Знак Знак"/>
    <w:link w:val="aff2"/>
    <w:uiPriority w:val="99"/>
    <w:locked/>
    <w:rsid w:val="00500C6E"/>
    <w:rPr>
      <w:sz w:val="24"/>
    </w:rPr>
  </w:style>
  <w:style w:type="paragraph" w:customStyle="1" w:styleId="Style105">
    <w:name w:val="Style105"/>
    <w:basedOn w:val="a0"/>
    <w:uiPriority w:val="99"/>
    <w:rsid w:val="00500C6E"/>
    <w:pPr>
      <w:widowControl w:val="0"/>
      <w:autoSpaceDE w:val="0"/>
      <w:autoSpaceDN w:val="0"/>
      <w:adjustRightInd w:val="0"/>
      <w:spacing w:line="481" w:lineRule="exact"/>
      <w:ind w:firstLine="907"/>
      <w:jc w:val="both"/>
    </w:pPr>
  </w:style>
  <w:style w:type="character" w:customStyle="1" w:styleId="FontStyle183">
    <w:name w:val="Font Style183"/>
    <w:uiPriority w:val="99"/>
    <w:rsid w:val="00500C6E"/>
    <w:rPr>
      <w:rFonts w:ascii="Times New Roman" w:hAnsi="Times New Roman"/>
      <w:b/>
      <w:sz w:val="26"/>
    </w:rPr>
  </w:style>
  <w:style w:type="character" w:customStyle="1" w:styleId="FontStyle11">
    <w:name w:val="Font Style11"/>
    <w:uiPriority w:val="99"/>
    <w:rsid w:val="00500C6E"/>
    <w:rPr>
      <w:rFonts w:ascii="Times New Roman" w:hAnsi="Times New Roman"/>
      <w:spacing w:val="20"/>
      <w:sz w:val="24"/>
    </w:rPr>
  </w:style>
  <w:style w:type="character" w:customStyle="1" w:styleId="FontStyle19">
    <w:name w:val="Font Style19"/>
    <w:uiPriority w:val="99"/>
    <w:rsid w:val="00500C6E"/>
    <w:rPr>
      <w:rFonts w:ascii="Times New Roman" w:hAnsi="Times New Roman"/>
      <w:sz w:val="28"/>
    </w:rPr>
  </w:style>
  <w:style w:type="character" w:customStyle="1" w:styleId="FontStyle14">
    <w:name w:val="Font Style14"/>
    <w:uiPriority w:val="99"/>
    <w:rsid w:val="00500C6E"/>
    <w:rPr>
      <w:rFonts w:ascii="Times New Roman" w:hAnsi="Times New Roman"/>
      <w:sz w:val="26"/>
    </w:rPr>
  </w:style>
  <w:style w:type="character" w:customStyle="1" w:styleId="affff5">
    <w:name w:val="Основной текст_"/>
    <w:link w:val="1f6"/>
    <w:uiPriority w:val="99"/>
    <w:locked/>
    <w:rsid w:val="00500C6E"/>
    <w:rPr>
      <w:sz w:val="28"/>
      <w:shd w:val="clear" w:color="auto" w:fill="FFFFFF"/>
    </w:rPr>
  </w:style>
  <w:style w:type="paragraph" w:customStyle="1" w:styleId="1f6">
    <w:name w:val="Основной текст1"/>
    <w:basedOn w:val="a0"/>
    <w:link w:val="affff5"/>
    <w:uiPriority w:val="99"/>
    <w:rsid w:val="00500C6E"/>
    <w:pPr>
      <w:shd w:val="clear" w:color="auto" w:fill="FFFFFF"/>
      <w:spacing w:line="240" w:lineRule="atLeast"/>
    </w:pPr>
    <w:rPr>
      <w:rFonts w:ascii="Calibri" w:eastAsia="Calibri" w:hAnsi="Calibri"/>
      <w:sz w:val="28"/>
      <w:szCs w:val="20"/>
    </w:rPr>
  </w:style>
  <w:style w:type="paragraph" w:customStyle="1" w:styleId="cont">
    <w:name w:val="cont"/>
    <w:basedOn w:val="a0"/>
    <w:uiPriority w:val="99"/>
    <w:rsid w:val="00500C6E"/>
    <w:pPr>
      <w:spacing w:before="100" w:beforeAutospacing="1" w:after="100" w:afterAutospacing="1"/>
    </w:pPr>
  </w:style>
  <w:style w:type="paragraph" w:styleId="44">
    <w:name w:val="toc 4"/>
    <w:basedOn w:val="a0"/>
    <w:next w:val="a0"/>
    <w:autoRedefine/>
    <w:uiPriority w:val="99"/>
    <w:semiHidden/>
    <w:rsid w:val="00500C6E"/>
    <w:pPr>
      <w:ind w:left="720"/>
    </w:pPr>
  </w:style>
  <w:style w:type="paragraph" w:styleId="55">
    <w:name w:val="toc 5"/>
    <w:basedOn w:val="a0"/>
    <w:next w:val="a0"/>
    <w:autoRedefine/>
    <w:uiPriority w:val="99"/>
    <w:semiHidden/>
    <w:rsid w:val="00500C6E"/>
    <w:pPr>
      <w:ind w:left="960"/>
    </w:pPr>
  </w:style>
  <w:style w:type="paragraph" w:styleId="62">
    <w:name w:val="toc 6"/>
    <w:basedOn w:val="a0"/>
    <w:next w:val="a0"/>
    <w:autoRedefine/>
    <w:uiPriority w:val="99"/>
    <w:semiHidden/>
    <w:rsid w:val="00500C6E"/>
    <w:pPr>
      <w:ind w:left="1200"/>
    </w:pPr>
  </w:style>
  <w:style w:type="paragraph" w:styleId="72">
    <w:name w:val="toc 7"/>
    <w:basedOn w:val="a0"/>
    <w:next w:val="a0"/>
    <w:autoRedefine/>
    <w:uiPriority w:val="99"/>
    <w:semiHidden/>
    <w:rsid w:val="00500C6E"/>
    <w:pPr>
      <w:ind w:left="1440"/>
    </w:pPr>
  </w:style>
  <w:style w:type="paragraph" w:styleId="82">
    <w:name w:val="toc 8"/>
    <w:basedOn w:val="a0"/>
    <w:next w:val="a0"/>
    <w:autoRedefine/>
    <w:uiPriority w:val="99"/>
    <w:semiHidden/>
    <w:rsid w:val="00500C6E"/>
    <w:pPr>
      <w:ind w:left="1680"/>
    </w:pPr>
  </w:style>
  <w:style w:type="paragraph" w:styleId="91">
    <w:name w:val="toc 9"/>
    <w:basedOn w:val="a0"/>
    <w:next w:val="a0"/>
    <w:autoRedefine/>
    <w:uiPriority w:val="99"/>
    <w:semiHidden/>
    <w:rsid w:val="00500C6E"/>
    <w:pPr>
      <w:ind w:left="1920"/>
    </w:pPr>
  </w:style>
  <w:style w:type="character" w:customStyle="1" w:styleId="NormalWebChar">
    <w:name w:val="Normal (Web) Char"/>
    <w:aliases w:val="Обычный (веб)1 Char,Обычный (веб) Знак Char,Обычный (веб) Знак1 Char,Обычный (веб) Знак Знак Char,Обычный (Web)1 Знак Char,Обычный (Web) Char,Обычный (Web)1 Char,Обычный (веб)11 Char,Обычный (веб) Знак Знак Знак Char"/>
    <w:uiPriority w:val="99"/>
    <w:locked/>
    <w:rsid w:val="00500C6E"/>
    <w:rPr>
      <w:rFonts w:ascii="Calibri" w:hAnsi="Calibri"/>
      <w:sz w:val="24"/>
      <w:lang w:eastAsia="ru-RU"/>
    </w:rPr>
  </w:style>
  <w:style w:type="paragraph" w:customStyle="1" w:styleId="ConsPlusCell">
    <w:name w:val="ConsPlusCell"/>
    <w:uiPriority w:val="99"/>
    <w:rsid w:val="00500C6E"/>
    <w:pPr>
      <w:autoSpaceDE w:val="0"/>
      <w:autoSpaceDN w:val="0"/>
      <w:adjustRightInd w:val="0"/>
      <w:spacing w:before="20" w:after="120" w:line="360" w:lineRule="exact"/>
      <w:ind w:firstLine="709"/>
    </w:pPr>
    <w:rPr>
      <w:rFonts w:ascii="Times New Roman" w:hAnsi="Times New Roman"/>
      <w:sz w:val="26"/>
      <w:szCs w:val="26"/>
    </w:rPr>
  </w:style>
  <w:style w:type="character" w:customStyle="1" w:styleId="FontStyle411">
    <w:name w:val="Font Style411"/>
    <w:uiPriority w:val="99"/>
    <w:rsid w:val="00500C6E"/>
    <w:rPr>
      <w:rFonts w:ascii="Times New Roman" w:hAnsi="Times New Roman"/>
      <w:sz w:val="24"/>
    </w:rPr>
  </w:style>
  <w:style w:type="paragraph" w:customStyle="1" w:styleId="Style9">
    <w:name w:val="Style9"/>
    <w:basedOn w:val="a0"/>
    <w:uiPriority w:val="99"/>
    <w:rsid w:val="00500C6E"/>
    <w:pPr>
      <w:widowControl w:val="0"/>
      <w:autoSpaceDE w:val="0"/>
      <w:autoSpaceDN w:val="0"/>
      <w:adjustRightInd w:val="0"/>
      <w:spacing w:line="358" w:lineRule="exact"/>
      <w:ind w:firstLine="691"/>
      <w:jc w:val="both"/>
    </w:pPr>
  </w:style>
  <w:style w:type="paragraph" w:customStyle="1" w:styleId="Style11">
    <w:name w:val="Style11"/>
    <w:basedOn w:val="a0"/>
    <w:uiPriority w:val="99"/>
    <w:rsid w:val="00500C6E"/>
    <w:pPr>
      <w:widowControl w:val="0"/>
      <w:autoSpaceDE w:val="0"/>
      <w:autoSpaceDN w:val="0"/>
      <w:adjustRightInd w:val="0"/>
      <w:spacing w:line="322" w:lineRule="exact"/>
    </w:pPr>
  </w:style>
  <w:style w:type="paragraph" w:customStyle="1" w:styleId="Style8">
    <w:name w:val="Style8"/>
    <w:basedOn w:val="a0"/>
    <w:uiPriority w:val="99"/>
    <w:rsid w:val="00500C6E"/>
    <w:pPr>
      <w:widowControl w:val="0"/>
      <w:autoSpaceDE w:val="0"/>
      <w:autoSpaceDN w:val="0"/>
      <w:adjustRightInd w:val="0"/>
    </w:pPr>
    <w:rPr>
      <w:rFonts w:eastAsia="Batang"/>
      <w:lang w:eastAsia="ko-KR"/>
    </w:rPr>
  </w:style>
  <w:style w:type="character" w:customStyle="1" w:styleId="FontStyle22">
    <w:name w:val="Font Style22"/>
    <w:uiPriority w:val="99"/>
    <w:rsid w:val="00500C6E"/>
    <w:rPr>
      <w:rFonts w:ascii="Times New Roman" w:hAnsi="Times New Roman"/>
      <w:sz w:val="28"/>
    </w:rPr>
  </w:style>
  <w:style w:type="character" w:customStyle="1" w:styleId="FontStyle193">
    <w:name w:val="Font Style193"/>
    <w:uiPriority w:val="99"/>
    <w:rsid w:val="00500C6E"/>
    <w:rPr>
      <w:rFonts w:ascii="Times New Roman" w:hAnsi="Times New Roman"/>
      <w:b/>
      <w:sz w:val="14"/>
    </w:rPr>
  </w:style>
  <w:style w:type="character" w:customStyle="1" w:styleId="FontStyle176">
    <w:name w:val="Font Style176"/>
    <w:uiPriority w:val="99"/>
    <w:rsid w:val="00500C6E"/>
    <w:rPr>
      <w:rFonts w:ascii="Times New Roman" w:hAnsi="Times New Roman"/>
      <w:sz w:val="22"/>
    </w:rPr>
  </w:style>
  <w:style w:type="paragraph" w:customStyle="1" w:styleId="04">
    <w:name w:val="04 Основной"/>
    <w:basedOn w:val="a0"/>
    <w:link w:val="040"/>
    <w:uiPriority w:val="99"/>
    <w:rsid w:val="00500C6E"/>
    <w:pPr>
      <w:jc w:val="both"/>
    </w:pPr>
    <w:rPr>
      <w:rFonts w:ascii="OfficinaSansCTT" w:eastAsia="Calibri" w:hAnsi="OfficinaSansCTT"/>
      <w:szCs w:val="20"/>
      <w:lang w:eastAsia="en-US"/>
    </w:rPr>
  </w:style>
  <w:style w:type="character" w:customStyle="1" w:styleId="040">
    <w:name w:val="04 Основной Знак"/>
    <w:link w:val="04"/>
    <w:uiPriority w:val="99"/>
    <w:locked/>
    <w:rsid w:val="00500C6E"/>
    <w:rPr>
      <w:rFonts w:ascii="OfficinaSansCTT" w:hAnsi="OfficinaSansCTT"/>
      <w:sz w:val="24"/>
      <w:lang w:eastAsia="en-US"/>
    </w:rPr>
  </w:style>
  <w:style w:type="paragraph" w:customStyle="1" w:styleId="affff6">
    <w:name w:val="Знак Знак Знак Знак Знак Знак Знак Знак Знак Знак Знак Знак Знак"/>
    <w:basedOn w:val="a0"/>
    <w:autoRedefine/>
    <w:uiPriority w:val="99"/>
    <w:rsid w:val="00500C6E"/>
    <w:pPr>
      <w:spacing w:after="160" w:line="240" w:lineRule="exact"/>
    </w:pPr>
    <w:rPr>
      <w:sz w:val="28"/>
      <w:szCs w:val="28"/>
      <w:lang w:val="en-US" w:eastAsia="en-US"/>
    </w:rPr>
  </w:style>
  <w:style w:type="paragraph" w:customStyle="1" w:styleId="p2">
    <w:name w:val="p2"/>
    <w:basedOn w:val="a0"/>
    <w:uiPriority w:val="99"/>
    <w:rsid w:val="00500C6E"/>
    <w:pPr>
      <w:spacing w:before="100" w:beforeAutospacing="1" w:after="100" w:afterAutospacing="1"/>
    </w:pPr>
  </w:style>
  <w:style w:type="paragraph" w:customStyle="1" w:styleId="affff7">
    <w:name w:val="Знак Знак Знак Знак Знак Знак Знак Знак Знак Знак"/>
    <w:basedOn w:val="a0"/>
    <w:autoRedefine/>
    <w:uiPriority w:val="99"/>
    <w:rsid w:val="00500C6E"/>
    <w:pPr>
      <w:spacing w:after="160" w:line="240" w:lineRule="exact"/>
    </w:pPr>
    <w:rPr>
      <w:sz w:val="28"/>
      <w:szCs w:val="20"/>
      <w:lang w:val="en-US" w:eastAsia="en-US"/>
    </w:rPr>
  </w:style>
  <w:style w:type="paragraph" w:customStyle="1" w:styleId="affff8">
    <w:name w:val="текст документа"/>
    <w:basedOn w:val="a0"/>
    <w:link w:val="affff9"/>
    <w:uiPriority w:val="99"/>
    <w:rsid w:val="00500C6E"/>
    <w:pPr>
      <w:spacing w:line="360" w:lineRule="auto"/>
      <w:jc w:val="both"/>
    </w:pPr>
    <w:rPr>
      <w:rFonts w:eastAsia="Calibri"/>
      <w:sz w:val="28"/>
      <w:szCs w:val="20"/>
    </w:rPr>
  </w:style>
  <w:style w:type="character" w:customStyle="1" w:styleId="affff9">
    <w:name w:val="текст документа Знак"/>
    <w:link w:val="affff8"/>
    <w:uiPriority w:val="99"/>
    <w:locked/>
    <w:rsid w:val="00500C6E"/>
    <w:rPr>
      <w:rFonts w:ascii="Times New Roman" w:hAnsi="Times New Roman"/>
      <w:sz w:val="28"/>
    </w:rPr>
  </w:style>
  <w:style w:type="paragraph" w:customStyle="1" w:styleId="affffa">
    <w:name w:val="машинопись"/>
    <w:basedOn w:val="a0"/>
    <w:uiPriority w:val="99"/>
    <w:rsid w:val="00500C6E"/>
    <w:pPr>
      <w:spacing w:line="360" w:lineRule="auto"/>
      <w:ind w:firstLine="567"/>
      <w:jc w:val="both"/>
    </w:pPr>
    <w:rPr>
      <w:rFonts w:ascii="Arial" w:hAnsi="Arial" w:cs="Arial"/>
      <w:szCs w:val="20"/>
    </w:rPr>
  </w:style>
  <w:style w:type="paragraph" w:customStyle="1" w:styleId="112">
    <w:name w:val="Обычный11"/>
    <w:uiPriority w:val="99"/>
    <w:rsid w:val="00500C6E"/>
    <w:pPr>
      <w:spacing w:before="20" w:after="120" w:line="276" w:lineRule="auto"/>
      <w:ind w:firstLine="709"/>
      <w:jc w:val="both"/>
    </w:pPr>
    <w:rPr>
      <w:rFonts w:ascii="Times New Roman" w:eastAsia="Times New Roman" w:hAnsi="Times New Roman"/>
    </w:rPr>
  </w:style>
  <w:style w:type="paragraph" w:customStyle="1" w:styleId="Style1">
    <w:name w:val="Style1"/>
    <w:basedOn w:val="a0"/>
    <w:uiPriority w:val="99"/>
    <w:rsid w:val="00500C6E"/>
    <w:pPr>
      <w:widowControl w:val="0"/>
      <w:autoSpaceDE w:val="0"/>
      <w:autoSpaceDN w:val="0"/>
      <w:adjustRightInd w:val="0"/>
      <w:spacing w:line="485" w:lineRule="exact"/>
      <w:ind w:firstLine="706"/>
      <w:jc w:val="both"/>
    </w:pPr>
  </w:style>
  <w:style w:type="character" w:customStyle="1" w:styleId="121">
    <w:name w:val="Знак Знак12"/>
    <w:uiPriority w:val="99"/>
    <w:semiHidden/>
    <w:locked/>
    <w:rsid w:val="00500C6E"/>
    <w:rPr>
      <w:rFonts w:ascii="Calibri" w:hAnsi="Calibri"/>
      <w:b/>
      <w:i/>
      <w:sz w:val="26"/>
      <w:lang w:eastAsia="en-US"/>
    </w:rPr>
  </w:style>
  <w:style w:type="character" w:customStyle="1" w:styleId="100">
    <w:name w:val="Знак Знак10"/>
    <w:uiPriority w:val="99"/>
    <w:locked/>
    <w:rsid w:val="00500C6E"/>
    <w:rPr>
      <w:rFonts w:ascii="Times New Roman" w:hAnsi="Times New Roman"/>
      <w:b/>
      <w:sz w:val="24"/>
    </w:rPr>
  </w:style>
  <w:style w:type="character" w:customStyle="1" w:styleId="92">
    <w:name w:val="Знак Знак9"/>
    <w:uiPriority w:val="99"/>
    <w:semiHidden/>
    <w:locked/>
    <w:rsid w:val="00500C6E"/>
    <w:rPr>
      <w:lang w:eastAsia="en-US"/>
    </w:rPr>
  </w:style>
  <w:style w:type="character" w:customStyle="1" w:styleId="73">
    <w:name w:val="Знак Знак7"/>
    <w:uiPriority w:val="99"/>
    <w:semiHidden/>
    <w:locked/>
    <w:rsid w:val="00500C6E"/>
    <w:rPr>
      <w:b/>
      <w:lang w:eastAsia="en-US"/>
    </w:rPr>
  </w:style>
  <w:style w:type="character" w:customStyle="1" w:styleId="63">
    <w:name w:val="Знак Знак6"/>
    <w:uiPriority w:val="99"/>
    <w:semiHidden/>
    <w:locked/>
    <w:rsid w:val="00500C6E"/>
    <w:rPr>
      <w:rFonts w:ascii="Tahoma" w:hAnsi="Tahoma"/>
      <w:sz w:val="16"/>
      <w:lang w:eastAsia="en-US"/>
    </w:rPr>
  </w:style>
  <w:style w:type="character" w:customStyle="1" w:styleId="56">
    <w:name w:val="Знак Знак5"/>
    <w:uiPriority w:val="99"/>
    <w:locked/>
    <w:rsid w:val="00500C6E"/>
    <w:rPr>
      <w:sz w:val="22"/>
      <w:lang w:eastAsia="en-US"/>
    </w:rPr>
  </w:style>
  <w:style w:type="character" w:customStyle="1" w:styleId="45">
    <w:name w:val="Знак Знак4"/>
    <w:uiPriority w:val="99"/>
    <w:locked/>
    <w:rsid w:val="00500C6E"/>
    <w:rPr>
      <w:rFonts w:ascii="Times New Roman CYR" w:hAnsi="Times New Roman CYR"/>
      <w:sz w:val="28"/>
    </w:rPr>
  </w:style>
  <w:style w:type="character" w:customStyle="1" w:styleId="320">
    <w:name w:val="Знак3 Знак Знак2"/>
    <w:uiPriority w:val="99"/>
    <w:rsid w:val="00500C6E"/>
    <w:rPr>
      <w:b/>
      <w:sz w:val="28"/>
      <w:lang w:val="ru-RU" w:eastAsia="ru-RU"/>
    </w:rPr>
  </w:style>
  <w:style w:type="character" w:customStyle="1" w:styleId="212">
    <w:name w:val="Знак Знак21"/>
    <w:uiPriority w:val="99"/>
    <w:locked/>
    <w:rsid w:val="00500C6E"/>
    <w:rPr>
      <w:sz w:val="22"/>
      <w:lang w:eastAsia="en-US"/>
    </w:rPr>
  </w:style>
  <w:style w:type="character" w:customStyle="1" w:styleId="132">
    <w:name w:val="Знак Знак13"/>
    <w:uiPriority w:val="99"/>
    <w:locked/>
    <w:rsid w:val="00500C6E"/>
    <w:rPr>
      <w:rFonts w:ascii="Courier New" w:hAnsi="Courier New"/>
    </w:rPr>
  </w:style>
  <w:style w:type="character" w:customStyle="1" w:styleId="113">
    <w:name w:val="Знак Знак11"/>
    <w:uiPriority w:val="99"/>
    <w:locked/>
    <w:rsid w:val="00500C6E"/>
    <w:rPr>
      <w:rFonts w:ascii="Arial" w:hAnsi="Arial"/>
      <w:sz w:val="22"/>
    </w:rPr>
  </w:style>
  <w:style w:type="paragraph" w:customStyle="1" w:styleId="123">
    <w:name w:val="Знак1 Знак Знак Знак2"/>
    <w:basedOn w:val="a0"/>
    <w:uiPriority w:val="99"/>
    <w:rsid w:val="00500C6E"/>
    <w:rPr>
      <w:rFonts w:ascii="Verdana" w:eastAsia="Calibri" w:hAnsi="Verdana" w:cs="Verdana"/>
      <w:sz w:val="20"/>
      <w:szCs w:val="20"/>
      <w:lang w:val="en-US" w:eastAsia="en-US"/>
    </w:rPr>
  </w:style>
  <w:style w:type="paragraph" w:customStyle="1" w:styleId="46">
    <w:name w:val="Знак4"/>
    <w:basedOn w:val="a0"/>
    <w:uiPriority w:val="99"/>
    <w:rsid w:val="00500C6E"/>
    <w:pPr>
      <w:widowControl w:val="0"/>
      <w:adjustRightInd w:val="0"/>
      <w:spacing w:after="160" w:line="240" w:lineRule="exact"/>
      <w:jc w:val="right"/>
    </w:pPr>
    <w:rPr>
      <w:rFonts w:eastAsia="Calibri"/>
      <w:sz w:val="20"/>
      <w:szCs w:val="20"/>
      <w:lang w:val="en-GB" w:eastAsia="en-US"/>
    </w:rPr>
  </w:style>
  <w:style w:type="paragraph" w:customStyle="1" w:styleId="213">
    <w:name w:val="Знак21"/>
    <w:basedOn w:val="a0"/>
    <w:uiPriority w:val="99"/>
    <w:rsid w:val="00500C6E"/>
    <w:pPr>
      <w:spacing w:after="160" w:line="240" w:lineRule="exact"/>
    </w:pPr>
    <w:rPr>
      <w:rFonts w:ascii="Verdana" w:eastAsia="Calibri" w:hAnsi="Verdana" w:cs="Verdana"/>
      <w:sz w:val="20"/>
      <w:szCs w:val="20"/>
      <w:lang w:val="en-US" w:eastAsia="en-US"/>
    </w:rPr>
  </w:style>
  <w:style w:type="paragraph" w:customStyle="1" w:styleId="1f7">
    <w:name w:val="Знак Знак Знак Знак1"/>
    <w:basedOn w:val="a0"/>
    <w:uiPriority w:val="99"/>
    <w:rsid w:val="00500C6E"/>
    <w:pPr>
      <w:spacing w:after="160" w:line="240" w:lineRule="exact"/>
    </w:pPr>
    <w:rPr>
      <w:rFonts w:ascii="Verdana" w:eastAsia="Calibri" w:hAnsi="Verdana" w:cs="Verdana"/>
      <w:sz w:val="20"/>
      <w:szCs w:val="20"/>
      <w:lang w:val="en-US" w:eastAsia="en-US"/>
    </w:rPr>
  </w:style>
  <w:style w:type="paragraph" w:customStyle="1" w:styleId="2f0">
    <w:name w:val="Знак Знак Знак2"/>
    <w:basedOn w:val="a0"/>
    <w:uiPriority w:val="99"/>
    <w:rsid w:val="00500C6E"/>
    <w:pPr>
      <w:spacing w:after="160" w:line="240" w:lineRule="exact"/>
    </w:pPr>
    <w:rPr>
      <w:rFonts w:ascii="Verdana" w:eastAsia="Calibri" w:hAnsi="Verdana" w:cs="Verdana"/>
      <w:sz w:val="20"/>
      <w:szCs w:val="20"/>
      <w:lang w:val="en-US" w:eastAsia="en-US"/>
    </w:rPr>
  </w:style>
  <w:style w:type="paragraph" w:customStyle="1" w:styleId="style13">
    <w:name w:val="style13"/>
    <w:basedOn w:val="a0"/>
    <w:uiPriority w:val="99"/>
    <w:rsid w:val="00500C6E"/>
    <w:pPr>
      <w:spacing w:before="100" w:beforeAutospacing="1" w:after="100" w:afterAutospacing="1"/>
    </w:pPr>
  </w:style>
  <w:style w:type="paragraph" w:customStyle="1" w:styleId="style15">
    <w:name w:val="style15"/>
    <w:basedOn w:val="a0"/>
    <w:uiPriority w:val="99"/>
    <w:rsid w:val="00500C6E"/>
    <w:pPr>
      <w:spacing w:before="100" w:beforeAutospacing="1" w:after="100" w:afterAutospacing="1"/>
    </w:pPr>
  </w:style>
  <w:style w:type="character" w:customStyle="1" w:styleId="fontstyle70">
    <w:name w:val="fontstyle70"/>
    <w:uiPriority w:val="99"/>
    <w:rsid w:val="00500C6E"/>
    <w:rPr>
      <w:rFonts w:cs="Times New Roman"/>
    </w:rPr>
  </w:style>
  <w:style w:type="character" w:customStyle="1" w:styleId="fontstyle72">
    <w:name w:val="fontstyle72"/>
    <w:uiPriority w:val="99"/>
    <w:rsid w:val="00500C6E"/>
    <w:rPr>
      <w:rFonts w:cs="Times New Roman"/>
    </w:rPr>
  </w:style>
  <w:style w:type="character" w:customStyle="1" w:styleId="FootnoteTextChar1">
    <w:name w:val="Footnote Text Char1"/>
    <w:aliases w:val="Текст сноски1 Char1,Текст сноски Знак Знак1 Char1,Текст сноски Знак1 Char1,Текст сноски Знак Знак Знак Знак Знак Char1,Текст сноски Знак Знак Знак Знак Знак Знак Char1,Знак1 Char1"/>
    <w:uiPriority w:val="99"/>
    <w:locked/>
    <w:rsid w:val="00500C6E"/>
    <w:rPr>
      <w:rFonts w:ascii="Times New Roman" w:hAnsi="Times New Roman"/>
    </w:rPr>
  </w:style>
  <w:style w:type="character" w:customStyle="1" w:styleId="190">
    <w:name w:val="Знак Знак19"/>
    <w:uiPriority w:val="99"/>
    <w:rsid w:val="00500C6E"/>
    <w:rPr>
      <w:rFonts w:ascii="Calibri" w:hAnsi="Calibri"/>
      <w:b/>
      <w:i/>
      <w:sz w:val="26"/>
    </w:rPr>
  </w:style>
  <w:style w:type="character" w:customStyle="1" w:styleId="150">
    <w:name w:val="Знак Знак15"/>
    <w:uiPriority w:val="99"/>
    <w:rsid w:val="00500C6E"/>
    <w:rPr>
      <w:rFonts w:ascii="Arial" w:hAnsi="Arial"/>
      <w:lang w:eastAsia="ru-RU"/>
    </w:rPr>
  </w:style>
  <w:style w:type="character" w:customStyle="1" w:styleId="141">
    <w:name w:val="Знак Знак14"/>
    <w:uiPriority w:val="99"/>
    <w:rsid w:val="00500C6E"/>
    <w:rPr>
      <w:rFonts w:ascii="Times New Roman" w:hAnsi="Times New Roman"/>
      <w:b/>
      <w:sz w:val="24"/>
      <w:lang w:eastAsia="ru-RU"/>
    </w:rPr>
  </w:style>
  <w:style w:type="character" w:customStyle="1" w:styleId="bt1">
    <w:name w:val="bt Знак Знак1"/>
    <w:uiPriority w:val="99"/>
    <w:rsid w:val="00500C6E"/>
    <w:rPr>
      <w:rFonts w:ascii="Times New Roman" w:hAnsi="Times New Roman"/>
      <w:sz w:val="20"/>
      <w:lang w:eastAsia="ru-RU"/>
    </w:rPr>
  </w:style>
  <w:style w:type="character" w:customStyle="1" w:styleId="1f8">
    <w:name w:val="Верхний колонтитул Знак1"/>
    <w:uiPriority w:val="99"/>
    <w:semiHidden/>
    <w:rsid w:val="00500C6E"/>
    <w:rPr>
      <w:rFonts w:ascii="Calibri" w:hAnsi="Calibri"/>
    </w:rPr>
  </w:style>
  <w:style w:type="table" w:customStyle="1" w:styleId="2f1">
    <w:name w:val="Сетка таблицы2"/>
    <w:uiPriority w:val="99"/>
    <w:rsid w:val="00975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75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Основной текст + Полужирный"/>
    <w:uiPriority w:val="99"/>
    <w:rsid w:val="00226C04"/>
    <w:rPr>
      <w:rFonts w:ascii="Times New Roman" w:hAnsi="Times New Roman"/>
      <w:b/>
      <w:color w:val="000000"/>
      <w:spacing w:val="0"/>
      <w:w w:val="100"/>
      <w:position w:val="0"/>
      <w:sz w:val="26"/>
      <w:u w:val="none"/>
      <w:lang w:val="ru-RU"/>
    </w:rPr>
  </w:style>
  <w:style w:type="paragraph" w:customStyle="1" w:styleId="3c">
    <w:name w:val="Основной текст3"/>
    <w:basedOn w:val="a0"/>
    <w:uiPriority w:val="99"/>
    <w:rsid w:val="00226C04"/>
    <w:pPr>
      <w:widowControl w:val="0"/>
      <w:shd w:val="clear" w:color="auto" w:fill="FFFFFF"/>
      <w:spacing w:before="0" w:after="300" w:line="240" w:lineRule="atLeast"/>
      <w:ind w:hanging="380"/>
      <w:jc w:val="right"/>
    </w:pPr>
    <w:rPr>
      <w:rFonts w:eastAsia="Calibri"/>
      <w:sz w:val="26"/>
      <w:szCs w:val="26"/>
    </w:rPr>
  </w:style>
  <w:style w:type="paragraph" w:customStyle="1" w:styleId="3d">
    <w:name w:val="Знак Знак Знак3"/>
    <w:basedOn w:val="a0"/>
    <w:uiPriority w:val="99"/>
    <w:rsid w:val="00DE3E89"/>
    <w:pPr>
      <w:spacing w:before="0" w:after="160" w:line="240" w:lineRule="exact"/>
    </w:pPr>
    <w:rPr>
      <w:rFonts w:ascii="Verdana" w:hAnsi="Verdana"/>
      <w:sz w:val="20"/>
      <w:szCs w:val="20"/>
      <w:lang w:val="en-US" w:eastAsia="en-US"/>
    </w:rPr>
  </w:style>
  <w:style w:type="table" w:customStyle="1" w:styleId="47">
    <w:name w:val="Сетка таблицы4"/>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Веб-таблица 31"/>
    <w:uiPriority w:val="99"/>
    <w:rsid w:val="00D11F6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4">
    <w:name w:val="Сетка таблицы 11"/>
    <w:uiPriority w:val="99"/>
    <w:rsid w:val="00D11F6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етка таблицы11"/>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D11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
    <w:next w:val="a0"/>
    <w:uiPriority w:val="99"/>
    <w:qFormat/>
    <w:rsid w:val="00381E82"/>
    <w:pPr>
      <w:spacing w:after="0"/>
      <w:ind w:firstLine="0"/>
      <w:outlineLvl w:val="9"/>
    </w:pPr>
    <w:rPr>
      <w:rFonts w:eastAsia="MS Gothic"/>
    </w:rPr>
  </w:style>
  <w:style w:type="table" w:customStyle="1" w:styleId="57">
    <w:name w:val="Сетка таблицы5"/>
    <w:uiPriority w:val="99"/>
    <w:rsid w:val="00E87F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9D69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0">
    <w:name w:val="Знак5 Знак Знак Знак2"/>
    <w:basedOn w:val="a0"/>
    <w:uiPriority w:val="99"/>
    <w:rsid w:val="00EB0AEA"/>
    <w:pPr>
      <w:spacing w:before="0" w:after="160" w:line="240" w:lineRule="exact"/>
      <w:ind w:firstLine="0"/>
    </w:pPr>
    <w:rPr>
      <w:rFonts w:ascii="Verdana" w:hAnsi="Verdana"/>
      <w:sz w:val="20"/>
      <w:szCs w:val="20"/>
      <w:lang w:val="en-US" w:eastAsia="en-US"/>
    </w:rPr>
  </w:style>
  <w:style w:type="character" w:styleId="affffd">
    <w:name w:val="Book Title"/>
    <w:uiPriority w:val="99"/>
    <w:qFormat/>
    <w:rsid w:val="002F2F4C"/>
    <w:rPr>
      <w:rFonts w:ascii="Cambria" w:eastAsia="Times New Roman" w:hAnsi="Cambria"/>
      <w:b/>
      <w:i/>
      <w:sz w:val="24"/>
      <w:szCs w:val="24"/>
    </w:rPr>
  </w:style>
  <w:style w:type="paragraph" w:styleId="2f2">
    <w:name w:val="Quote"/>
    <w:basedOn w:val="a0"/>
    <w:next w:val="a0"/>
    <w:link w:val="2f3"/>
    <w:uiPriority w:val="99"/>
    <w:qFormat/>
    <w:rsid w:val="002F2F4C"/>
    <w:pPr>
      <w:spacing w:before="0" w:after="0" w:line="240" w:lineRule="auto"/>
      <w:ind w:firstLine="0"/>
    </w:pPr>
    <w:rPr>
      <w:rFonts w:ascii="Calibri" w:hAnsi="Calibri"/>
      <w:i/>
    </w:rPr>
  </w:style>
  <w:style w:type="character" w:customStyle="1" w:styleId="2f3">
    <w:name w:val="Цитата 2 Знак"/>
    <w:link w:val="2f2"/>
    <w:uiPriority w:val="99"/>
    <w:rsid w:val="002F2F4C"/>
    <w:rPr>
      <w:rFonts w:eastAsia="Times New Roman"/>
      <w:i/>
      <w:sz w:val="24"/>
      <w:szCs w:val="24"/>
    </w:rPr>
  </w:style>
  <w:style w:type="paragraph" w:styleId="affffe">
    <w:name w:val="Intense Quote"/>
    <w:basedOn w:val="a0"/>
    <w:next w:val="a0"/>
    <w:link w:val="afffff"/>
    <w:uiPriority w:val="99"/>
    <w:qFormat/>
    <w:rsid w:val="002F2F4C"/>
    <w:pPr>
      <w:spacing w:before="0" w:after="0" w:line="240" w:lineRule="auto"/>
      <w:ind w:left="720" w:right="720" w:firstLine="0"/>
    </w:pPr>
    <w:rPr>
      <w:rFonts w:ascii="Calibri" w:hAnsi="Calibri"/>
      <w:b/>
      <w:i/>
      <w:szCs w:val="22"/>
    </w:rPr>
  </w:style>
  <w:style w:type="character" w:customStyle="1" w:styleId="afffff">
    <w:name w:val="Выделенная цитата Знак"/>
    <w:link w:val="affffe"/>
    <w:uiPriority w:val="99"/>
    <w:rsid w:val="002F2F4C"/>
    <w:rPr>
      <w:rFonts w:eastAsia="Times New Roman"/>
      <w:b/>
      <w:i/>
      <w:sz w:val="24"/>
      <w:szCs w:val="22"/>
    </w:rPr>
  </w:style>
  <w:style w:type="character" w:styleId="afffff0">
    <w:name w:val="Subtle Emphasis"/>
    <w:uiPriority w:val="99"/>
    <w:qFormat/>
    <w:rsid w:val="002F2F4C"/>
    <w:rPr>
      <w:i/>
      <w:color w:val="5A5A5A"/>
    </w:rPr>
  </w:style>
  <w:style w:type="character" w:styleId="afffff1">
    <w:name w:val="Intense Emphasis"/>
    <w:uiPriority w:val="99"/>
    <w:qFormat/>
    <w:rsid w:val="002F2F4C"/>
    <w:rPr>
      <w:b/>
      <w:i/>
      <w:sz w:val="24"/>
      <w:szCs w:val="24"/>
      <w:u w:val="single"/>
    </w:rPr>
  </w:style>
  <w:style w:type="character" w:styleId="afffff2">
    <w:name w:val="Subtle Reference"/>
    <w:uiPriority w:val="99"/>
    <w:qFormat/>
    <w:rsid w:val="002F2F4C"/>
    <w:rPr>
      <w:sz w:val="24"/>
      <w:szCs w:val="24"/>
      <w:u w:val="single"/>
    </w:rPr>
  </w:style>
  <w:style w:type="character" w:styleId="afffff3">
    <w:name w:val="Intense Reference"/>
    <w:uiPriority w:val="99"/>
    <w:qFormat/>
    <w:rsid w:val="002F2F4C"/>
    <w:rPr>
      <w:b/>
      <w:sz w:val="24"/>
      <w:u w:val="single"/>
    </w:rPr>
  </w:style>
  <w:style w:type="numbering" w:customStyle="1" w:styleId="1f9">
    <w:name w:val="Нет списка1"/>
    <w:next w:val="a3"/>
    <w:semiHidden/>
    <w:rsid w:val="00E57678"/>
  </w:style>
  <w:style w:type="table" w:customStyle="1" w:styleId="74">
    <w:name w:val="Сетка таблицы7"/>
    <w:basedOn w:val="a2"/>
    <w:next w:val="af6"/>
    <w:uiPriority w:val="99"/>
    <w:rsid w:val="008B49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3"/>
    <w:uiPriority w:val="99"/>
    <w:semiHidden/>
    <w:unhideWhenUsed/>
    <w:rsid w:val="005F1311"/>
  </w:style>
  <w:style w:type="table" w:customStyle="1" w:styleId="83">
    <w:name w:val="Сетка таблицы8"/>
    <w:basedOn w:val="a2"/>
    <w:next w:val="af6"/>
    <w:uiPriority w:val="99"/>
    <w:rsid w:val="009B3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1">
    <w:name w:val="Основной текст с отступом 3 Знак2"/>
    <w:uiPriority w:val="99"/>
    <w:locked/>
    <w:rsid w:val="00EB0AEA"/>
    <w:rPr>
      <w:sz w:val="16"/>
      <w:lang w:val="ru-RU" w:eastAsia="ru-RU"/>
    </w:rPr>
  </w:style>
  <w:style w:type="character" w:customStyle="1" w:styleId="360">
    <w:name w:val="Основной текст с отступом 3 Знак6"/>
    <w:basedOn w:val="a1"/>
    <w:uiPriority w:val="99"/>
    <w:semiHidden/>
    <w:rsid w:val="00EB0AEA"/>
    <w:rPr>
      <w:rFonts w:ascii="Times New Roman" w:hAnsi="Times New Roman" w:cs="Times New Roman"/>
      <w:sz w:val="16"/>
      <w:szCs w:val="16"/>
    </w:rPr>
  </w:style>
  <w:style w:type="character" w:customStyle="1" w:styleId="350">
    <w:name w:val="Основной текст с отступом 3 Знак5"/>
    <w:basedOn w:val="a1"/>
    <w:uiPriority w:val="99"/>
    <w:semiHidden/>
    <w:rsid w:val="00EB0AEA"/>
    <w:rPr>
      <w:rFonts w:ascii="Times New Roman" w:hAnsi="Times New Roman" w:cs="Times New Roman"/>
      <w:sz w:val="16"/>
      <w:szCs w:val="16"/>
    </w:rPr>
  </w:style>
  <w:style w:type="character" w:customStyle="1" w:styleId="340">
    <w:name w:val="Основной текст с отступом 3 Знак4"/>
    <w:basedOn w:val="a1"/>
    <w:uiPriority w:val="99"/>
    <w:semiHidden/>
    <w:rsid w:val="00EB0AEA"/>
    <w:rPr>
      <w:rFonts w:ascii="Times New Roman" w:hAnsi="Times New Roman" w:cs="Times New Roman"/>
      <w:sz w:val="16"/>
      <w:szCs w:val="16"/>
    </w:rPr>
  </w:style>
  <w:style w:type="character" w:customStyle="1" w:styleId="330">
    <w:name w:val="Основной текст с отступом 3 Знак3"/>
    <w:basedOn w:val="a1"/>
    <w:uiPriority w:val="99"/>
    <w:semiHidden/>
    <w:rsid w:val="00EB0AEA"/>
    <w:rPr>
      <w:rFonts w:ascii="Times New Roman" w:hAnsi="Times New Roman" w:cs="Times New Roman"/>
      <w:sz w:val="16"/>
      <w:szCs w:val="16"/>
    </w:rPr>
  </w:style>
  <w:style w:type="paragraph" w:customStyle="1" w:styleId="510">
    <w:name w:val="Знак5 Знак Знак Знак1"/>
    <w:basedOn w:val="a0"/>
    <w:uiPriority w:val="99"/>
    <w:rsid w:val="00EB0AEA"/>
    <w:pPr>
      <w:spacing w:before="0" w:after="160" w:line="240" w:lineRule="exact"/>
      <w:ind w:firstLine="0"/>
    </w:pPr>
    <w:rPr>
      <w:rFonts w:ascii="Verdana" w:hAnsi="Verdana"/>
      <w:sz w:val="20"/>
      <w:szCs w:val="20"/>
      <w:lang w:val="en-US" w:eastAsia="en-US"/>
    </w:rPr>
  </w:style>
  <w:style w:type="table" w:customStyle="1" w:styleId="124">
    <w:name w:val="Сетка таблицы12"/>
    <w:basedOn w:val="a2"/>
    <w:next w:val="af6"/>
    <w:uiPriority w:val="59"/>
    <w:rsid w:val="00BD3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39"/>
    <w:rsid w:val="000E6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4614">
      <w:bodyDiv w:val="1"/>
      <w:marLeft w:val="0"/>
      <w:marRight w:val="0"/>
      <w:marTop w:val="0"/>
      <w:marBottom w:val="0"/>
      <w:divBdr>
        <w:top w:val="none" w:sz="0" w:space="0" w:color="auto"/>
        <w:left w:val="none" w:sz="0" w:space="0" w:color="auto"/>
        <w:bottom w:val="none" w:sz="0" w:space="0" w:color="auto"/>
        <w:right w:val="none" w:sz="0" w:space="0" w:color="auto"/>
      </w:divBdr>
    </w:div>
    <w:div w:id="760681964">
      <w:bodyDiv w:val="1"/>
      <w:marLeft w:val="0"/>
      <w:marRight w:val="0"/>
      <w:marTop w:val="0"/>
      <w:marBottom w:val="0"/>
      <w:divBdr>
        <w:top w:val="none" w:sz="0" w:space="0" w:color="auto"/>
        <w:left w:val="none" w:sz="0" w:space="0" w:color="auto"/>
        <w:bottom w:val="none" w:sz="0" w:space="0" w:color="auto"/>
        <w:right w:val="none" w:sz="0" w:space="0" w:color="auto"/>
      </w:divBdr>
    </w:div>
    <w:div w:id="1043864564">
      <w:bodyDiv w:val="1"/>
      <w:marLeft w:val="0"/>
      <w:marRight w:val="0"/>
      <w:marTop w:val="0"/>
      <w:marBottom w:val="0"/>
      <w:divBdr>
        <w:top w:val="none" w:sz="0" w:space="0" w:color="auto"/>
        <w:left w:val="none" w:sz="0" w:space="0" w:color="auto"/>
        <w:bottom w:val="none" w:sz="0" w:space="0" w:color="auto"/>
        <w:right w:val="none" w:sz="0" w:space="0" w:color="auto"/>
      </w:divBdr>
    </w:div>
    <w:div w:id="1625843403">
      <w:bodyDiv w:val="1"/>
      <w:marLeft w:val="0"/>
      <w:marRight w:val="0"/>
      <w:marTop w:val="0"/>
      <w:marBottom w:val="0"/>
      <w:divBdr>
        <w:top w:val="none" w:sz="0" w:space="0" w:color="auto"/>
        <w:left w:val="none" w:sz="0" w:space="0" w:color="auto"/>
        <w:bottom w:val="none" w:sz="0" w:space="0" w:color="auto"/>
        <w:right w:val="none" w:sz="0" w:space="0" w:color="auto"/>
      </w:divBdr>
    </w:div>
    <w:div w:id="1679381502">
      <w:bodyDiv w:val="1"/>
      <w:marLeft w:val="0"/>
      <w:marRight w:val="0"/>
      <w:marTop w:val="0"/>
      <w:marBottom w:val="0"/>
      <w:divBdr>
        <w:top w:val="none" w:sz="0" w:space="0" w:color="auto"/>
        <w:left w:val="none" w:sz="0" w:space="0" w:color="auto"/>
        <w:bottom w:val="none" w:sz="0" w:space="0" w:color="auto"/>
        <w:right w:val="none" w:sz="0" w:space="0" w:color="auto"/>
      </w:divBdr>
    </w:div>
    <w:div w:id="1721125923">
      <w:bodyDiv w:val="1"/>
      <w:marLeft w:val="0"/>
      <w:marRight w:val="0"/>
      <w:marTop w:val="0"/>
      <w:marBottom w:val="0"/>
      <w:divBdr>
        <w:top w:val="none" w:sz="0" w:space="0" w:color="auto"/>
        <w:left w:val="none" w:sz="0" w:space="0" w:color="auto"/>
        <w:bottom w:val="none" w:sz="0" w:space="0" w:color="auto"/>
        <w:right w:val="none" w:sz="0" w:space="0" w:color="auto"/>
      </w:divBdr>
    </w:div>
    <w:div w:id="1894462792">
      <w:bodyDiv w:val="1"/>
      <w:marLeft w:val="0"/>
      <w:marRight w:val="0"/>
      <w:marTop w:val="0"/>
      <w:marBottom w:val="0"/>
      <w:divBdr>
        <w:top w:val="none" w:sz="0" w:space="0" w:color="auto"/>
        <w:left w:val="none" w:sz="0" w:space="0" w:color="auto"/>
        <w:bottom w:val="none" w:sz="0" w:space="0" w:color="auto"/>
        <w:right w:val="none" w:sz="0" w:space="0" w:color="auto"/>
      </w:divBdr>
    </w:div>
    <w:div w:id="2049793517">
      <w:marLeft w:val="0"/>
      <w:marRight w:val="0"/>
      <w:marTop w:val="0"/>
      <w:marBottom w:val="0"/>
      <w:divBdr>
        <w:top w:val="none" w:sz="0" w:space="0" w:color="auto"/>
        <w:left w:val="none" w:sz="0" w:space="0" w:color="auto"/>
        <w:bottom w:val="none" w:sz="0" w:space="0" w:color="auto"/>
        <w:right w:val="none" w:sz="0" w:space="0" w:color="auto"/>
      </w:divBdr>
    </w:div>
    <w:div w:id="2049793518">
      <w:marLeft w:val="0"/>
      <w:marRight w:val="0"/>
      <w:marTop w:val="0"/>
      <w:marBottom w:val="0"/>
      <w:divBdr>
        <w:top w:val="none" w:sz="0" w:space="0" w:color="auto"/>
        <w:left w:val="none" w:sz="0" w:space="0" w:color="auto"/>
        <w:bottom w:val="none" w:sz="0" w:space="0" w:color="auto"/>
        <w:right w:val="none" w:sz="0" w:space="0" w:color="auto"/>
      </w:divBdr>
    </w:div>
    <w:div w:id="2049793519">
      <w:marLeft w:val="0"/>
      <w:marRight w:val="0"/>
      <w:marTop w:val="0"/>
      <w:marBottom w:val="0"/>
      <w:divBdr>
        <w:top w:val="none" w:sz="0" w:space="0" w:color="auto"/>
        <w:left w:val="none" w:sz="0" w:space="0" w:color="auto"/>
        <w:bottom w:val="none" w:sz="0" w:space="0" w:color="auto"/>
        <w:right w:val="none" w:sz="0" w:space="0" w:color="auto"/>
      </w:divBdr>
    </w:div>
    <w:div w:id="2049793520">
      <w:marLeft w:val="0"/>
      <w:marRight w:val="0"/>
      <w:marTop w:val="0"/>
      <w:marBottom w:val="0"/>
      <w:divBdr>
        <w:top w:val="none" w:sz="0" w:space="0" w:color="auto"/>
        <w:left w:val="none" w:sz="0" w:space="0" w:color="auto"/>
        <w:bottom w:val="none" w:sz="0" w:space="0" w:color="auto"/>
        <w:right w:val="none" w:sz="0" w:space="0" w:color="auto"/>
      </w:divBdr>
    </w:div>
    <w:div w:id="2049793521">
      <w:marLeft w:val="0"/>
      <w:marRight w:val="0"/>
      <w:marTop w:val="0"/>
      <w:marBottom w:val="0"/>
      <w:divBdr>
        <w:top w:val="none" w:sz="0" w:space="0" w:color="auto"/>
        <w:left w:val="none" w:sz="0" w:space="0" w:color="auto"/>
        <w:bottom w:val="none" w:sz="0" w:space="0" w:color="auto"/>
        <w:right w:val="none" w:sz="0" w:space="0" w:color="auto"/>
      </w:divBdr>
    </w:div>
    <w:div w:id="2049793522">
      <w:marLeft w:val="0"/>
      <w:marRight w:val="0"/>
      <w:marTop w:val="0"/>
      <w:marBottom w:val="0"/>
      <w:divBdr>
        <w:top w:val="none" w:sz="0" w:space="0" w:color="auto"/>
        <w:left w:val="none" w:sz="0" w:space="0" w:color="auto"/>
        <w:bottom w:val="none" w:sz="0" w:space="0" w:color="auto"/>
        <w:right w:val="none" w:sz="0" w:space="0" w:color="auto"/>
      </w:divBdr>
    </w:div>
    <w:div w:id="2049793523">
      <w:marLeft w:val="0"/>
      <w:marRight w:val="0"/>
      <w:marTop w:val="0"/>
      <w:marBottom w:val="0"/>
      <w:divBdr>
        <w:top w:val="none" w:sz="0" w:space="0" w:color="auto"/>
        <w:left w:val="none" w:sz="0" w:space="0" w:color="auto"/>
        <w:bottom w:val="none" w:sz="0" w:space="0" w:color="auto"/>
        <w:right w:val="none" w:sz="0" w:space="0" w:color="auto"/>
      </w:divBdr>
    </w:div>
    <w:div w:id="2049793524">
      <w:marLeft w:val="0"/>
      <w:marRight w:val="0"/>
      <w:marTop w:val="0"/>
      <w:marBottom w:val="0"/>
      <w:divBdr>
        <w:top w:val="none" w:sz="0" w:space="0" w:color="auto"/>
        <w:left w:val="none" w:sz="0" w:space="0" w:color="auto"/>
        <w:bottom w:val="none" w:sz="0" w:space="0" w:color="auto"/>
        <w:right w:val="none" w:sz="0" w:space="0" w:color="auto"/>
      </w:divBdr>
    </w:div>
    <w:div w:id="2049793525">
      <w:marLeft w:val="0"/>
      <w:marRight w:val="0"/>
      <w:marTop w:val="0"/>
      <w:marBottom w:val="0"/>
      <w:divBdr>
        <w:top w:val="none" w:sz="0" w:space="0" w:color="auto"/>
        <w:left w:val="none" w:sz="0" w:space="0" w:color="auto"/>
        <w:bottom w:val="none" w:sz="0" w:space="0" w:color="auto"/>
        <w:right w:val="none" w:sz="0" w:space="0" w:color="auto"/>
      </w:divBdr>
    </w:div>
    <w:div w:id="2049793526">
      <w:marLeft w:val="0"/>
      <w:marRight w:val="0"/>
      <w:marTop w:val="0"/>
      <w:marBottom w:val="0"/>
      <w:divBdr>
        <w:top w:val="none" w:sz="0" w:space="0" w:color="auto"/>
        <w:left w:val="none" w:sz="0" w:space="0" w:color="auto"/>
        <w:bottom w:val="none" w:sz="0" w:space="0" w:color="auto"/>
        <w:right w:val="none" w:sz="0" w:space="0" w:color="auto"/>
      </w:divBdr>
    </w:div>
    <w:div w:id="2049793527">
      <w:marLeft w:val="0"/>
      <w:marRight w:val="0"/>
      <w:marTop w:val="0"/>
      <w:marBottom w:val="0"/>
      <w:divBdr>
        <w:top w:val="none" w:sz="0" w:space="0" w:color="auto"/>
        <w:left w:val="none" w:sz="0" w:space="0" w:color="auto"/>
        <w:bottom w:val="none" w:sz="0" w:space="0" w:color="auto"/>
        <w:right w:val="none" w:sz="0" w:space="0" w:color="auto"/>
      </w:divBdr>
    </w:div>
    <w:div w:id="2049793528">
      <w:marLeft w:val="0"/>
      <w:marRight w:val="0"/>
      <w:marTop w:val="0"/>
      <w:marBottom w:val="0"/>
      <w:divBdr>
        <w:top w:val="none" w:sz="0" w:space="0" w:color="auto"/>
        <w:left w:val="none" w:sz="0" w:space="0" w:color="auto"/>
        <w:bottom w:val="none" w:sz="0" w:space="0" w:color="auto"/>
        <w:right w:val="none" w:sz="0" w:space="0" w:color="auto"/>
      </w:divBdr>
    </w:div>
    <w:div w:id="2049793529">
      <w:marLeft w:val="0"/>
      <w:marRight w:val="0"/>
      <w:marTop w:val="0"/>
      <w:marBottom w:val="0"/>
      <w:divBdr>
        <w:top w:val="none" w:sz="0" w:space="0" w:color="auto"/>
        <w:left w:val="none" w:sz="0" w:space="0" w:color="auto"/>
        <w:bottom w:val="none" w:sz="0" w:space="0" w:color="auto"/>
        <w:right w:val="none" w:sz="0" w:space="0" w:color="auto"/>
      </w:divBdr>
    </w:div>
    <w:div w:id="2049793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macro@economy.gov.ru" TargetMode="External"/><Relationship Id="rId17" Type="http://schemas.openxmlformats.org/officeDocument/2006/relationships/footer" Target="footer2.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www.svoboda.org/content/article/27456198.html"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Внешняя</a:t>
            </a:r>
            <a:r>
              <a:rPr lang="ru-RU" sz="1200" baseline="0"/>
              <a:t> торговля Российской Федерации</a:t>
            </a:r>
          </a:p>
          <a:p>
            <a:pPr>
              <a:defRPr/>
            </a:pPr>
            <a:r>
              <a:rPr lang="ru-RU" sz="1200" baseline="0"/>
              <a:t> в 2009-2019 годах </a:t>
            </a:r>
            <a:r>
              <a:rPr lang="ru-RU" sz="1200" b="0" i="1" baseline="0"/>
              <a:t>(в млрд.долл. США)</a:t>
            </a:r>
            <a:endParaRPr lang="ru-RU" sz="1200" b="0" i="1"/>
          </a:p>
        </c:rich>
      </c:tx>
      <c:overlay val="1"/>
    </c:title>
    <c:autoTitleDeleted val="0"/>
    <c:plotArea>
      <c:layout>
        <c:manualLayout>
          <c:layoutTarget val="inner"/>
          <c:xMode val="edge"/>
          <c:yMode val="edge"/>
          <c:x val="8.607174103237096E-2"/>
          <c:y val="0.18699466565651549"/>
          <c:w val="0.88337270341207352"/>
          <c:h val="0.58553036042525708"/>
        </c:manualLayout>
      </c:layout>
      <c:lineChart>
        <c:grouping val="standard"/>
        <c:varyColors val="0"/>
        <c:ser>
          <c:idx val="0"/>
          <c:order val="0"/>
          <c:tx>
            <c:strRef>
              <c:f>Лист1!$A$2</c:f>
              <c:strCache>
                <c:ptCount val="1"/>
                <c:pt idx="0">
                  <c:v>Экспорт</c:v>
                </c:pt>
              </c:strCache>
            </c:strRef>
          </c:tx>
          <c:spPr>
            <a:ln>
              <a:solidFill>
                <a:schemeClr val="tx1">
                  <a:lumMod val="50000"/>
                  <a:lumOff val="50000"/>
                </a:schemeClr>
              </a:solidFill>
            </a:ln>
          </c:spPr>
          <c:marker>
            <c:symbol val="diamond"/>
            <c:size val="6"/>
            <c:spPr>
              <a:solidFill>
                <a:schemeClr val="bg1">
                  <a:lumMod val="65000"/>
                </a:schemeClr>
              </a:solidFill>
              <a:ln>
                <a:solidFill>
                  <a:schemeClr val="tx1">
                    <a:lumMod val="50000"/>
                    <a:lumOff val="50000"/>
                  </a:schemeClr>
                </a:solidFill>
              </a:ln>
            </c:spPr>
          </c:marker>
          <c:dLbls>
            <c:dLbl>
              <c:idx val="2"/>
              <c:layout>
                <c:manualLayout>
                  <c:x val="-5.6698999581574046E-2"/>
                  <c:y val="-4.733220726315264E-2"/>
                </c:manualLayout>
              </c:layout>
              <c:dLblPos val="r"/>
              <c:showLegendKey val="0"/>
              <c:showVal val="1"/>
              <c:showCatName val="0"/>
              <c:showSerName val="0"/>
              <c:showPercent val="0"/>
              <c:showBubbleSize val="0"/>
            </c:dLbl>
            <c:dLbl>
              <c:idx val="3"/>
              <c:layout>
                <c:manualLayout>
                  <c:x val="-5.3478387665309955E-2"/>
                  <c:y val="-5.2261351781012468E-2"/>
                </c:manualLayout>
              </c:layout>
              <c:dLblPos val="r"/>
              <c:showLegendKey val="0"/>
              <c:showVal val="1"/>
              <c:showCatName val="0"/>
              <c:showSerName val="0"/>
              <c:showPercent val="0"/>
              <c:showBubbleSize val="0"/>
            </c:dLbl>
            <c:dLbl>
              <c:idx val="4"/>
              <c:layout>
                <c:manualLayout>
                  <c:x val="-5.3478387665309893E-2"/>
                  <c:y val="-5.2261351781012495E-2"/>
                </c:manualLayout>
              </c:layout>
              <c:dLblPos val="r"/>
              <c:showLegendKey val="0"/>
              <c:showVal val="1"/>
              <c:showCatName val="0"/>
              <c:showSerName val="0"/>
              <c:showPercent val="0"/>
              <c:showBubbleSize val="0"/>
            </c:dLbl>
            <c:dLbl>
              <c:idx val="5"/>
              <c:layout>
                <c:manualLayout>
                  <c:x val="-5.3478387665309955E-2"/>
                  <c:y val="-5.719049629887227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Лист1!$B$2:$L$2</c:f>
              <c:numCache>
                <c:formatCode>0</c:formatCode>
                <c:ptCount val="11"/>
                <c:pt idx="0">
                  <c:v>297.15499999999997</c:v>
                </c:pt>
                <c:pt idx="1">
                  <c:v>392.67399999999998</c:v>
                </c:pt>
                <c:pt idx="2">
                  <c:v>515.40899999999999</c:v>
                </c:pt>
                <c:pt idx="3">
                  <c:v>527.43399999999997</c:v>
                </c:pt>
                <c:pt idx="4">
                  <c:v>523.27499999999998</c:v>
                </c:pt>
                <c:pt idx="5">
                  <c:v>497.76299999999998</c:v>
                </c:pt>
                <c:pt idx="6">
                  <c:v>341.46699999999998</c:v>
                </c:pt>
                <c:pt idx="7">
                  <c:v>288.45924806778777</c:v>
                </c:pt>
                <c:pt idx="8">
                  <c:v>293.50644195079485</c:v>
                </c:pt>
                <c:pt idx="9">
                  <c:v>301.66634476042088</c:v>
                </c:pt>
                <c:pt idx="10">
                  <c:v>312.23460433174284</c:v>
                </c:pt>
              </c:numCache>
            </c:numRef>
          </c:val>
          <c:smooth val="0"/>
        </c:ser>
        <c:ser>
          <c:idx val="1"/>
          <c:order val="1"/>
          <c:tx>
            <c:strRef>
              <c:f>Лист1!$A$3</c:f>
              <c:strCache>
                <c:ptCount val="1"/>
                <c:pt idx="0">
                  <c:v>Импорт</c:v>
                </c:pt>
              </c:strCache>
            </c:strRef>
          </c:tx>
          <c:spPr>
            <a:ln>
              <a:solidFill>
                <a:schemeClr val="bg1">
                  <a:lumMod val="75000"/>
                </a:schemeClr>
              </a:solidFill>
            </a:ln>
          </c:spPr>
          <c:marker>
            <c:spPr>
              <a:solidFill>
                <a:schemeClr val="bg1">
                  <a:lumMod val="65000"/>
                </a:schemeClr>
              </a:solidFill>
              <a:ln>
                <a:solidFill>
                  <a:schemeClr val="bg1">
                    <a:lumMod val="75000"/>
                  </a:schemeClr>
                </a:solidFill>
              </a:ln>
            </c:spPr>
          </c:marker>
          <c:dLbls>
            <c:dLbl>
              <c:idx val="0"/>
              <c:layout>
                <c:manualLayout>
                  <c:x val="-5.5088693623442E-2"/>
                  <c:y val="-5.4725924039942371E-2"/>
                </c:manualLayout>
              </c:layout>
              <c:dLblPos val="r"/>
              <c:showLegendKey val="0"/>
              <c:showVal val="1"/>
              <c:showCatName val="0"/>
              <c:showSerName val="0"/>
              <c:showPercent val="0"/>
              <c:showBubbleSize val="0"/>
            </c:dLbl>
            <c:dLbl>
              <c:idx val="1"/>
              <c:layout>
                <c:manualLayout>
                  <c:x val="-5.5088693623442E-2"/>
                  <c:y val="-5.4725924039942371E-2"/>
                </c:manualLayout>
              </c:layout>
              <c:dLblPos val="r"/>
              <c:showLegendKey val="0"/>
              <c:showVal val="1"/>
              <c:showCatName val="0"/>
              <c:showSerName val="0"/>
              <c:showPercent val="0"/>
              <c:showBubbleSize val="0"/>
            </c:dLbl>
            <c:dLbl>
              <c:idx val="2"/>
              <c:layout>
                <c:manualLayout>
                  <c:x val="-5.5088693623442E-2"/>
                  <c:y val="-5.4725924039942329E-2"/>
                </c:manualLayout>
              </c:layout>
              <c:dLblPos val="r"/>
              <c:showLegendKey val="0"/>
              <c:showVal val="1"/>
              <c:showCatName val="0"/>
              <c:showSerName val="0"/>
              <c:showPercent val="0"/>
              <c:showBubbleSize val="0"/>
            </c:dLbl>
            <c:dLbl>
              <c:idx val="3"/>
              <c:layout>
                <c:manualLayout>
                  <c:x val="-5.5088693623442E-2"/>
                  <c:y val="-5.472592403994242E-2"/>
                </c:manualLayout>
              </c:layout>
              <c:dLblPos val="r"/>
              <c:showLegendKey val="0"/>
              <c:showVal val="1"/>
              <c:showCatName val="0"/>
              <c:showSerName val="0"/>
              <c:showPercent val="0"/>
              <c:showBubbleSize val="0"/>
            </c:dLbl>
            <c:dLbl>
              <c:idx val="4"/>
              <c:layout>
                <c:manualLayout>
                  <c:x val="-5.5088693623441938E-2"/>
                  <c:y val="-5.4725924039942371E-2"/>
                </c:manualLayout>
              </c:layout>
              <c:dLblPos val="r"/>
              <c:showLegendKey val="0"/>
              <c:showVal val="1"/>
              <c:showCatName val="0"/>
              <c:showSerName val="0"/>
              <c:showPercent val="0"/>
              <c:showBubbleSize val="0"/>
            </c:dLbl>
            <c:dLbl>
              <c:idx val="5"/>
              <c:layout>
                <c:manualLayout>
                  <c:x val="-5.8309305539706084E-2"/>
                  <c:y val="-5.4725924039942371E-2"/>
                </c:manualLayout>
              </c:layout>
              <c:dLblPos val="r"/>
              <c:showLegendKey val="0"/>
              <c:showVal val="1"/>
              <c:showCatName val="0"/>
              <c:showSerName val="0"/>
              <c:showPercent val="0"/>
              <c:showBubbleSize val="0"/>
            </c:dLbl>
            <c:dLbl>
              <c:idx val="6"/>
              <c:layout>
                <c:manualLayout>
                  <c:x val="-5.5088693623442E-2"/>
                  <c:y val="-5.4725924039942371E-2"/>
                </c:manualLayout>
              </c:layout>
              <c:dLblPos val="r"/>
              <c:showLegendKey val="0"/>
              <c:showVal val="1"/>
              <c:showCatName val="0"/>
              <c:showSerName val="0"/>
              <c:showPercent val="0"/>
              <c:showBubbleSize val="0"/>
            </c:dLbl>
            <c:dLbl>
              <c:idx val="7"/>
              <c:layout>
                <c:manualLayout>
                  <c:x val="-5.5088693623442E-2"/>
                  <c:y val="-3.9938490486362957E-2"/>
                </c:manualLayout>
              </c:layout>
              <c:dLblPos val="r"/>
              <c:showLegendKey val="0"/>
              <c:showVal val="1"/>
              <c:showCatName val="0"/>
              <c:showSerName val="0"/>
              <c:showPercent val="0"/>
              <c:showBubbleSize val="0"/>
            </c:dLbl>
            <c:dLbl>
              <c:idx val="8"/>
              <c:layout>
                <c:manualLayout>
                  <c:x val="-5.186808170717791E-2"/>
                  <c:y val="-5.4725924039942371E-2"/>
                </c:manualLayout>
              </c:layout>
              <c:dLblPos val="r"/>
              <c:showLegendKey val="0"/>
              <c:showVal val="1"/>
              <c:showCatName val="0"/>
              <c:showSerName val="0"/>
              <c:showPercent val="0"/>
              <c:showBubbleSize val="0"/>
            </c:dLbl>
            <c:dLbl>
              <c:idx val="9"/>
              <c:layout>
                <c:manualLayout>
                  <c:x val="-5.5088693623442E-2"/>
                  <c:y val="-4.4867635004222764E-2"/>
                </c:manualLayout>
              </c:layout>
              <c:dLblPos val="r"/>
              <c:showLegendKey val="0"/>
              <c:showVal val="1"/>
              <c:showCatName val="0"/>
              <c:showSerName val="0"/>
              <c:showPercent val="0"/>
              <c:showBubbleSize val="0"/>
            </c:dLbl>
            <c:dLbl>
              <c:idx val="10"/>
              <c:layout>
                <c:manualLayout>
                  <c:x val="-2.6892616683784093E-2"/>
                  <c:y val="-5.472592403994237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Лист1!$B$3:$L$3</c:f>
              <c:numCache>
                <c:formatCode>0</c:formatCode>
                <c:ptCount val="11"/>
                <c:pt idx="0">
                  <c:v>183.92399999999998</c:v>
                </c:pt>
                <c:pt idx="1">
                  <c:v>245.67998661517143</c:v>
                </c:pt>
                <c:pt idx="2">
                  <c:v>318.55552265309751</c:v>
                </c:pt>
                <c:pt idx="3">
                  <c:v>335.77100000000002</c:v>
                </c:pt>
                <c:pt idx="4">
                  <c:v>341.33699999999999</c:v>
                </c:pt>
                <c:pt idx="5">
                  <c:v>308.02600000000001</c:v>
                </c:pt>
                <c:pt idx="6">
                  <c:v>192.95400000000001</c:v>
                </c:pt>
                <c:pt idx="7">
                  <c:v>179.75809608695403</c:v>
                </c:pt>
                <c:pt idx="8">
                  <c:v>187.2591576921138</c:v>
                </c:pt>
                <c:pt idx="9">
                  <c:v>195.84959289439459</c:v>
                </c:pt>
                <c:pt idx="10">
                  <c:v>207.8455792203809</c:v>
                </c:pt>
              </c:numCache>
            </c:numRef>
          </c:val>
          <c:smooth val="0"/>
        </c:ser>
        <c:ser>
          <c:idx val="2"/>
          <c:order val="2"/>
          <c:tx>
            <c:strRef>
              <c:f>Лист1!$A$4</c:f>
              <c:strCache>
                <c:ptCount val="1"/>
                <c:pt idx="0">
                  <c:v>Сальдо</c:v>
                </c:pt>
              </c:strCache>
            </c:strRef>
          </c:tx>
          <c:spPr>
            <a:ln>
              <a:solidFill>
                <a:sysClr val="windowText" lastClr="000000"/>
              </a:solidFill>
            </a:ln>
          </c:spPr>
          <c:marker>
            <c:symbol val="triangle"/>
            <c:size val="6"/>
            <c:spPr>
              <a:solidFill>
                <a:schemeClr val="tx1"/>
              </a:solidFill>
              <a:ln>
                <a:solidFill>
                  <a:sysClr val="windowText" lastClr="000000"/>
                </a:solidFill>
              </a:ln>
            </c:spPr>
          </c:marker>
          <c:dLbls>
            <c:dLblPos val="b"/>
            <c:showLegendKey val="0"/>
            <c:showVal val="1"/>
            <c:showCatName val="0"/>
            <c:showSerName val="0"/>
            <c:showPercent val="0"/>
            <c:showBubbleSize val="0"/>
            <c:showLeaderLines val="0"/>
          </c:dLbls>
          <c:cat>
            <c:numRef>
              <c:f>Лист1!$B$1:$L$1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Лист1!$B$4:$L$4</c:f>
              <c:numCache>
                <c:formatCode>0</c:formatCode>
                <c:ptCount val="11"/>
                <c:pt idx="0">
                  <c:v>113.23099999999999</c:v>
                </c:pt>
                <c:pt idx="1">
                  <c:v>146.99401338482855</c:v>
                </c:pt>
                <c:pt idx="2">
                  <c:v>196.85347734690248</c:v>
                </c:pt>
                <c:pt idx="3">
                  <c:v>191.66299999999995</c:v>
                </c:pt>
                <c:pt idx="4">
                  <c:v>181.93799999999999</c:v>
                </c:pt>
                <c:pt idx="5">
                  <c:v>189.73699999999997</c:v>
                </c:pt>
                <c:pt idx="6">
                  <c:v>148.51299999999998</c:v>
                </c:pt>
                <c:pt idx="7">
                  <c:v>108.70115198083374</c:v>
                </c:pt>
                <c:pt idx="8">
                  <c:v>106.24728425868105</c:v>
                </c:pt>
                <c:pt idx="9">
                  <c:v>105.81675186602629</c:v>
                </c:pt>
                <c:pt idx="10">
                  <c:v>104.38902511136195</c:v>
                </c:pt>
              </c:numCache>
            </c:numRef>
          </c:val>
          <c:smooth val="0"/>
        </c:ser>
        <c:dLbls>
          <c:showLegendKey val="0"/>
          <c:showVal val="0"/>
          <c:showCatName val="0"/>
          <c:showSerName val="0"/>
          <c:showPercent val="0"/>
          <c:showBubbleSize val="0"/>
        </c:dLbls>
        <c:marker val="1"/>
        <c:smooth val="0"/>
        <c:axId val="204319360"/>
        <c:axId val="204771712"/>
      </c:lineChart>
      <c:catAx>
        <c:axId val="204319360"/>
        <c:scaling>
          <c:orientation val="minMax"/>
        </c:scaling>
        <c:delete val="0"/>
        <c:axPos val="b"/>
        <c:numFmt formatCode="General" sourceLinked="1"/>
        <c:majorTickMark val="out"/>
        <c:minorTickMark val="none"/>
        <c:tickLblPos val="nextTo"/>
        <c:crossAx val="204771712"/>
        <c:crosses val="autoZero"/>
        <c:auto val="1"/>
        <c:lblAlgn val="ctr"/>
        <c:lblOffset val="100"/>
        <c:noMultiLvlLbl val="0"/>
      </c:catAx>
      <c:valAx>
        <c:axId val="204771712"/>
        <c:scaling>
          <c:orientation val="minMax"/>
        </c:scaling>
        <c:delete val="0"/>
        <c:axPos val="l"/>
        <c:majorGridlines/>
        <c:numFmt formatCode="0" sourceLinked="1"/>
        <c:majorTickMark val="out"/>
        <c:minorTickMark val="none"/>
        <c:tickLblPos val="nextTo"/>
        <c:crossAx val="204319360"/>
        <c:crosses val="autoZero"/>
        <c:crossBetween val="between"/>
      </c:valAx>
    </c:plotArea>
    <c:legend>
      <c:legendPos val="b"/>
      <c:overlay val="0"/>
      <c:txPr>
        <a:bodyPr/>
        <a:lstStyle/>
        <a:p>
          <a:pPr>
            <a:defRPr b="1"/>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8763-12FA-40C9-83BF-E7E0C962D4E0}">
  <ds:schemaRefs>
    <ds:schemaRef ds:uri="http://schemas.openxmlformats.org/officeDocument/2006/bibliography"/>
  </ds:schemaRefs>
</ds:datastoreItem>
</file>

<file path=customXml/itemProps2.xml><?xml version="1.0" encoding="utf-8"?>
<ds:datastoreItem xmlns:ds="http://schemas.openxmlformats.org/officeDocument/2006/customXml" ds:itemID="{636C3581-1A03-4444-8A95-E16E854A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20188</Words>
  <Characters>115073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Демографические тенденции</vt:lpstr>
    </vt:vector>
  </TitlesOfParts>
  <Company/>
  <LinksUpToDate>false</LinksUpToDate>
  <CharactersWithSpaces>134992</CharactersWithSpaces>
  <SharedDoc>false</SharedDoc>
  <HLinks>
    <vt:vector size="72" baseType="variant">
      <vt:variant>
        <vt:i4>1835058</vt:i4>
      </vt:variant>
      <vt:variant>
        <vt:i4>68</vt:i4>
      </vt:variant>
      <vt:variant>
        <vt:i4>0</vt:i4>
      </vt:variant>
      <vt:variant>
        <vt:i4>5</vt:i4>
      </vt:variant>
      <vt:variant>
        <vt:lpwstr/>
      </vt:variant>
      <vt:variant>
        <vt:lpwstr>_Toc414962411</vt:lpwstr>
      </vt:variant>
      <vt:variant>
        <vt:i4>1835058</vt:i4>
      </vt:variant>
      <vt:variant>
        <vt:i4>62</vt:i4>
      </vt:variant>
      <vt:variant>
        <vt:i4>0</vt:i4>
      </vt:variant>
      <vt:variant>
        <vt:i4>5</vt:i4>
      </vt:variant>
      <vt:variant>
        <vt:lpwstr/>
      </vt:variant>
      <vt:variant>
        <vt:lpwstr>_Toc414962410</vt:lpwstr>
      </vt:variant>
      <vt:variant>
        <vt:i4>1900594</vt:i4>
      </vt:variant>
      <vt:variant>
        <vt:i4>56</vt:i4>
      </vt:variant>
      <vt:variant>
        <vt:i4>0</vt:i4>
      </vt:variant>
      <vt:variant>
        <vt:i4>5</vt:i4>
      </vt:variant>
      <vt:variant>
        <vt:lpwstr/>
      </vt:variant>
      <vt:variant>
        <vt:lpwstr>_Toc414962409</vt:lpwstr>
      </vt:variant>
      <vt:variant>
        <vt:i4>1900594</vt:i4>
      </vt:variant>
      <vt:variant>
        <vt:i4>50</vt:i4>
      </vt:variant>
      <vt:variant>
        <vt:i4>0</vt:i4>
      </vt:variant>
      <vt:variant>
        <vt:i4>5</vt:i4>
      </vt:variant>
      <vt:variant>
        <vt:lpwstr/>
      </vt:variant>
      <vt:variant>
        <vt:lpwstr>_Toc414962408</vt:lpwstr>
      </vt:variant>
      <vt:variant>
        <vt:i4>1900594</vt:i4>
      </vt:variant>
      <vt:variant>
        <vt:i4>44</vt:i4>
      </vt:variant>
      <vt:variant>
        <vt:i4>0</vt:i4>
      </vt:variant>
      <vt:variant>
        <vt:i4>5</vt:i4>
      </vt:variant>
      <vt:variant>
        <vt:lpwstr/>
      </vt:variant>
      <vt:variant>
        <vt:lpwstr>_Toc414962407</vt:lpwstr>
      </vt:variant>
      <vt:variant>
        <vt:i4>1900594</vt:i4>
      </vt:variant>
      <vt:variant>
        <vt:i4>38</vt:i4>
      </vt:variant>
      <vt:variant>
        <vt:i4>0</vt:i4>
      </vt:variant>
      <vt:variant>
        <vt:i4>5</vt:i4>
      </vt:variant>
      <vt:variant>
        <vt:lpwstr/>
      </vt:variant>
      <vt:variant>
        <vt:lpwstr>_Toc414962406</vt:lpwstr>
      </vt:variant>
      <vt:variant>
        <vt:i4>1900594</vt:i4>
      </vt:variant>
      <vt:variant>
        <vt:i4>32</vt:i4>
      </vt:variant>
      <vt:variant>
        <vt:i4>0</vt:i4>
      </vt:variant>
      <vt:variant>
        <vt:i4>5</vt:i4>
      </vt:variant>
      <vt:variant>
        <vt:lpwstr/>
      </vt:variant>
      <vt:variant>
        <vt:lpwstr>_Toc414962405</vt:lpwstr>
      </vt:variant>
      <vt:variant>
        <vt:i4>1900594</vt:i4>
      </vt:variant>
      <vt:variant>
        <vt:i4>26</vt:i4>
      </vt:variant>
      <vt:variant>
        <vt:i4>0</vt:i4>
      </vt:variant>
      <vt:variant>
        <vt:i4>5</vt:i4>
      </vt:variant>
      <vt:variant>
        <vt:lpwstr/>
      </vt:variant>
      <vt:variant>
        <vt:lpwstr>_Toc414962404</vt:lpwstr>
      </vt:variant>
      <vt:variant>
        <vt:i4>1900594</vt:i4>
      </vt:variant>
      <vt:variant>
        <vt:i4>20</vt:i4>
      </vt:variant>
      <vt:variant>
        <vt:i4>0</vt:i4>
      </vt:variant>
      <vt:variant>
        <vt:i4>5</vt:i4>
      </vt:variant>
      <vt:variant>
        <vt:lpwstr/>
      </vt:variant>
      <vt:variant>
        <vt:lpwstr>_Toc414962403</vt:lpwstr>
      </vt:variant>
      <vt:variant>
        <vt:i4>1900594</vt:i4>
      </vt:variant>
      <vt:variant>
        <vt:i4>14</vt:i4>
      </vt:variant>
      <vt:variant>
        <vt:i4>0</vt:i4>
      </vt:variant>
      <vt:variant>
        <vt:i4>5</vt:i4>
      </vt:variant>
      <vt:variant>
        <vt:lpwstr/>
      </vt:variant>
      <vt:variant>
        <vt:lpwstr>_Toc414962402</vt:lpwstr>
      </vt:variant>
      <vt:variant>
        <vt:i4>1900594</vt:i4>
      </vt:variant>
      <vt:variant>
        <vt:i4>8</vt:i4>
      </vt:variant>
      <vt:variant>
        <vt:i4>0</vt:i4>
      </vt:variant>
      <vt:variant>
        <vt:i4>5</vt:i4>
      </vt:variant>
      <vt:variant>
        <vt:lpwstr/>
      </vt:variant>
      <vt:variant>
        <vt:lpwstr>_Toc414962401</vt:lpwstr>
      </vt:variant>
      <vt:variant>
        <vt:i4>8126486</vt:i4>
      </vt:variant>
      <vt:variant>
        <vt:i4>3</vt:i4>
      </vt:variant>
      <vt:variant>
        <vt:i4>0</vt:i4>
      </vt:variant>
      <vt:variant>
        <vt:i4>5</vt:i4>
      </vt:variant>
      <vt:variant>
        <vt:lpwstr>mailto:macro@economy.gov.ru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Демографические тенденции</dc:title>
  <dc:creator>user</dc:creator>
  <cp:lastModifiedBy>User</cp:lastModifiedBy>
  <cp:revision>3</cp:revision>
  <cp:lastPrinted>2016-04-27T12:15:00Z</cp:lastPrinted>
  <dcterms:created xsi:type="dcterms:W3CDTF">2016-08-25T05:35:00Z</dcterms:created>
  <dcterms:modified xsi:type="dcterms:W3CDTF">2016-08-25T05:35:00Z</dcterms:modified>
</cp:coreProperties>
</file>