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42" w:rsidRPr="00C934E1" w:rsidRDefault="00EE54EF" w:rsidP="00701842">
      <w:pPr>
        <w:pStyle w:val="2"/>
        <w:jc w:val="center"/>
        <w:rPr>
          <w:rFonts w:ascii="Georgia" w:hAnsi="Georgia" w:cs="Times New Roman"/>
          <w:i/>
          <w:sz w:val="40"/>
          <w:szCs w:val="40"/>
          <w:u w:val="single"/>
        </w:rPr>
      </w:pPr>
      <w:r w:rsidRPr="00C934E1">
        <w:rPr>
          <w:rFonts w:ascii="Georgia" w:hAnsi="Georgia" w:cs="Times New Roman"/>
          <w:i/>
          <w:sz w:val="40"/>
          <w:szCs w:val="40"/>
          <w:u w:val="single"/>
        </w:rPr>
        <w:t>УВАЖАЕМЫЙ СТРАХОВАТЕЛЬ!</w:t>
      </w:r>
      <w:r w:rsidR="00701842" w:rsidRPr="00C934E1">
        <w:rPr>
          <w:rFonts w:ascii="Georgia" w:hAnsi="Georgia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4213A63" wp14:editId="39C9D85C">
            <wp:simplePos x="0" y="0"/>
            <wp:positionH relativeFrom="column">
              <wp:posOffset>137326</wp:posOffset>
            </wp:positionH>
            <wp:positionV relativeFrom="paragraph">
              <wp:posOffset>41441</wp:posOffset>
            </wp:positionV>
            <wp:extent cx="1588383" cy="1197637"/>
            <wp:effectExtent l="133350" t="38100" r="68967" b="59663"/>
            <wp:wrapSquare wrapText="bothSides"/>
            <wp:docPr id="12" name="Рисунок 5" descr="991a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1a-768x5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8383" cy="11976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01842" w:rsidRPr="00C934E1">
        <w:rPr>
          <w:rFonts w:ascii="Georgia" w:hAnsi="Georgia" w:cs="Times New Roman"/>
          <w:i/>
          <w:sz w:val="40"/>
          <w:szCs w:val="40"/>
          <w:u w:val="single"/>
        </w:rPr>
        <w:t xml:space="preserve"> </w:t>
      </w:r>
    </w:p>
    <w:p w:rsidR="002F2CC2" w:rsidRDefault="002F2CC2" w:rsidP="001A502E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2F2CC2" w:rsidRDefault="002F2CC2" w:rsidP="001A502E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2F2CC2" w:rsidRDefault="002F2CC2" w:rsidP="001A502E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2F2CC2" w:rsidRDefault="002F2CC2" w:rsidP="001A502E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2F2CC2" w:rsidRDefault="002F2CC2" w:rsidP="006A2668">
      <w:pPr>
        <w:pStyle w:val="2"/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EE54EF" w:rsidRPr="001D07B8" w:rsidRDefault="00EE54EF" w:rsidP="002F2CC2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24"/>
          <w:u w:val="single"/>
        </w:rPr>
      </w:pPr>
      <w:r w:rsidRPr="001D07B8">
        <w:rPr>
          <w:rFonts w:ascii="Times New Roman" w:hAnsi="Times New Roman" w:cs="Times New Roman"/>
          <w:i/>
          <w:sz w:val="28"/>
        </w:rPr>
        <w:t xml:space="preserve">В связи с повышением с 1 января 2019 года возраста выхода на пенсию в отдельные законодательные акты, в том числе в Трудовой кодекс Российской Федерации, внесены изменения, предусматривающие различные </w:t>
      </w:r>
      <w:r w:rsidR="002F2CC2" w:rsidRPr="001D07B8">
        <w:rPr>
          <w:rFonts w:ascii="Times New Roman" w:hAnsi="Times New Roman" w:cs="Times New Roman"/>
          <w:i/>
          <w:sz w:val="28"/>
        </w:rPr>
        <w:t>гарантии, льготы</w:t>
      </w:r>
      <w:r w:rsidR="002F2CC2">
        <w:rPr>
          <w:rFonts w:ascii="Times New Roman" w:hAnsi="Times New Roman" w:cs="Times New Roman"/>
          <w:i/>
          <w:sz w:val="28"/>
        </w:rPr>
        <w:t xml:space="preserve"> и меры </w:t>
      </w:r>
      <w:r w:rsidRPr="001D07B8">
        <w:rPr>
          <w:rFonts w:ascii="Times New Roman" w:hAnsi="Times New Roman" w:cs="Times New Roman"/>
          <w:i/>
          <w:sz w:val="28"/>
        </w:rPr>
        <w:t xml:space="preserve">социальной защиты (поддержки) </w:t>
      </w:r>
      <w:r w:rsidR="00542BAD">
        <w:rPr>
          <w:rFonts w:ascii="Times New Roman" w:hAnsi="Times New Roman" w:cs="Times New Roman"/>
          <w:i/>
          <w:sz w:val="28"/>
        </w:rPr>
        <w:t>граждан</w:t>
      </w:r>
      <w:r w:rsidRPr="001D07B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D07B8">
        <w:rPr>
          <w:rFonts w:ascii="Times New Roman" w:hAnsi="Times New Roman" w:cs="Times New Roman"/>
          <w:i/>
          <w:sz w:val="28"/>
        </w:rPr>
        <w:t>предпенсионного</w:t>
      </w:r>
      <w:proofErr w:type="spellEnd"/>
      <w:r w:rsidRPr="001D07B8">
        <w:rPr>
          <w:rFonts w:ascii="Times New Roman" w:hAnsi="Times New Roman" w:cs="Times New Roman"/>
          <w:i/>
          <w:sz w:val="28"/>
        </w:rPr>
        <w:t xml:space="preserve"> возраста.</w:t>
      </w:r>
    </w:p>
    <w:p w:rsidR="002F2CC2" w:rsidRDefault="002F2CC2" w:rsidP="002F2CC2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1076A" w:rsidRPr="001D07B8" w:rsidRDefault="0031076A" w:rsidP="002F2CC2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С 2019 года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>работодатель</w:t>
      </w:r>
      <w:r w:rsidR="00655BE3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>обязан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 предостав</w:t>
      </w:r>
      <w:r w:rsidR="00687807" w:rsidRPr="001D07B8">
        <w:rPr>
          <w:rFonts w:ascii="Times New Roman" w:eastAsia="Times New Roman" w:hAnsi="Times New Roman" w:cs="Times New Roman"/>
          <w:i/>
          <w:sz w:val="28"/>
          <w:szCs w:val="24"/>
        </w:rPr>
        <w:t>лять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>работникам оплачиваемые дни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br/>
      </w:r>
      <w:r w:rsidR="006F731B">
        <w:rPr>
          <w:rFonts w:ascii="Times New Roman" w:eastAsia="Times New Roman" w:hAnsi="Times New Roman" w:cs="Times New Roman"/>
          <w:i/>
          <w:sz w:val="28"/>
          <w:szCs w:val="24"/>
        </w:rPr>
        <w:t>для прохождения диспансеризации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. </w:t>
      </w:r>
      <w:r w:rsidR="00542BAD">
        <w:rPr>
          <w:rFonts w:ascii="Times New Roman" w:eastAsia="Times New Roman" w:hAnsi="Times New Roman" w:cs="Times New Roman"/>
          <w:i/>
          <w:sz w:val="28"/>
          <w:szCs w:val="24"/>
        </w:rPr>
        <w:t xml:space="preserve">Работники </w:t>
      </w:r>
      <w:proofErr w:type="spellStart"/>
      <w:r w:rsidR="00542BAD">
        <w:rPr>
          <w:rFonts w:ascii="Times New Roman" w:eastAsia="Times New Roman" w:hAnsi="Times New Roman" w:cs="Times New Roman"/>
          <w:i/>
          <w:sz w:val="28"/>
          <w:szCs w:val="24"/>
        </w:rPr>
        <w:t>предпенсионнного</w:t>
      </w:r>
      <w:proofErr w:type="spellEnd"/>
      <w:r w:rsidR="00542BAD">
        <w:rPr>
          <w:rFonts w:ascii="Times New Roman" w:eastAsia="Times New Roman" w:hAnsi="Times New Roman" w:cs="Times New Roman"/>
          <w:i/>
          <w:sz w:val="28"/>
          <w:szCs w:val="24"/>
        </w:rPr>
        <w:t xml:space="preserve"> возраста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br/>
      </w:r>
      <w:r w:rsidR="00542BAD">
        <w:rPr>
          <w:rFonts w:ascii="Times New Roman" w:eastAsia="Times New Roman" w:hAnsi="Times New Roman" w:cs="Times New Roman"/>
          <w:i/>
          <w:sz w:val="28"/>
          <w:szCs w:val="24"/>
        </w:rPr>
        <w:t>и работники, являющиеся получателями пенсии по старости или пенсии за выс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>лугу лет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 имеют право</w:t>
      </w:r>
      <w:r w:rsidR="00542BAD">
        <w:rPr>
          <w:rFonts w:ascii="Times New Roman" w:eastAsia="Times New Roman" w:hAnsi="Times New Roman" w:cs="Times New Roman"/>
          <w:i/>
          <w:sz w:val="28"/>
          <w:szCs w:val="24"/>
        </w:rPr>
        <w:t xml:space="preserve"> на освобождение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 xml:space="preserve">от работы 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на два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 xml:space="preserve">рабочих 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дня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 xml:space="preserve">один раз 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в год, остальные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>работники - на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 один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 xml:space="preserve">рабочий 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 xml:space="preserve">день </w:t>
      </w:r>
      <w:r w:rsidR="002F2CC2">
        <w:rPr>
          <w:rFonts w:ascii="Times New Roman" w:eastAsia="Times New Roman" w:hAnsi="Times New Roman" w:cs="Times New Roman"/>
          <w:i/>
          <w:sz w:val="28"/>
          <w:szCs w:val="24"/>
        </w:rPr>
        <w:t xml:space="preserve">один раз 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>в три года (</w:t>
      </w:r>
      <w:hyperlink r:id="rId7" w:anchor="/document/99/542639292/ZAP1VGU3CO/" w:history="1">
        <w:r w:rsidRPr="001D07B8">
          <w:rPr>
            <w:rFonts w:ascii="Times New Roman" w:eastAsia="Times New Roman" w:hAnsi="Times New Roman" w:cs="Times New Roman"/>
            <w:i/>
            <w:color w:val="0000FF"/>
            <w:sz w:val="28"/>
            <w:szCs w:val="24"/>
            <w:u w:val="single"/>
          </w:rPr>
          <w:t>ст. 185.1 ТК</w:t>
        </w:r>
      </w:hyperlink>
      <w:r w:rsidR="002F2CC2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</w:rPr>
        <w:t xml:space="preserve"> РФ</w:t>
      </w:r>
      <w:r w:rsidRPr="001D07B8">
        <w:rPr>
          <w:rFonts w:ascii="Times New Roman" w:eastAsia="Times New Roman" w:hAnsi="Times New Roman" w:cs="Times New Roman"/>
          <w:i/>
          <w:sz w:val="28"/>
          <w:szCs w:val="24"/>
        </w:rPr>
        <w:t>).</w:t>
      </w:r>
    </w:p>
    <w:p w:rsidR="002F2CC2" w:rsidRDefault="002F2CC2" w:rsidP="00EE54EF"/>
    <w:p w:rsidR="001D07B8" w:rsidRPr="006A2668" w:rsidRDefault="00EE54EF" w:rsidP="006A2668">
      <w:r>
        <w:rPr>
          <w:noProof/>
        </w:rPr>
        <w:drawing>
          <wp:inline distT="0" distB="0" distL="0" distR="0">
            <wp:extent cx="6785775" cy="3724855"/>
            <wp:effectExtent l="76200" t="57150" r="91440" b="10477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D07B8" w:rsidRPr="001D07B8" w:rsidRDefault="001D07B8" w:rsidP="001D07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07B8" w:rsidRDefault="001D07B8" w:rsidP="005E570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1D07B8" w:rsidRPr="001D07B8" w:rsidRDefault="001D07B8" w:rsidP="006A2668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1D07B8" w:rsidRDefault="001D07B8" w:rsidP="001D07B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D07B8"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Государственное Учреждение – Отделение Пенсионного фонда </w:t>
      </w:r>
    </w:p>
    <w:p w:rsidR="001D07B8" w:rsidRPr="001D07B8" w:rsidRDefault="001D07B8" w:rsidP="001D07B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D07B8"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Российской Федерации </w:t>
      </w:r>
    </w:p>
    <w:p w:rsidR="001D07B8" w:rsidRPr="001D07B8" w:rsidRDefault="001D07B8" w:rsidP="001D07B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D07B8"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по Ханты-Мансийскому автономному округу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-</w:t>
      </w:r>
      <w:r w:rsidRPr="001D07B8">
        <w:rPr>
          <w:rFonts w:ascii="Times New Roman" w:hAnsi="Times New Roman" w:cs="Times New Roman"/>
          <w:b/>
          <w:i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Югре</w:t>
      </w:r>
    </w:p>
    <w:p w:rsidR="001D07B8" w:rsidRPr="001D07B8" w:rsidRDefault="001D07B8" w:rsidP="005E570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1D07B8" w:rsidRPr="001D07B8" w:rsidRDefault="001D07B8" w:rsidP="005E570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1D07B8" w:rsidRPr="001D07B8" w:rsidRDefault="001D07B8" w:rsidP="005E570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1D07B8" w:rsidRPr="001D07B8" w:rsidRDefault="001D07B8" w:rsidP="005E570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1D07B8" w:rsidRPr="001D07B8" w:rsidRDefault="001D07B8" w:rsidP="005E570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sectPr w:rsidR="001D07B8" w:rsidRPr="001D07B8" w:rsidSect="001A50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9AF"/>
    <w:multiLevelType w:val="hybridMultilevel"/>
    <w:tmpl w:val="E236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1074"/>
    <w:multiLevelType w:val="multilevel"/>
    <w:tmpl w:val="890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F3"/>
    <w:rsid w:val="000B4201"/>
    <w:rsid w:val="00144E52"/>
    <w:rsid w:val="00162427"/>
    <w:rsid w:val="001A05EF"/>
    <w:rsid w:val="001A502E"/>
    <w:rsid w:val="001D07B8"/>
    <w:rsid w:val="00241362"/>
    <w:rsid w:val="002F2CC2"/>
    <w:rsid w:val="00300AF3"/>
    <w:rsid w:val="0031076A"/>
    <w:rsid w:val="003B059B"/>
    <w:rsid w:val="00535F15"/>
    <w:rsid w:val="00542BAD"/>
    <w:rsid w:val="0057768D"/>
    <w:rsid w:val="005B0A83"/>
    <w:rsid w:val="005E5704"/>
    <w:rsid w:val="00655BE3"/>
    <w:rsid w:val="00687807"/>
    <w:rsid w:val="006A2668"/>
    <w:rsid w:val="006F731B"/>
    <w:rsid w:val="00701842"/>
    <w:rsid w:val="007E1609"/>
    <w:rsid w:val="007E5AC4"/>
    <w:rsid w:val="00817CF4"/>
    <w:rsid w:val="00914CFA"/>
    <w:rsid w:val="00967DAF"/>
    <w:rsid w:val="00A47E67"/>
    <w:rsid w:val="00B07CCE"/>
    <w:rsid w:val="00B70DAC"/>
    <w:rsid w:val="00B9019B"/>
    <w:rsid w:val="00C934E1"/>
    <w:rsid w:val="00D30CF6"/>
    <w:rsid w:val="00D83E7D"/>
    <w:rsid w:val="00DE2A56"/>
    <w:rsid w:val="00EE54EF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75FE"/>
  <w15:docId w15:val="{E950B1DE-CFD7-4E95-A258-972A63B5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7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0A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B42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7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901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gl.ru/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FBB4DE-5F0E-444E-9D6A-A49D49FC19A5}" type="doc">
      <dgm:prSet loTypeId="urn:microsoft.com/office/officeart/2005/8/layout/target3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2068601-D090-45FD-AF27-564ECDA1D80B}">
      <dgm:prSet phldrT="[Текст]" custT="1"/>
      <dgm:spPr>
        <a:ln>
          <a:solidFill>
            <a:srgbClr val="FFC000"/>
          </a:solidFill>
        </a:ln>
      </dgm:spPr>
      <dgm:t>
        <a:bodyPr/>
        <a:lstStyle/>
        <a:p>
          <a:r>
            <a:rPr lang="ru-RU" sz="1200" b="1" i="1">
              <a:solidFill>
                <a:srgbClr val="FFC000"/>
              </a:solidFill>
              <a:latin typeface="+mn-lt"/>
            </a:rPr>
            <a:t>Под предпенионным возрастом понимается период в течение пяти лет до наступления возраста, дающего право на назначение страховой пенсии по старости, в том числе на назначение указанной пенсии досрочно</a:t>
          </a:r>
        </a:p>
      </dgm:t>
    </dgm:pt>
    <dgm:pt modelId="{1140EE4A-0AB7-4FED-B9D2-3A6D89030396}" type="sibTrans" cxnId="{D5B62BF4-2328-47F9-AFF3-B910F586CFA0}">
      <dgm:prSet/>
      <dgm:spPr/>
      <dgm:t>
        <a:bodyPr/>
        <a:lstStyle/>
        <a:p>
          <a:endParaRPr lang="ru-RU"/>
        </a:p>
      </dgm:t>
    </dgm:pt>
    <dgm:pt modelId="{D8BBAF72-4753-4DA9-AC2B-D4221B823169}" type="parTrans" cxnId="{D5B62BF4-2328-47F9-AFF3-B910F586CFA0}">
      <dgm:prSet/>
      <dgm:spPr/>
      <dgm:t>
        <a:bodyPr/>
        <a:lstStyle/>
        <a:p>
          <a:endParaRPr lang="ru-RU"/>
        </a:p>
      </dgm:t>
    </dgm:pt>
    <dgm:pt modelId="{652D5AF9-3B58-40D1-A2CA-3F2BC86A0DD5}">
      <dgm:prSet phldrT="[Текст]" custT="1"/>
      <dgm:spPr/>
      <dgm:t>
        <a:bodyPr/>
        <a:lstStyle/>
        <a:p>
          <a:r>
            <a:rPr lang="ru-RU" sz="1200" b="1" i="1">
              <a:solidFill>
                <a:srgbClr val="0070C0"/>
              </a:solidFill>
            </a:rPr>
            <a:t>Предусматривается переходный период по увеличению возраста выхода на пенсию по старости с 2019 года по 2027 год, поэтому </a:t>
          </a:r>
          <a:br>
            <a:rPr lang="ru-RU" sz="1200" b="1" i="1">
              <a:solidFill>
                <a:srgbClr val="0070C0"/>
              </a:solidFill>
            </a:rPr>
          </a:br>
          <a:r>
            <a:rPr lang="ru-RU" sz="1200" b="1" i="1">
              <a:solidFill>
                <a:srgbClr val="0070C0"/>
              </a:solidFill>
            </a:rPr>
            <a:t>предпенсионный период у разных работников будет приходиться </a:t>
          </a:r>
          <a:br>
            <a:rPr lang="ru-RU" sz="1200" b="1" i="1">
              <a:solidFill>
                <a:srgbClr val="0070C0"/>
              </a:solidFill>
            </a:rPr>
          </a:br>
          <a:r>
            <a:rPr lang="ru-RU" sz="1200" b="1" i="1">
              <a:solidFill>
                <a:srgbClr val="0070C0"/>
              </a:solidFill>
            </a:rPr>
            <a:t>на разный возраст</a:t>
          </a:r>
        </a:p>
      </dgm:t>
    </dgm:pt>
    <dgm:pt modelId="{0D7CC6F0-95B9-4179-9812-EE60C91DB4E7}" type="sibTrans" cxnId="{50DCAAC4-54AC-4300-87D8-0409B999162A}">
      <dgm:prSet/>
      <dgm:spPr/>
      <dgm:t>
        <a:bodyPr/>
        <a:lstStyle/>
        <a:p>
          <a:endParaRPr lang="ru-RU"/>
        </a:p>
      </dgm:t>
    </dgm:pt>
    <dgm:pt modelId="{8EA281D1-4694-4C34-B2F6-268077B847FF}" type="parTrans" cxnId="{50DCAAC4-54AC-4300-87D8-0409B999162A}">
      <dgm:prSet/>
      <dgm:spPr/>
      <dgm:t>
        <a:bodyPr/>
        <a:lstStyle/>
        <a:p>
          <a:endParaRPr lang="ru-RU"/>
        </a:p>
      </dgm:t>
    </dgm:pt>
    <dgm:pt modelId="{0603CE30-7602-4185-B92F-8C3391F7618C}">
      <dgm:prSet phldrT="[Текст]" custT="1"/>
      <dgm:spPr>
        <a:ln>
          <a:solidFill>
            <a:srgbClr val="FF0000"/>
          </a:solidFill>
        </a:ln>
      </dgm:spPr>
      <dgm:t>
        <a:bodyPr/>
        <a:lstStyle/>
        <a:p>
          <a:r>
            <a:rPr lang="ru-RU" sz="1200" b="1" i="1">
              <a:solidFill>
                <a:srgbClr val="FF0000"/>
              </a:solidFill>
            </a:rPr>
            <a:t>Законодательством предусмотрены меры ответственности работодателей за непредоставление работникам предпенсионного возраста гарантий и льгот, предусмотренных трудовым законодательством</a:t>
          </a:r>
        </a:p>
      </dgm:t>
    </dgm:pt>
    <dgm:pt modelId="{7C0162D5-B805-44EA-92E5-E93E2D3296C4}" type="sibTrans" cxnId="{845AD873-010B-4D02-BA85-FF6563B5572B}">
      <dgm:prSet/>
      <dgm:spPr/>
      <dgm:t>
        <a:bodyPr/>
        <a:lstStyle/>
        <a:p>
          <a:endParaRPr lang="ru-RU"/>
        </a:p>
      </dgm:t>
    </dgm:pt>
    <dgm:pt modelId="{560EB035-10EB-4751-9107-C513DAF7D0BD}" type="parTrans" cxnId="{845AD873-010B-4D02-BA85-FF6563B5572B}">
      <dgm:prSet/>
      <dgm:spPr/>
      <dgm:t>
        <a:bodyPr/>
        <a:lstStyle/>
        <a:p>
          <a:endParaRPr lang="ru-RU"/>
        </a:p>
      </dgm:t>
    </dgm:pt>
    <dgm:pt modelId="{C0D42957-D480-435E-9B54-BDE188C1065D}" type="pres">
      <dgm:prSet presAssocID="{F9FBB4DE-5F0E-444E-9D6A-A49D49FC19A5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B04660C-0AF2-4647-90A0-7C67D3EDF0E9}" type="pres">
      <dgm:prSet presAssocID="{B2068601-D090-45FD-AF27-564ECDA1D80B}" presName="circle1" presStyleLbl="node1" presStyleIdx="0" presStyleCnt="3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dgm:spPr>
    </dgm:pt>
    <dgm:pt modelId="{D8D93513-65BF-4DD8-B36E-844BF2A14C79}" type="pres">
      <dgm:prSet presAssocID="{B2068601-D090-45FD-AF27-564ECDA1D80B}" presName="space" presStyleCnt="0"/>
      <dgm:spPr/>
    </dgm:pt>
    <dgm:pt modelId="{8A4B69A7-1A27-4A54-A4ED-DA24EEC37EDE}" type="pres">
      <dgm:prSet presAssocID="{B2068601-D090-45FD-AF27-564ECDA1D80B}" presName="rect1" presStyleLbl="alignAcc1" presStyleIdx="0" presStyleCnt="3" custLinFactNeighborX="38"/>
      <dgm:spPr/>
      <dgm:t>
        <a:bodyPr/>
        <a:lstStyle/>
        <a:p>
          <a:endParaRPr lang="ru-RU"/>
        </a:p>
      </dgm:t>
    </dgm:pt>
    <dgm:pt modelId="{59614CB6-2071-4CD9-BBFF-DFDB884BCF8E}" type="pres">
      <dgm:prSet presAssocID="{652D5AF9-3B58-40D1-A2CA-3F2BC86A0DD5}" presName="vertSpace2" presStyleLbl="node1" presStyleIdx="0" presStyleCnt="3"/>
      <dgm:spPr/>
    </dgm:pt>
    <dgm:pt modelId="{E58D6A5A-99A9-46B0-85B2-8F72FF4EA214}" type="pres">
      <dgm:prSet presAssocID="{652D5AF9-3B58-40D1-A2CA-3F2BC86A0DD5}" presName="circle2" presStyleLbl="node1" presStyleIdx="1" presStyleCnt="3"/>
      <dgm:spPr>
        <a:gradFill flip="none" rotWithShape="1">
          <a:gsLst>
            <a:gs pos="600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rect">
            <a:fillToRect l="100000" t="100000"/>
          </a:path>
          <a:tileRect r="-100000" b="-100000"/>
        </a:gradFill>
      </dgm:spPr>
    </dgm:pt>
    <dgm:pt modelId="{BFB7B005-8734-4C07-B8A8-056C906D471E}" type="pres">
      <dgm:prSet presAssocID="{652D5AF9-3B58-40D1-A2CA-3F2BC86A0DD5}" presName="rect2" presStyleLbl="alignAcc1" presStyleIdx="1" presStyleCnt="3"/>
      <dgm:spPr/>
      <dgm:t>
        <a:bodyPr/>
        <a:lstStyle/>
        <a:p>
          <a:endParaRPr lang="ru-RU"/>
        </a:p>
      </dgm:t>
    </dgm:pt>
    <dgm:pt modelId="{F0DE5A50-E551-4F4B-BBFA-3C25A1AF9D0B}" type="pres">
      <dgm:prSet presAssocID="{0603CE30-7602-4185-B92F-8C3391F7618C}" presName="vertSpace3" presStyleLbl="node1" presStyleIdx="1" presStyleCnt="3"/>
      <dgm:spPr/>
    </dgm:pt>
    <dgm:pt modelId="{564306B9-9A27-4563-A0A5-96319E516719}" type="pres">
      <dgm:prSet presAssocID="{0603CE30-7602-4185-B92F-8C3391F7618C}" presName="circle3" presStyleLbl="node1" presStyleIdx="2" presStyleCnt="3"/>
      <dgm:spPr>
        <a:gradFill flip="none" rotWithShape="1">
          <a:gsLst>
            <a:gs pos="4500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path path="circle">
            <a:fillToRect l="100000" t="100000"/>
          </a:path>
          <a:tileRect r="-100000" b="-100000"/>
        </a:gradFill>
      </dgm:spPr>
    </dgm:pt>
    <dgm:pt modelId="{73EF0972-4C00-4D85-889E-A2B66A4FCD37}" type="pres">
      <dgm:prSet presAssocID="{0603CE30-7602-4185-B92F-8C3391F7618C}" presName="rect3" presStyleLbl="alignAcc1" presStyleIdx="2" presStyleCnt="3"/>
      <dgm:spPr/>
      <dgm:t>
        <a:bodyPr/>
        <a:lstStyle/>
        <a:p>
          <a:endParaRPr lang="ru-RU"/>
        </a:p>
      </dgm:t>
    </dgm:pt>
    <dgm:pt modelId="{AC2029CF-45A3-4438-8A76-E0DBE6AE2C87}" type="pres">
      <dgm:prSet presAssocID="{B2068601-D090-45FD-AF27-564ECDA1D80B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595504-BB3D-4691-8AF4-87AE7656AED3}" type="pres">
      <dgm:prSet presAssocID="{652D5AF9-3B58-40D1-A2CA-3F2BC86A0DD5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CAFE70-5547-40CF-A2C5-D5E14E50EC9A}" type="pres">
      <dgm:prSet presAssocID="{0603CE30-7602-4185-B92F-8C3391F7618C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44C565-F8B8-432E-AE4A-0F54019E66A0}" type="presOf" srcId="{0603CE30-7602-4185-B92F-8C3391F7618C}" destId="{7ACAFE70-5547-40CF-A2C5-D5E14E50EC9A}" srcOrd="1" destOrd="0" presId="urn:microsoft.com/office/officeart/2005/8/layout/target3"/>
    <dgm:cxn modelId="{ABAC0102-525E-42DE-83F7-1899C09B2FD5}" type="presOf" srcId="{0603CE30-7602-4185-B92F-8C3391F7618C}" destId="{73EF0972-4C00-4D85-889E-A2B66A4FCD37}" srcOrd="0" destOrd="0" presId="urn:microsoft.com/office/officeart/2005/8/layout/target3"/>
    <dgm:cxn modelId="{50DCAAC4-54AC-4300-87D8-0409B999162A}" srcId="{F9FBB4DE-5F0E-444E-9D6A-A49D49FC19A5}" destId="{652D5AF9-3B58-40D1-A2CA-3F2BC86A0DD5}" srcOrd="1" destOrd="0" parTransId="{8EA281D1-4694-4C34-B2F6-268077B847FF}" sibTransId="{0D7CC6F0-95B9-4179-9812-EE60C91DB4E7}"/>
    <dgm:cxn modelId="{A76E60F5-10A9-4E03-9019-65CFEBEE0B4C}" type="presOf" srcId="{652D5AF9-3B58-40D1-A2CA-3F2BC86A0DD5}" destId="{BFB7B005-8734-4C07-B8A8-056C906D471E}" srcOrd="0" destOrd="0" presId="urn:microsoft.com/office/officeart/2005/8/layout/target3"/>
    <dgm:cxn modelId="{845AD873-010B-4D02-BA85-FF6563B5572B}" srcId="{F9FBB4DE-5F0E-444E-9D6A-A49D49FC19A5}" destId="{0603CE30-7602-4185-B92F-8C3391F7618C}" srcOrd="2" destOrd="0" parTransId="{560EB035-10EB-4751-9107-C513DAF7D0BD}" sibTransId="{7C0162D5-B805-44EA-92E5-E93E2D3296C4}"/>
    <dgm:cxn modelId="{AAC3786D-6A71-46BC-9416-C0F1E31BE452}" type="presOf" srcId="{B2068601-D090-45FD-AF27-564ECDA1D80B}" destId="{AC2029CF-45A3-4438-8A76-E0DBE6AE2C87}" srcOrd="1" destOrd="0" presId="urn:microsoft.com/office/officeart/2005/8/layout/target3"/>
    <dgm:cxn modelId="{F360D8A6-309B-46BE-B564-155A934FEF61}" type="presOf" srcId="{652D5AF9-3B58-40D1-A2CA-3F2BC86A0DD5}" destId="{E3595504-BB3D-4691-8AF4-87AE7656AED3}" srcOrd="1" destOrd="0" presId="urn:microsoft.com/office/officeart/2005/8/layout/target3"/>
    <dgm:cxn modelId="{CD13684D-695D-4183-8DFC-A15B21DF0F5B}" type="presOf" srcId="{F9FBB4DE-5F0E-444E-9D6A-A49D49FC19A5}" destId="{C0D42957-D480-435E-9B54-BDE188C1065D}" srcOrd="0" destOrd="0" presId="urn:microsoft.com/office/officeart/2005/8/layout/target3"/>
    <dgm:cxn modelId="{6BFA7126-FA91-4519-841B-9D17EC439298}" type="presOf" srcId="{B2068601-D090-45FD-AF27-564ECDA1D80B}" destId="{8A4B69A7-1A27-4A54-A4ED-DA24EEC37EDE}" srcOrd="0" destOrd="0" presId="urn:microsoft.com/office/officeart/2005/8/layout/target3"/>
    <dgm:cxn modelId="{D5B62BF4-2328-47F9-AFF3-B910F586CFA0}" srcId="{F9FBB4DE-5F0E-444E-9D6A-A49D49FC19A5}" destId="{B2068601-D090-45FD-AF27-564ECDA1D80B}" srcOrd="0" destOrd="0" parTransId="{D8BBAF72-4753-4DA9-AC2B-D4221B823169}" sibTransId="{1140EE4A-0AB7-4FED-B9D2-3A6D89030396}"/>
    <dgm:cxn modelId="{3FB20435-08A5-45C2-A58E-6BF416313A55}" type="presParOf" srcId="{C0D42957-D480-435E-9B54-BDE188C1065D}" destId="{AB04660C-0AF2-4647-90A0-7C67D3EDF0E9}" srcOrd="0" destOrd="0" presId="urn:microsoft.com/office/officeart/2005/8/layout/target3"/>
    <dgm:cxn modelId="{337F3FCE-D2F0-4536-AE1F-40F450094237}" type="presParOf" srcId="{C0D42957-D480-435E-9B54-BDE188C1065D}" destId="{D8D93513-65BF-4DD8-B36E-844BF2A14C79}" srcOrd="1" destOrd="0" presId="urn:microsoft.com/office/officeart/2005/8/layout/target3"/>
    <dgm:cxn modelId="{C5D9C909-028A-471B-A308-A503D534ADD9}" type="presParOf" srcId="{C0D42957-D480-435E-9B54-BDE188C1065D}" destId="{8A4B69A7-1A27-4A54-A4ED-DA24EEC37EDE}" srcOrd="2" destOrd="0" presId="urn:microsoft.com/office/officeart/2005/8/layout/target3"/>
    <dgm:cxn modelId="{CF99FF54-1B2C-4CC3-883A-31915D107991}" type="presParOf" srcId="{C0D42957-D480-435E-9B54-BDE188C1065D}" destId="{59614CB6-2071-4CD9-BBFF-DFDB884BCF8E}" srcOrd="3" destOrd="0" presId="urn:microsoft.com/office/officeart/2005/8/layout/target3"/>
    <dgm:cxn modelId="{DE911081-D48A-47CE-BE8B-63BC5CD83489}" type="presParOf" srcId="{C0D42957-D480-435E-9B54-BDE188C1065D}" destId="{E58D6A5A-99A9-46B0-85B2-8F72FF4EA214}" srcOrd="4" destOrd="0" presId="urn:microsoft.com/office/officeart/2005/8/layout/target3"/>
    <dgm:cxn modelId="{A8271C89-7455-4F41-93C9-BAC1691AAD43}" type="presParOf" srcId="{C0D42957-D480-435E-9B54-BDE188C1065D}" destId="{BFB7B005-8734-4C07-B8A8-056C906D471E}" srcOrd="5" destOrd="0" presId="urn:microsoft.com/office/officeart/2005/8/layout/target3"/>
    <dgm:cxn modelId="{08D454B5-16B1-469D-A1F7-BE6048EDDCEB}" type="presParOf" srcId="{C0D42957-D480-435E-9B54-BDE188C1065D}" destId="{F0DE5A50-E551-4F4B-BBFA-3C25A1AF9D0B}" srcOrd="6" destOrd="0" presId="urn:microsoft.com/office/officeart/2005/8/layout/target3"/>
    <dgm:cxn modelId="{74197B02-660E-4019-9286-84477C454763}" type="presParOf" srcId="{C0D42957-D480-435E-9B54-BDE188C1065D}" destId="{564306B9-9A27-4563-A0A5-96319E516719}" srcOrd="7" destOrd="0" presId="urn:microsoft.com/office/officeart/2005/8/layout/target3"/>
    <dgm:cxn modelId="{9088E581-1E73-4AD3-A807-8C0DCA8D2117}" type="presParOf" srcId="{C0D42957-D480-435E-9B54-BDE188C1065D}" destId="{73EF0972-4C00-4D85-889E-A2B66A4FCD37}" srcOrd="8" destOrd="0" presId="urn:microsoft.com/office/officeart/2005/8/layout/target3"/>
    <dgm:cxn modelId="{64DA7A73-13A8-4C74-8AB4-B64814CF4E6E}" type="presParOf" srcId="{C0D42957-D480-435E-9B54-BDE188C1065D}" destId="{AC2029CF-45A3-4438-8A76-E0DBE6AE2C87}" srcOrd="9" destOrd="0" presId="urn:microsoft.com/office/officeart/2005/8/layout/target3"/>
    <dgm:cxn modelId="{6B6030BA-681B-4524-985F-CFC1870DF9D8}" type="presParOf" srcId="{C0D42957-D480-435E-9B54-BDE188C1065D}" destId="{E3595504-BB3D-4691-8AF4-87AE7656AED3}" srcOrd="10" destOrd="0" presId="urn:microsoft.com/office/officeart/2005/8/layout/target3"/>
    <dgm:cxn modelId="{1EB5A43A-E99B-4E39-9925-D416720D805D}" type="presParOf" srcId="{C0D42957-D480-435E-9B54-BDE188C1065D}" destId="{7ACAFE70-5547-40CF-A2C5-D5E14E50EC9A}" srcOrd="11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04660C-0AF2-4647-90A0-7C67D3EDF0E9}">
      <dsp:nvSpPr>
        <dsp:cNvPr id="0" name=""/>
        <dsp:cNvSpPr/>
      </dsp:nvSpPr>
      <dsp:spPr>
        <a:xfrm>
          <a:off x="0" y="0"/>
          <a:ext cx="3724855" cy="3724855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4B69A7-1A27-4A54-A4ED-DA24EEC37EDE}">
      <dsp:nvSpPr>
        <dsp:cNvPr id="0" name=""/>
        <dsp:cNvSpPr/>
      </dsp:nvSpPr>
      <dsp:spPr>
        <a:xfrm>
          <a:off x="1862427" y="0"/>
          <a:ext cx="4923347" cy="37248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FFC000"/>
              </a:solidFill>
              <a:latin typeface="+mn-lt"/>
            </a:rPr>
            <a:t>Под предпенионным возрастом понимается период в течение пяти лет до наступления возраста, дающего право на назначение страховой пенсии по старости, в том числе на назначение указанной пенсии досрочно</a:t>
          </a:r>
        </a:p>
      </dsp:txBody>
      <dsp:txXfrm>
        <a:off x="1862427" y="0"/>
        <a:ext cx="4923347" cy="1117458"/>
      </dsp:txXfrm>
    </dsp:sp>
    <dsp:sp modelId="{E58D6A5A-99A9-46B0-85B2-8F72FF4EA214}">
      <dsp:nvSpPr>
        <dsp:cNvPr id="0" name=""/>
        <dsp:cNvSpPr/>
      </dsp:nvSpPr>
      <dsp:spPr>
        <a:xfrm>
          <a:off x="651850" y="1117458"/>
          <a:ext cx="2421153" cy="2421153"/>
        </a:xfrm>
        <a:prstGeom prst="pie">
          <a:avLst>
            <a:gd name="adj1" fmla="val 5400000"/>
            <a:gd name="adj2" fmla="val 16200000"/>
          </a:avLst>
        </a:prstGeom>
        <a:gradFill flip="none" rotWithShape="1">
          <a:gsLst>
            <a:gs pos="600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path path="rect">
            <a:fillToRect l="100000" t="100000"/>
          </a:path>
          <a:tileRect r="-100000" b="-100000"/>
        </a:gra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FB7B005-8734-4C07-B8A8-056C906D471E}">
      <dsp:nvSpPr>
        <dsp:cNvPr id="0" name=""/>
        <dsp:cNvSpPr/>
      </dsp:nvSpPr>
      <dsp:spPr>
        <a:xfrm>
          <a:off x="1862427" y="1117458"/>
          <a:ext cx="4923347" cy="242115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0070C0"/>
              </a:solidFill>
            </a:rPr>
            <a:t>Предусматривается переходный период по увеличению возраста выхода на пенсию по старости с 2019 года по 2027 год, поэтому </a:t>
          </a:r>
          <a:br>
            <a:rPr lang="ru-RU" sz="1200" b="1" i="1" kern="1200">
              <a:solidFill>
                <a:srgbClr val="0070C0"/>
              </a:solidFill>
            </a:rPr>
          </a:br>
          <a:r>
            <a:rPr lang="ru-RU" sz="1200" b="1" i="1" kern="1200">
              <a:solidFill>
                <a:srgbClr val="0070C0"/>
              </a:solidFill>
            </a:rPr>
            <a:t>предпенсионный период у разных работников будет приходиться </a:t>
          </a:r>
          <a:br>
            <a:rPr lang="ru-RU" sz="1200" b="1" i="1" kern="1200">
              <a:solidFill>
                <a:srgbClr val="0070C0"/>
              </a:solidFill>
            </a:rPr>
          </a:br>
          <a:r>
            <a:rPr lang="ru-RU" sz="1200" b="1" i="1" kern="1200">
              <a:solidFill>
                <a:srgbClr val="0070C0"/>
              </a:solidFill>
            </a:rPr>
            <a:t>на разный возраст</a:t>
          </a:r>
        </a:p>
      </dsp:txBody>
      <dsp:txXfrm>
        <a:off x="1862427" y="1117458"/>
        <a:ext cx="4923347" cy="1117455"/>
      </dsp:txXfrm>
    </dsp:sp>
    <dsp:sp modelId="{564306B9-9A27-4563-A0A5-96319E516719}">
      <dsp:nvSpPr>
        <dsp:cNvPr id="0" name=""/>
        <dsp:cNvSpPr/>
      </dsp:nvSpPr>
      <dsp:spPr>
        <a:xfrm>
          <a:off x="1303699" y="2234914"/>
          <a:ext cx="1117455" cy="1117455"/>
        </a:xfrm>
        <a:prstGeom prst="pie">
          <a:avLst>
            <a:gd name="adj1" fmla="val 5400000"/>
            <a:gd name="adj2" fmla="val 16200000"/>
          </a:avLst>
        </a:prstGeom>
        <a:gradFill flip="none" rotWithShape="1">
          <a:gsLst>
            <a:gs pos="4500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path path="circle">
            <a:fillToRect l="100000" t="100000"/>
          </a:path>
          <a:tileRect r="-100000" b="-100000"/>
        </a:gra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3EF0972-4C00-4D85-889E-A2B66A4FCD37}">
      <dsp:nvSpPr>
        <dsp:cNvPr id="0" name=""/>
        <dsp:cNvSpPr/>
      </dsp:nvSpPr>
      <dsp:spPr>
        <a:xfrm>
          <a:off x="1862427" y="2234914"/>
          <a:ext cx="4923347" cy="11174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FF0000"/>
              </a:solidFill>
            </a:rPr>
            <a:t>Законодательством предусмотрены меры ответственности работодателей за непредоставление работникам предпенсионного возраста гарантий и льгот, предусмотренных трудовым законодательством</a:t>
          </a:r>
        </a:p>
      </dsp:txBody>
      <dsp:txXfrm>
        <a:off x="1862427" y="2234914"/>
        <a:ext cx="4923347" cy="1117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F129-9BC9-44DA-A86B-18F676A2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Валерия Олеговна</dc:creator>
  <cp:lastModifiedBy>Серебренникова Светлана Федоровна</cp:lastModifiedBy>
  <cp:revision>10</cp:revision>
  <cp:lastPrinted>2019-03-04T06:23:00Z</cp:lastPrinted>
  <dcterms:created xsi:type="dcterms:W3CDTF">2019-03-04T06:25:00Z</dcterms:created>
  <dcterms:modified xsi:type="dcterms:W3CDTF">2019-04-03T06:51:00Z</dcterms:modified>
</cp:coreProperties>
</file>