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23" w:rsidRDefault="00413F23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</w:p>
    <w:p w:rsidR="00C51215" w:rsidRPr="00AF0D61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AF0D61">
        <w:rPr>
          <w:rFonts w:cs="Times New Roman"/>
          <w:b/>
          <w:szCs w:val="28"/>
        </w:rPr>
        <w:t>Сводный отчет</w:t>
      </w:r>
    </w:p>
    <w:p w:rsidR="00C51215" w:rsidRPr="00AF0D61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AF0D61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AF0D61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AF0D61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AF0D61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>1. Общая информация:</w:t>
      </w:r>
    </w:p>
    <w:p w:rsidR="00C51215" w:rsidRPr="00AF0D6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 w:rsidRPr="00AF0D61">
        <w:rPr>
          <w:rFonts w:cs="Times New Roman"/>
          <w:szCs w:val="28"/>
        </w:rPr>
        <w:t xml:space="preserve"> </w:t>
      </w:r>
      <w:r w:rsidR="00D561AC" w:rsidRPr="00AF0D61">
        <w:rPr>
          <w:rFonts w:cs="Times New Roman"/>
          <w:szCs w:val="28"/>
        </w:rPr>
        <w:t>департамент архитектуры и градостроительства</w:t>
      </w:r>
      <w:r w:rsidR="00BF5451" w:rsidRPr="00AF0D61">
        <w:rPr>
          <w:rFonts w:cs="Times New Roman"/>
          <w:szCs w:val="28"/>
        </w:rPr>
        <w:t xml:space="preserve"> Администрации города.</w:t>
      </w:r>
    </w:p>
    <w:p w:rsidR="00BF5451" w:rsidRPr="00AF0D6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1.2. Сведения о структурных под</w:t>
      </w:r>
      <w:bookmarkStart w:id="2" w:name="_GoBack"/>
      <w:bookmarkEnd w:id="2"/>
      <w:r w:rsidRPr="00AF0D61">
        <w:rPr>
          <w:rFonts w:cs="Times New Roman"/>
          <w:szCs w:val="28"/>
        </w:rPr>
        <w:t>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 w:rsidRPr="00AF0D61">
        <w:rPr>
          <w:rFonts w:cs="Times New Roman"/>
          <w:szCs w:val="28"/>
        </w:rPr>
        <w:t xml:space="preserve"> управление по вопросам общественной безопасности Администрации города Сургута</w:t>
      </w:r>
      <w:r w:rsidR="00D561AC" w:rsidRPr="00AF0D61">
        <w:rPr>
          <w:rFonts w:cs="Times New Roman"/>
          <w:szCs w:val="28"/>
        </w:rPr>
        <w:t xml:space="preserve">: </w:t>
      </w:r>
      <w:r w:rsidR="00D561AC" w:rsidRPr="00AF0D61">
        <w:rPr>
          <w:rFonts w:cs="Times New Roman"/>
          <w:color w:val="000000" w:themeColor="text1"/>
          <w:szCs w:val="28"/>
        </w:rPr>
        <w:t>отсутствует</w:t>
      </w:r>
      <w:r w:rsidR="00BF5451" w:rsidRPr="00AF0D61">
        <w:rPr>
          <w:rFonts w:cs="Times New Roman"/>
          <w:szCs w:val="28"/>
        </w:rPr>
        <w:t>.</w:t>
      </w:r>
    </w:p>
    <w:p w:rsidR="00892FEF" w:rsidRPr="00AF0D61" w:rsidRDefault="00C51215" w:rsidP="00A35D70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 w:rsidRPr="00AF0D61">
        <w:rPr>
          <w:rFonts w:cs="Times New Roman"/>
          <w:szCs w:val="28"/>
        </w:rPr>
        <w:t xml:space="preserve"> Проект </w:t>
      </w:r>
      <w:r w:rsidR="00A35D70" w:rsidRPr="00AF0D61">
        <w:rPr>
          <w:rFonts w:cs="Times New Roman"/>
          <w:szCs w:val="28"/>
        </w:rPr>
        <w:t xml:space="preserve">постановления </w:t>
      </w:r>
      <w:r w:rsidR="00865A50" w:rsidRPr="00AF0D61">
        <w:rPr>
          <w:rFonts w:cs="Times New Roman"/>
          <w:szCs w:val="28"/>
        </w:rPr>
        <w:t>«Об утверждении порядка согласования проекта установки ограждения на территории города Сургута».</w:t>
      </w:r>
    </w:p>
    <w:p w:rsidR="00C51215" w:rsidRPr="00AF0D6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Pr="00AF0D61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AF0D61">
        <w:rPr>
          <w:rFonts w:cs="Times New Roman"/>
          <w:szCs w:val="28"/>
        </w:rPr>
        <w:t xml:space="preserve">- </w:t>
      </w:r>
      <w:r w:rsidR="0067768B" w:rsidRPr="00AF0D61">
        <w:rPr>
          <w:rFonts w:eastAsia="Calibri" w:cs="Times New Roman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35D70" w:rsidRPr="00AF0D61">
        <w:rPr>
          <w:rFonts w:eastAsia="Calibri" w:cs="Times New Roman"/>
          <w:szCs w:val="28"/>
        </w:rPr>
        <w:t>;</w:t>
      </w:r>
    </w:p>
    <w:p w:rsidR="00A35D70" w:rsidRPr="00AF0D61" w:rsidRDefault="00A35D70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AF0D61">
        <w:rPr>
          <w:rFonts w:eastAsia="Calibri" w:cs="Times New Roman"/>
          <w:szCs w:val="28"/>
        </w:rPr>
        <w:t>- решени</w:t>
      </w:r>
      <w:r w:rsidR="00413F23" w:rsidRPr="00AF0D61">
        <w:rPr>
          <w:rFonts w:eastAsia="Calibri" w:cs="Times New Roman"/>
          <w:szCs w:val="28"/>
        </w:rPr>
        <w:t>е</w:t>
      </w:r>
      <w:r w:rsidRPr="00AF0D61">
        <w:rPr>
          <w:rFonts w:eastAsia="Calibri" w:cs="Times New Roman"/>
          <w:szCs w:val="28"/>
        </w:rPr>
        <w:t xml:space="preserve"> Думы города «О внесении изменений в решение Думы города от 26.12.2017 № 206-VI ДГ «О Правилах благоустройства территории города Сургута».</w:t>
      </w:r>
    </w:p>
    <w:p w:rsidR="003E6B03" w:rsidRPr="00AF0D61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 w:rsidRPr="00AF0D61">
        <w:rPr>
          <w:rFonts w:cs="Times New Roman"/>
          <w:szCs w:val="28"/>
        </w:rPr>
        <w:t xml:space="preserve"> </w:t>
      </w:r>
      <w:r w:rsidR="003E6B03" w:rsidRPr="00AF0D61">
        <w:rPr>
          <w:rFonts w:cs="Times New Roman"/>
          <w:color w:val="000000" w:themeColor="text1"/>
          <w:szCs w:val="28"/>
        </w:rPr>
        <w:t>отсутствует</w:t>
      </w:r>
      <w:r w:rsidR="003E6B03" w:rsidRPr="00AF0D61">
        <w:rPr>
          <w:rFonts w:cs="Times New Roman"/>
          <w:szCs w:val="28"/>
        </w:rPr>
        <w:t>.</w:t>
      </w:r>
    </w:p>
    <w:p w:rsidR="00C51215" w:rsidRPr="00AF0D61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AF0D61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C3DBF" w:rsidRPr="00AF0D61">
        <w:rPr>
          <w:rFonts w:cs="Times New Roman"/>
          <w:szCs w:val="28"/>
        </w:rPr>
        <w:t>вступает в силу после его официального опубликования и распространяется на правоотношения, возникшие с 01.03.2024</w:t>
      </w:r>
      <w:r w:rsidR="00FF1D66" w:rsidRPr="00AF0D61">
        <w:rPr>
          <w:rFonts w:cs="Times New Roman"/>
          <w:szCs w:val="28"/>
        </w:rPr>
        <w:t>.</w:t>
      </w:r>
    </w:p>
    <w:p w:rsidR="00C51215" w:rsidRPr="00AF0D61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AF0D61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FF1D66" w:rsidRPr="00AF0D61">
        <w:rPr>
          <w:rFonts w:cs="Times New Roman"/>
          <w:szCs w:val="28"/>
        </w:rPr>
        <w:t>: не требуется.</w:t>
      </w:r>
    </w:p>
    <w:p w:rsidR="00252819" w:rsidRPr="00AF0D61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«</w:t>
      </w:r>
      <w:r w:rsidR="00E170DF" w:rsidRPr="00AF0D61">
        <w:rPr>
          <w:rFonts w:cs="Times New Roman"/>
          <w:szCs w:val="28"/>
        </w:rPr>
        <w:t>19</w:t>
      </w:r>
      <w:r w:rsidRPr="00AF0D61">
        <w:rPr>
          <w:rFonts w:cs="Times New Roman"/>
          <w:szCs w:val="28"/>
        </w:rPr>
        <w:t xml:space="preserve">» </w:t>
      </w:r>
      <w:r w:rsidR="00E170DF" w:rsidRPr="00AF0D61">
        <w:rPr>
          <w:rFonts w:cs="Times New Roman"/>
          <w:szCs w:val="28"/>
        </w:rPr>
        <w:t>января</w:t>
      </w:r>
      <w:r w:rsidR="00D87DED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20</w:t>
      </w:r>
      <w:r w:rsidR="00E170DF" w:rsidRPr="00AF0D61">
        <w:rPr>
          <w:rFonts w:cs="Times New Roman"/>
          <w:szCs w:val="28"/>
        </w:rPr>
        <w:t xml:space="preserve">24 </w:t>
      </w:r>
      <w:r w:rsidRPr="00AF0D61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по проекту нормативного правового акта: начало: «</w:t>
      </w:r>
      <w:r w:rsidR="00E170DF" w:rsidRPr="00AF0D61">
        <w:rPr>
          <w:rFonts w:cs="Times New Roman"/>
          <w:szCs w:val="28"/>
        </w:rPr>
        <w:t>19</w:t>
      </w:r>
      <w:r w:rsidRPr="00AF0D61">
        <w:rPr>
          <w:rFonts w:cs="Times New Roman"/>
          <w:szCs w:val="28"/>
        </w:rPr>
        <w:t>»</w:t>
      </w:r>
      <w:r w:rsidR="00D87DED" w:rsidRPr="00AF0D61">
        <w:rPr>
          <w:rFonts w:cs="Times New Roman"/>
          <w:szCs w:val="28"/>
        </w:rPr>
        <w:t xml:space="preserve"> </w:t>
      </w:r>
      <w:r w:rsidR="00E170DF" w:rsidRPr="00AF0D61">
        <w:rPr>
          <w:rFonts w:cs="Times New Roman"/>
          <w:szCs w:val="28"/>
        </w:rPr>
        <w:t>января</w:t>
      </w:r>
      <w:r w:rsidR="00D87DED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20</w:t>
      </w:r>
      <w:r w:rsidR="00E170DF" w:rsidRPr="00AF0D61">
        <w:rPr>
          <w:rFonts w:cs="Times New Roman"/>
          <w:szCs w:val="28"/>
        </w:rPr>
        <w:t>24</w:t>
      </w:r>
      <w:r w:rsidRPr="00AF0D61">
        <w:rPr>
          <w:rFonts w:cs="Times New Roman"/>
          <w:szCs w:val="28"/>
        </w:rPr>
        <w:t>; окончание: «</w:t>
      </w:r>
      <w:r w:rsidR="00E170DF" w:rsidRPr="00AF0D61">
        <w:rPr>
          <w:rFonts w:cs="Times New Roman"/>
          <w:szCs w:val="28"/>
        </w:rPr>
        <w:t>15</w:t>
      </w:r>
      <w:r w:rsidR="00D87DED" w:rsidRPr="00AF0D61">
        <w:rPr>
          <w:rFonts w:cs="Times New Roman"/>
          <w:szCs w:val="28"/>
        </w:rPr>
        <w:t xml:space="preserve">» </w:t>
      </w:r>
      <w:r w:rsidR="00E170DF" w:rsidRPr="00AF0D61">
        <w:rPr>
          <w:rFonts w:cs="Times New Roman"/>
          <w:szCs w:val="28"/>
        </w:rPr>
        <w:t>февраля</w:t>
      </w:r>
      <w:r w:rsidR="00D87DED" w:rsidRPr="00AF0D61">
        <w:rPr>
          <w:rFonts w:cs="Times New Roman"/>
          <w:szCs w:val="28"/>
        </w:rPr>
        <w:t xml:space="preserve"> </w:t>
      </w:r>
      <w:r w:rsidRPr="00AF0D61">
        <w:rPr>
          <w:rFonts w:cs="Times New Roman"/>
          <w:szCs w:val="28"/>
        </w:rPr>
        <w:t>20</w:t>
      </w:r>
      <w:r w:rsidR="00E170DF" w:rsidRPr="00AF0D61">
        <w:rPr>
          <w:rFonts w:cs="Times New Roman"/>
          <w:szCs w:val="28"/>
        </w:rPr>
        <w:t>24</w:t>
      </w:r>
      <w:r w:rsidRPr="00AF0D61">
        <w:rPr>
          <w:rFonts w:cs="Times New Roman"/>
          <w:szCs w:val="28"/>
        </w:rPr>
        <w:t>.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AF0D61" w:rsidRDefault="00C51215" w:rsidP="00413F23">
      <w:pPr>
        <w:ind w:firstLine="709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 xml:space="preserve">Всего замечаний и предложений: </w:t>
      </w:r>
      <w:r w:rsidR="001A6B0B" w:rsidRPr="00AF0D61">
        <w:rPr>
          <w:rFonts w:cs="Times New Roman"/>
          <w:szCs w:val="28"/>
        </w:rPr>
        <w:t>3</w:t>
      </w:r>
      <w:r w:rsidRPr="00AF0D61">
        <w:rPr>
          <w:rFonts w:cs="Times New Roman"/>
          <w:szCs w:val="28"/>
        </w:rPr>
        <w:t>, из них:</w:t>
      </w:r>
    </w:p>
    <w:p w:rsidR="00C51215" w:rsidRPr="00AF0D61" w:rsidRDefault="00C51215" w:rsidP="00413F23">
      <w:pPr>
        <w:ind w:firstLine="709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 xml:space="preserve">учтено полностью: </w:t>
      </w:r>
      <w:r w:rsidR="001A6B0B" w:rsidRPr="00AF0D61">
        <w:rPr>
          <w:rFonts w:cs="Times New Roman"/>
          <w:szCs w:val="28"/>
        </w:rPr>
        <w:t>3</w:t>
      </w:r>
      <w:r w:rsidRPr="00AF0D61">
        <w:rPr>
          <w:rFonts w:cs="Times New Roman"/>
          <w:szCs w:val="28"/>
        </w:rPr>
        <w:t xml:space="preserve">, учтено частично: </w:t>
      </w:r>
      <w:r w:rsidR="00E170DF" w:rsidRPr="00AF0D61">
        <w:rPr>
          <w:rFonts w:cs="Times New Roman"/>
          <w:szCs w:val="28"/>
        </w:rPr>
        <w:t>0</w:t>
      </w:r>
      <w:r w:rsidRPr="00AF0D61">
        <w:rPr>
          <w:rFonts w:cs="Times New Roman"/>
          <w:szCs w:val="28"/>
        </w:rPr>
        <w:t xml:space="preserve">, не учтено: </w:t>
      </w:r>
      <w:r w:rsidR="00E170DF" w:rsidRPr="00AF0D61">
        <w:rPr>
          <w:rFonts w:cs="Times New Roman"/>
          <w:szCs w:val="28"/>
        </w:rPr>
        <w:t>0</w:t>
      </w:r>
      <w:r w:rsidRPr="00AF0D61">
        <w:rPr>
          <w:rFonts w:cs="Times New Roman"/>
          <w:szCs w:val="28"/>
        </w:rPr>
        <w:t>.</w:t>
      </w:r>
    </w:p>
    <w:p w:rsidR="00B74AF1" w:rsidRPr="00AF0D61" w:rsidRDefault="00B74AF1" w:rsidP="00054967">
      <w:pPr>
        <w:ind w:firstLine="708"/>
        <w:contextualSpacing/>
        <w:jc w:val="both"/>
        <w:rPr>
          <w:szCs w:val="28"/>
        </w:rPr>
      </w:pPr>
      <w:r w:rsidRPr="00AF0D61">
        <w:rPr>
          <w:szCs w:val="28"/>
        </w:rPr>
        <w:t xml:space="preserve">Кроме того, получен </w:t>
      </w:r>
      <w:r w:rsidR="001A6B0B" w:rsidRPr="00AF0D61">
        <w:rPr>
          <w:szCs w:val="28"/>
        </w:rPr>
        <w:t>1</w:t>
      </w:r>
      <w:r w:rsidRPr="00AF0D61">
        <w:rPr>
          <w:szCs w:val="28"/>
        </w:rPr>
        <w:t xml:space="preserve"> отзыв, содержащи</w:t>
      </w:r>
      <w:r w:rsidR="00413F23" w:rsidRPr="00AF0D61">
        <w:rPr>
          <w:szCs w:val="28"/>
        </w:rPr>
        <w:t>й</w:t>
      </w:r>
      <w:r w:rsidRPr="00AF0D61">
        <w:rPr>
          <w:szCs w:val="28"/>
        </w:rPr>
        <w:t xml:space="preserve"> информацию</w:t>
      </w:r>
      <w:r w:rsidR="00413F23" w:rsidRPr="00AF0D61">
        <w:rPr>
          <w:szCs w:val="28"/>
        </w:rPr>
        <w:t xml:space="preserve"> </w:t>
      </w:r>
      <w:r w:rsidRPr="00AF0D61">
        <w:rPr>
          <w:szCs w:val="28"/>
        </w:rPr>
        <w:t>об одобрении текущей редакции проекта нормативного правового акта</w:t>
      </w:r>
      <w:r w:rsidR="00413F23" w:rsidRPr="00AF0D61">
        <w:rPr>
          <w:szCs w:val="28"/>
        </w:rPr>
        <w:t xml:space="preserve"> </w:t>
      </w:r>
      <w:r w:rsidRPr="00AF0D61">
        <w:rPr>
          <w:szCs w:val="28"/>
        </w:rPr>
        <w:t>(об отсутствии замечаний и (или) предложений).</w:t>
      </w:r>
    </w:p>
    <w:p w:rsidR="00C51215" w:rsidRPr="00AF0D61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 xml:space="preserve">1.10. </w:t>
      </w:r>
      <w:r w:rsidR="00C51215" w:rsidRPr="00AF0D61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AF0D61" w:rsidRDefault="001375D8" w:rsidP="001375D8">
      <w:pPr>
        <w:contextualSpacing/>
        <w:jc w:val="both"/>
        <w:rPr>
          <w:szCs w:val="28"/>
        </w:rPr>
      </w:pPr>
      <w:r w:rsidRPr="00AF0D61">
        <w:rPr>
          <w:szCs w:val="28"/>
        </w:rPr>
        <w:t xml:space="preserve">Фамилия, имя, отчество (при наличии): </w:t>
      </w:r>
      <w:r w:rsidR="003E6B03" w:rsidRPr="00AF0D61">
        <w:rPr>
          <w:szCs w:val="28"/>
        </w:rPr>
        <w:t>Беленец Оксана Викторовна</w:t>
      </w:r>
      <w:r w:rsidR="001664B0" w:rsidRPr="00AF0D61">
        <w:rPr>
          <w:szCs w:val="28"/>
        </w:rPr>
        <w:t>,</w:t>
      </w:r>
    </w:p>
    <w:p w:rsidR="00C51215" w:rsidRPr="00AF0D61" w:rsidRDefault="00C51215" w:rsidP="00C51215">
      <w:pPr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lastRenderedPageBreak/>
        <w:t>Должность</w:t>
      </w:r>
      <w:r w:rsidR="00FF1D66" w:rsidRPr="00AF0D61">
        <w:rPr>
          <w:rFonts w:cs="Times New Roman"/>
          <w:szCs w:val="28"/>
        </w:rPr>
        <w:t xml:space="preserve">: </w:t>
      </w:r>
      <w:r w:rsidR="003E6B03" w:rsidRPr="00AF0D61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 w:rsidRPr="00AF0D61">
        <w:rPr>
          <w:rFonts w:cs="Times New Roman"/>
          <w:szCs w:val="28"/>
        </w:rPr>
        <w:t>,</w:t>
      </w:r>
    </w:p>
    <w:p w:rsidR="00F90D4F" w:rsidRPr="00AF0D61" w:rsidRDefault="001664B0" w:rsidP="00C51215">
      <w:pPr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 xml:space="preserve">Тел.: </w:t>
      </w:r>
      <w:r w:rsidR="00F90D4F" w:rsidRPr="00AF0D61">
        <w:rPr>
          <w:rFonts w:cs="Times New Roman"/>
          <w:szCs w:val="28"/>
        </w:rPr>
        <w:t>(3462)52</w:t>
      </w:r>
      <w:r w:rsidR="00F90D4F" w:rsidRPr="00AF0D61">
        <w:rPr>
          <w:rFonts w:cs="Times New Roman"/>
          <w:szCs w:val="28"/>
          <w:lang w:val="en-US"/>
        </w:rPr>
        <w:t>-</w:t>
      </w:r>
      <w:r w:rsidRPr="00AF0D61">
        <w:rPr>
          <w:rFonts w:cs="Times New Roman"/>
          <w:szCs w:val="28"/>
        </w:rPr>
        <w:t>82</w:t>
      </w:r>
      <w:r w:rsidR="00F90D4F" w:rsidRPr="00AF0D61">
        <w:rPr>
          <w:rFonts w:cs="Times New Roman"/>
          <w:szCs w:val="28"/>
        </w:rPr>
        <w:t>-</w:t>
      </w:r>
      <w:r w:rsidRPr="00AF0D61">
        <w:rPr>
          <w:rFonts w:cs="Times New Roman"/>
          <w:szCs w:val="28"/>
        </w:rPr>
        <w:t>9</w:t>
      </w:r>
      <w:r w:rsidR="003E6B03" w:rsidRPr="00AF0D61">
        <w:rPr>
          <w:rFonts w:cs="Times New Roman"/>
          <w:szCs w:val="28"/>
        </w:rPr>
        <w:t>0</w:t>
      </w:r>
      <w:r w:rsidRPr="00AF0D61"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AF0D61" w:rsidTr="001664B0">
        <w:tc>
          <w:tcPr>
            <w:tcW w:w="9776" w:type="dxa"/>
            <w:vAlign w:val="bottom"/>
          </w:tcPr>
          <w:p w:rsidR="00F90D4F" w:rsidRPr="00AF0D61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F0D61">
              <w:rPr>
                <w:rFonts w:cs="Times New Roman"/>
                <w:szCs w:val="28"/>
              </w:rPr>
              <w:t>Адрес электронной почты:</w:t>
            </w:r>
            <w:r w:rsidR="001664B0" w:rsidRPr="00AF0D61">
              <w:rPr>
                <w:rFonts w:cs="Times New Roman"/>
                <w:szCs w:val="28"/>
              </w:rPr>
              <w:t xml:space="preserve"> </w:t>
            </w:r>
            <w:r w:rsidR="003E6B03" w:rsidRPr="00AF0D61">
              <w:rPr>
                <w:rFonts w:cs="Times New Roman"/>
                <w:szCs w:val="28"/>
                <w:lang w:val="en-US"/>
              </w:rPr>
              <w:t>Belenets</w:t>
            </w:r>
            <w:r w:rsidR="003E6B03" w:rsidRPr="00AF0D61">
              <w:rPr>
                <w:rFonts w:cs="Times New Roman"/>
                <w:szCs w:val="28"/>
              </w:rPr>
              <w:t>_</w:t>
            </w:r>
            <w:r w:rsidR="003E6B03" w:rsidRPr="00AF0D61">
              <w:rPr>
                <w:rFonts w:cs="Times New Roman"/>
                <w:szCs w:val="28"/>
                <w:lang w:val="en-US"/>
              </w:rPr>
              <w:t>ov</w:t>
            </w:r>
            <w:r w:rsidR="003E6B03" w:rsidRPr="00AF0D61">
              <w:rPr>
                <w:rFonts w:cs="Times New Roman"/>
                <w:szCs w:val="28"/>
              </w:rPr>
              <w:t>@</w:t>
            </w:r>
            <w:r w:rsidR="003E6B03" w:rsidRPr="00AF0D61">
              <w:rPr>
                <w:rFonts w:cs="Times New Roman"/>
                <w:szCs w:val="28"/>
                <w:lang w:val="en-US"/>
              </w:rPr>
              <w:t>admsurgut</w:t>
            </w:r>
            <w:r w:rsidR="003E6B03" w:rsidRPr="00AF0D61">
              <w:rPr>
                <w:rFonts w:cs="Times New Roman"/>
                <w:szCs w:val="28"/>
              </w:rPr>
              <w:t>.</w:t>
            </w:r>
            <w:r w:rsidR="003E6B03" w:rsidRPr="00AF0D61">
              <w:rPr>
                <w:rFonts w:cs="Times New Roman"/>
                <w:szCs w:val="28"/>
                <w:lang w:val="en-US"/>
              </w:rPr>
              <w:t>ru</w:t>
            </w:r>
            <w:r w:rsidR="001664B0" w:rsidRPr="00AF0D61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AF0D61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AF0D61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 w:rsidRPr="00AF0D61">
        <w:rPr>
          <w:rFonts w:cs="Times New Roman"/>
          <w:bCs/>
          <w:szCs w:val="28"/>
        </w:rPr>
        <w:t xml:space="preserve">: </w:t>
      </w:r>
      <w:r w:rsidR="0031445C" w:rsidRPr="00AF0D61">
        <w:rPr>
          <w:rFonts w:cs="Times New Roman"/>
          <w:bCs/>
          <w:szCs w:val="28"/>
        </w:rPr>
        <w:t>высокая</w:t>
      </w:r>
      <w:r w:rsidR="00F90D4F" w:rsidRPr="00AF0D61">
        <w:rPr>
          <w:rFonts w:cs="Times New Roman"/>
          <w:bCs/>
          <w:szCs w:val="28"/>
        </w:rPr>
        <w:t>.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AF0D61" w:rsidRDefault="0056389E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 xml:space="preserve">Проект постановления </w:t>
      </w:r>
      <w:r w:rsidR="00865A50" w:rsidRPr="00AF0D61">
        <w:rPr>
          <w:rFonts w:cs="Times New Roman"/>
          <w:szCs w:val="28"/>
        </w:rPr>
        <w:t>«Об утверждении порядка согласования проекта установки ограждения на территории города Сургута»</w:t>
      </w:r>
      <w:r w:rsidR="00F90D4F" w:rsidRPr="00AF0D61">
        <w:rPr>
          <w:rFonts w:cs="Times New Roman"/>
          <w:bCs/>
          <w:szCs w:val="28"/>
        </w:rPr>
        <w:t xml:space="preserve"> содержит положения, </w:t>
      </w:r>
      <w:r w:rsidR="00413F23" w:rsidRPr="00AF0D61">
        <w:rPr>
          <w:rFonts w:cs="Times New Roman"/>
          <w:bCs/>
          <w:szCs w:val="28"/>
        </w:rPr>
        <w:t xml:space="preserve">устанавливающие новые, </w:t>
      </w:r>
      <w:r w:rsidR="00F90D4F" w:rsidRPr="00AF0D61">
        <w:rPr>
          <w:rFonts w:cs="Times New Roman"/>
          <w:bCs/>
          <w:szCs w:val="28"/>
        </w:rPr>
        <w:t xml:space="preserve">ранее </w:t>
      </w:r>
      <w:r w:rsidR="00413F23" w:rsidRPr="00AF0D61">
        <w:rPr>
          <w:rFonts w:cs="Times New Roman"/>
          <w:bCs/>
          <w:szCs w:val="28"/>
        </w:rPr>
        <w:t xml:space="preserve">не </w:t>
      </w:r>
      <w:r w:rsidR="00F90D4F" w:rsidRPr="00AF0D61">
        <w:rPr>
          <w:rFonts w:cs="Times New Roman"/>
          <w:bCs/>
          <w:szCs w:val="28"/>
        </w:rPr>
        <w:t xml:space="preserve">предусмотренные муниципальными правовыми </w:t>
      </w:r>
      <w:r w:rsidR="0031445C" w:rsidRPr="00AF0D61">
        <w:rPr>
          <w:rFonts w:cs="Times New Roman"/>
          <w:bCs/>
          <w:szCs w:val="28"/>
        </w:rPr>
        <w:t>актами</w:t>
      </w:r>
      <w:r w:rsidR="00413F23" w:rsidRPr="00AF0D61">
        <w:rPr>
          <w:rFonts w:cs="Times New Roman"/>
          <w:bCs/>
          <w:szCs w:val="28"/>
        </w:rPr>
        <w:t xml:space="preserve"> обязательные требования для </w:t>
      </w:r>
      <w:r w:rsidR="00F90D4F" w:rsidRPr="00AF0D61">
        <w:rPr>
          <w:rFonts w:cs="Times New Roman"/>
          <w:bCs/>
          <w:szCs w:val="28"/>
        </w:rPr>
        <w:t>субъектов предпринимательской и иной экономической деятельности.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AF0D61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 w:rsidRPr="00AF0D61">
        <w:rPr>
          <w:rFonts w:cs="Times New Roman"/>
          <w:bCs/>
          <w:szCs w:val="28"/>
        </w:rPr>
        <w:t>.</w:t>
      </w:r>
    </w:p>
    <w:p w:rsidR="00422965" w:rsidRPr="00AF0D61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 w:rsidRPr="00AF0D61">
        <w:rPr>
          <w:rFonts w:cs="Times New Roman"/>
          <w:szCs w:val="28"/>
        </w:rPr>
        <w:t xml:space="preserve"> </w:t>
      </w:r>
    </w:p>
    <w:p w:rsidR="00B11CFC" w:rsidRPr="00AF0D61" w:rsidRDefault="00B11CFC" w:rsidP="00B11CFC">
      <w:pPr>
        <w:tabs>
          <w:tab w:val="left" w:pos="993"/>
        </w:tabs>
        <w:ind w:firstLine="567"/>
        <w:jc w:val="both"/>
        <w:rPr>
          <w:szCs w:val="28"/>
        </w:rPr>
      </w:pPr>
      <w:r w:rsidRPr="00AF0D61">
        <w:rPr>
          <w:szCs w:val="28"/>
        </w:rPr>
        <w:t>Установка ограждений осуществляется в соответствии с требованиями решения Думы города от 26.12.2017 № 206-VI ДГ «О Правилах благоустройства территории города Сургута» (далее – решение Думы).</w:t>
      </w:r>
    </w:p>
    <w:p w:rsidR="00B11CFC" w:rsidRPr="00AF0D61" w:rsidRDefault="00B11CFC" w:rsidP="00B11CFC">
      <w:pPr>
        <w:tabs>
          <w:tab w:val="left" w:pos="993"/>
        </w:tabs>
        <w:ind w:firstLine="567"/>
        <w:jc w:val="both"/>
        <w:rPr>
          <w:szCs w:val="28"/>
        </w:rPr>
      </w:pPr>
      <w:r w:rsidRPr="00AF0D61">
        <w:rPr>
          <w:szCs w:val="28"/>
        </w:rPr>
        <w:t>В октябре 2023 года Думой города были внесены изменения в действующие Правила решением Думы города от 26.10.2023 № 454-VII ДГДГ «О внесении изменений в решение Думы города от 26.12.2017 № 206-VI ДГ «О Правилах благоустройства территории города Сургута».</w:t>
      </w:r>
    </w:p>
    <w:p w:rsidR="00B11CFC" w:rsidRPr="00AF0D61" w:rsidRDefault="00B11CFC" w:rsidP="00B11CFC">
      <w:pPr>
        <w:tabs>
          <w:tab w:val="left" w:pos="993"/>
        </w:tabs>
        <w:ind w:firstLine="567"/>
        <w:jc w:val="both"/>
        <w:rPr>
          <w:szCs w:val="28"/>
        </w:rPr>
      </w:pPr>
      <w:r w:rsidRPr="00AF0D61">
        <w:rPr>
          <w:szCs w:val="28"/>
        </w:rPr>
        <w:t>Согласно части 5 статьи 11 решения Думы установка ограждений осуществляется при наличии решения собственника земельного участка на основании согласованного проекта установки ограждения в порядке, установленном муниципальным правовым актом.</w:t>
      </w:r>
    </w:p>
    <w:p w:rsidR="00B11CFC" w:rsidRPr="00AF0D61" w:rsidRDefault="00B11CFC" w:rsidP="00B11CFC">
      <w:pPr>
        <w:tabs>
          <w:tab w:val="left" w:pos="993"/>
        </w:tabs>
        <w:ind w:firstLine="567"/>
        <w:jc w:val="both"/>
        <w:rPr>
          <w:szCs w:val="28"/>
        </w:rPr>
      </w:pPr>
      <w:r w:rsidRPr="00AF0D61">
        <w:rPr>
          <w:szCs w:val="28"/>
        </w:rPr>
        <w:t>Проект установки ограждения подлежит согласованию с департаментом архитектуры и градостроительства Администрации города, при наличии зелёных насаждений - с департаментом городского хозяйства Администрации города, при наличии инженерных сетей и коммуникаций - с эксплуатирующими организациями.</w:t>
      </w:r>
    </w:p>
    <w:p w:rsidR="00B11CFC" w:rsidRPr="00AF0D61" w:rsidRDefault="009D0961" w:rsidP="00422965">
      <w:pPr>
        <w:tabs>
          <w:tab w:val="left" w:pos="993"/>
        </w:tabs>
        <w:ind w:firstLine="567"/>
        <w:jc w:val="both"/>
        <w:rPr>
          <w:szCs w:val="28"/>
        </w:rPr>
      </w:pPr>
      <w:r w:rsidRPr="00AF0D61">
        <w:rPr>
          <w:szCs w:val="28"/>
        </w:rPr>
        <w:t>Следовательно, Администрации города необходимо разработать и утвердить муниципальный правовой акт на основании, которого будет осуществляться согласование проекта установки ограждения.</w:t>
      </w:r>
    </w:p>
    <w:p w:rsidR="008940C5" w:rsidRPr="00AF0D6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 w:rsidRPr="00AF0D61">
        <w:rPr>
          <w:rFonts w:cs="Times New Roman"/>
          <w:szCs w:val="28"/>
        </w:rPr>
        <w:t xml:space="preserve"> </w:t>
      </w:r>
    </w:p>
    <w:p w:rsidR="00DE386F" w:rsidRPr="00AF0D61" w:rsidRDefault="008940C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 xml:space="preserve">Внесены изменения в действующие Правила решением Думы города от 26.10.2023 № 454-VII ДГ «О внесении изменений в решение Думы города от 26.12.2017 № 206-VI ДГ «О Правилах благоустройства территории города </w:t>
      </w:r>
      <w:r w:rsidRPr="00AF0D61">
        <w:rPr>
          <w:rFonts w:cs="Times New Roman"/>
          <w:szCs w:val="28"/>
        </w:rPr>
        <w:lastRenderedPageBreak/>
        <w:t xml:space="preserve">Сургута» в части статьи 11 Правил, содержащим </w:t>
      </w:r>
      <w:r w:rsidR="00413F23" w:rsidRPr="00AF0D61">
        <w:rPr>
          <w:rFonts w:cs="Times New Roman"/>
          <w:szCs w:val="28"/>
        </w:rPr>
        <w:t xml:space="preserve">обязательные </w:t>
      </w:r>
      <w:r w:rsidRPr="00AF0D61">
        <w:rPr>
          <w:rFonts w:cs="Times New Roman"/>
          <w:szCs w:val="28"/>
        </w:rPr>
        <w:t xml:space="preserve">требования </w:t>
      </w:r>
      <w:r w:rsidR="00413F23" w:rsidRPr="00AF0D61">
        <w:rPr>
          <w:rFonts w:cs="Times New Roman"/>
          <w:szCs w:val="28"/>
        </w:rPr>
        <w:t xml:space="preserve">                          </w:t>
      </w:r>
      <w:r w:rsidRPr="00AF0D61">
        <w:rPr>
          <w:rFonts w:cs="Times New Roman"/>
          <w:szCs w:val="28"/>
        </w:rPr>
        <w:t>к ограждениям.</w:t>
      </w:r>
    </w:p>
    <w:p w:rsidR="00C51215" w:rsidRPr="00AF0D61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AF0D61">
        <w:rPr>
          <w:rFonts w:cs="Times New Roman"/>
          <w:szCs w:val="28"/>
        </w:rPr>
        <w:t xml:space="preserve"> </w:t>
      </w:r>
      <w:r w:rsidR="00DE386F" w:rsidRPr="00AF0D61">
        <w:rPr>
          <w:rFonts w:cs="Times New Roman"/>
          <w:color w:val="000000" w:themeColor="text1"/>
          <w:szCs w:val="28"/>
        </w:rPr>
        <w:t>отсутствует</w:t>
      </w:r>
      <w:r w:rsidR="00DE386F" w:rsidRPr="00AF0D61">
        <w:rPr>
          <w:rFonts w:cs="Times New Roman"/>
          <w:szCs w:val="28"/>
        </w:rPr>
        <w:t>.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3.4. Источники данных:</w:t>
      </w:r>
    </w:p>
    <w:p w:rsidR="00C51215" w:rsidRPr="00AF0D61" w:rsidRDefault="00DE386F" w:rsidP="00DE386F">
      <w:pPr>
        <w:ind w:firstLine="708"/>
        <w:contextualSpacing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- социальная сеть Интернет;</w:t>
      </w:r>
    </w:p>
    <w:p w:rsidR="00DE386F" w:rsidRPr="00AF0D61" w:rsidRDefault="00DE386F" w:rsidP="00DE386F">
      <w:pPr>
        <w:ind w:firstLine="708"/>
        <w:contextualSpacing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- СПС «Гарант»;</w:t>
      </w:r>
    </w:p>
    <w:p w:rsidR="00DE386F" w:rsidRPr="00AF0D61" w:rsidRDefault="00DE386F" w:rsidP="00DE386F">
      <w:pPr>
        <w:ind w:firstLine="708"/>
        <w:contextualSpacing/>
        <w:rPr>
          <w:rFonts w:cs="Times New Roman"/>
          <w:sz w:val="22"/>
        </w:rPr>
      </w:pPr>
      <w:r w:rsidRPr="00AF0D61">
        <w:rPr>
          <w:rFonts w:cs="Times New Roman"/>
          <w:szCs w:val="28"/>
        </w:rPr>
        <w:t>- СПС «КонсультантПлюс».</w:t>
      </w:r>
    </w:p>
    <w:p w:rsidR="00B80C5E" w:rsidRPr="00AF0D61" w:rsidRDefault="00B74AF1" w:rsidP="00DE386F">
      <w:pPr>
        <w:ind w:firstLine="720"/>
        <w:contextualSpacing/>
        <w:jc w:val="both"/>
        <w:rPr>
          <w:szCs w:val="28"/>
        </w:rPr>
      </w:pPr>
      <w:r w:rsidRPr="00AF0D61">
        <w:rPr>
          <w:szCs w:val="28"/>
        </w:rPr>
        <w:t>3.5. Иная информация о проблеме, в том числе актуальность проблемы</w:t>
      </w:r>
      <w:r w:rsidR="005F3A52" w:rsidRPr="00AF0D61">
        <w:rPr>
          <w:szCs w:val="28"/>
        </w:rPr>
        <w:br/>
      </w:r>
      <w:r w:rsidRPr="00AF0D61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 w:rsidRPr="00AF0D61">
        <w:rPr>
          <w:szCs w:val="28"/>
        </w:rPr>
        <w:t xml:space="preserve"> </w:t>
      </w:r>
    </w:p>
    <w:p w:rsidR="00816DE4" w:rsidRPr="00AF0D61" w:rsidRDefault="00B80C5E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0D61">
        <w:rPr>
          <w:rFonts w:cs="Times New Roman"/>
          <w:szCs w:val="28"/>
        </w:rPr>
        <w:t>Сложившаяся ситуация с несанкционированной установкой ограждений на территории города, осуществляемой в нарушение внешнего архитектурно-градостроительного облика, без учета технических регламентов, требований безопасности, а также надлежащих согласований, предусмотренных федеральным законодательством, требует срочного исправления.</w:t>
      </w:r>
    </w:p>
    <w:p w:rsidR="00B80C5E" w:rsidRPr="00AF0D61" w:rsidRDefault="00B80C5E" w:rsidP="00B80C5E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0D61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</w:t>
      </w:r>
      <w:r w:rsidRPr="00AF0D61">
        <w:rPr>
          <w:rFonts w:ascii="Times New Roman CYR" w:hAnsi="Times New Roman CYR" w:cs="Times New Roman CYR"/>
          <w:szCs w:val="28"/>
        </w:rPr>
        <w:t>:</w:t>
      </w:r>
    </w:p>
    <w:p w:rsidR="00B80C5E" w:rsidRPr="00AF0D61" w:rsidRDefault="00B80C5E" w:rsidP="00B80C5E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0D61">
        <w:rPr>
          <w:rFonts w:ascii="Times New Roman CYR" w:hAnsi="Times New Roman CYR" w:cs="Times New Roman CYR"/>
          <w:szCs w:val="28"/>
        </w:rPr>
        <w:t>- риск причинения вреда жизни и здоровью граждан, имуществу физических или юридических лиц (в случае нарушения противопожарных норм</w:t>
      </w:r>
      <w:r w:rsidRPr="00AF0D61">
        <w:rPr>
          <w:rFonts w:ascii="Times New Roman CYR" w:hAnsi="Times New Roman CYR" w:cs="Times New Roman CYR"/>
          <w:szCs w:val="28"/>
        </w:rPr>
        <w:br/>
        <w:t xml:space="preserve">и требований, а также требований безопасности, при установке </w:t>
      </w:r>
      <w:r w:rsidR="00424FD7" w:rsidRPr="00AF0D61">
        <w:rPr>
          <w:rFonts w:ascii="Times New Roman CYR" w:hAnsi="Times New Roman CYR" w:cs="Times New Roman CYR"/>
          <w:szCs w:val="28"/>
        </w:rPr>
        <w:t>ограждений</w:t>
      </w:r>
      <w:r w:rsidRPr="00AF0D61">
        <w:rPr>
          <w:rFonts w:ascii="Times New Roman CYR" w:hAnsi="Times New Roman CYR" w:cs="Times New Roman CYR"/>
          <w:szCs w:val="28"/>
        </w:rPr>
        <w:t xml:space="preserve"> с нарушением противопожарных разрывов, на противопожарных проездах, вблизи проездов автотранспорта,</w:t>
      </w:r>
      <w:r w:rsidR="00424FD7" w:rsidRPr="00AF0D61">
        <w:rPr>
          <w:rFonts w:ascii="Times New Roman CYR" w:hAnsi="Times New Roman CYR" w:cs="Times New Roman CYR"/>
          <w:szCs w:val="28"/>
        </w:rPr>
        <w:t xml:space="preserve"> </w:t>
      </w:r>
      <w:r w:rsidRPr="00AF0D61">
        <w:rPr>
          <w:rFonts w:ascii="Times New Roman CYR" w:hAnsi="Times New Roman CYR" w:cs="Times New Roman CYR"/>
          <w:szCs w:val="28"/>
        </w:rPr>
        <w:t>в треугольниках видимости);</w:t>
      </w:r>
    </w:p>
    <w:p w:rsidR="00B80C5E" w:rsidRPr="00AF0D61" w:rsidRDefault="00B80C5E" w:rsidP="00B80C5E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0D61">
        <w:rPr>
          <w:rFonts w:ascii="Times New Roman CYR" w:hAnsi="Times New Roman CYR" w:cs="Times New Roman CYR"/>
          <w:szCs w:val="28"/>
        </w:rPr>
        <w:t xml:space="preserve">- риск причинения эконмического ущерба, связанного с приведенными выше нарушениями, либо с необходимостью выполнения демонтажа </w:t>
      </w:r>
      <w:r w:rsidR="0061600E" w:rsidRPr="00AF0D61">
        <w:rPr>
          <w:rFonts w:ascii="Times New Roman CYR" w:hAnsi="Times New Roman CYR" w:cs="Times New Roman CYR"/>
          <w:szCs w:val="28"/>
        </w:rPr>
        <w:t>ограждения</w:t>
      </w:r>
      <w:r w:rsidRPr="00AF0D61">
        <w:rPr>
          <w:rFonts w:ascii="Times New Roman CYR" w:hAnsi="Times New Roman CYR" w:cs="Times New Roman CYR"/>
          <w:szCs w:val="28"/>
        </w:rPr>
        <w:t xml:space="preserve"> вследствие невозможности приведения его</w:t>
      </w:r>
      <w:r w:rsidR="00424FD7" w:rsidRPr="00AF0D61">
        <w:rPr>
          <w:rFonts w:ascii="Times New Roman CYR" w:hAnsi="Times New Roman CYR" w:cs="Times New Roman CYR"/>
          <w:szCs w:val="28"/>
        </w:rPr>
        <w:t xml:space="preserve"> </w:t>
      </w:r>
      <w:r w:rsidRPr="00AF0D61">
        <w:rPr>
          <w:rFonts w:ascii="Times New Roman CYR" w:hAnsi="Times New Roman CYR" w:cs="Times New Roman CYR"/>
          <w:szCs w:val="28"/>
        </w:rPr>
        <w:t>к действующим требованиям, и восстановления благоустройства;</w:t>
      </w:r>
    </w:p>
    <w:p w:rsidR="00B80C5E" w:rsidRPr="00AF0D61" w:rsidRDefault="00B80C5E" w:rsidP="00B80C5E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0D61">
        <w:rPr>
          <w:rFonts w:ascii="Times New Roman CYR" w:hAnsi="Times New Roman CYR" w:cs="Times New Roman CYR"/>
          <w:szCs w:val="28"/>
        </w:rPr>
        <w:t>- риск экономического ущерба для бюджетов различных уровней, несущих издержки при многочисленных судебных разбирательствах и задействовании дополнительных штатных сотрудников;</w:t>
      </w:r>
    </w:p>
    <w:p w:rsidR="00B80C5E" w:rsidRPr="00AF0D61" w:rsidRDefault="00B80C5E" w:rsidP="00B80C5E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0D61">
        <w:rPr>
          <w:rFonts w:ascii="Times New Roman CYR" w:hAnsi="Times New Roman CYR" w:cs="Times New Roman CYR"/>
          <w:szCs w:val="28"/>
        </w:rPr>
        <w:t xml:space="preserve">- риск недовольства населения недостаточным или ненадлежащим исполнением обязанностей Администрацией города и Думой города в интересах жителей города.  </w:t>
      </w:r>
    </w:p>
    <w:p w:rsidR="00B80C5E" w:rsidRPr="00AF0D61" w:rsidRDefault="00B80C5E" w:rsidP="00DE386F">
      <w:pPr>
        <w:ind w:firstLine="720"/>
        <w:contextualSpacing/>
        <w:jc w:val="both"/>
        <w:rPr>
          <w:szCs w:val="28"/>
        </w:rPr>
        <w:sectPr w:rsidR="00B80C5E" w:rsidRPr="00AF0D61" w:rsidSect="005674C1">
          <w:pgSz w:w="11906" w:h="16838" w:code="9"/>
          <w:pgMar w:top="851" w:right="567" w:bottom="1134" w:left="1701" w:header="720" w:footer="720" w:gutter="0"/>
          <w:cols w:space="720"/>
          <w:noEndnote/>
          <w:docGrid w:linePitch="326"/>
        </w:sect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AF0D61">
        <w:rPr>
          <w:rFonts w:cs="Times New Roman"/>
          <w:bCs/>
          <w:sz w:val="24"/>
          <w:szCs w:val="24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402"/>
        <w:gridCol w:w="2268"/>
        <w:gridCol w:w="2835"/>
      </w:tblGrid>
      <w:tr w:rsidR="00C51215" w:rsidRPr="00AF0D61" w:rsidTr="00486377">
        <w:tc>
          <w:tcPr>
            <w:tcW w:w="3256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402" w:type="dxa"/>
          </w:tcPr>
          <w:p w:rsidR="00252819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2268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4220D8" w:rsidRPr="00AF0D61" w:rsidTr="00486377">
        <w:trPr>
          <w:trHeight w:val="654"/>
        </w:trPr>
        <w:tc>
          <w:tcPr>
            <w:tcW w:w="3256" w:type="dxa"/>
          </w:tcPr>
          <w:p w:rsidR="004220D8" w:rsidRPr="00AF0D61" w:rsidRDefault="003E6B03" w:rsidP="003E6B0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Повышение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AF0D61" w:rsidRDefault="000F7F9A" w:rsidP="00AE152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AF0D61">
              <w:rPr>
                <w:rFonts w:cs="Times New Roman"/>
                <w:sz w:val="24"/>
                <w:szCs w:val="24"/>
              </w:rPr>
              <w:t>.0</w:t>
            </w:r>
            <w:r w:rsidR="00AE1525" w:rsidRPr="00AF0D61">
              <w:rPr>
                <w:rFonts w:cs="Times New Roman"/>
                <w:sz w:val="24"/>
                <w:szCs w:val="24"/>
              </w:rPr>
              <w:t>3</w:t>
            </w:r>
            <w:r w:rsidRPr="00AF0D61">
              <w:rPr>
                <w:rFonts w:cs="Times New Roman"/>
                <w:sz w:val="24"/>
                <w:szCs w:val="24"/>
              </w:rPr>
              <w:t>.2024</w:t>
            </w:r>
          </w:p>
        </w:tc>
        <w:tc>
          <w:tcPr>
            <w:tcW w:w="3402" w:type="dxa"/>
          </w:tcPr>
          <w:p w:rsidR="004220D8" w:rsidRPr="00AF0D61" w:rsidRDefault="00486377" w:rsidP="00B269E0">
            <w:pPr>
              <w:ind w:left="110" w:right="117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Количество согласованных департаментом архитектуры и градостроительства </w:t>
            </w:r>
            <w:r w:rsidR="00AE1525" w:rsidRPr="00AF0D61">
              <w:rPr>
                <w:rFonts w:cs="Times New Roman"/>
                <w:iCs/>
                <w:sz w:val="24"/>
                <w:szCs w:val="24"/>
              </w:rPr>
              <w:t xml:space="preserve">проектов установки </w:t>
            </w:r>
            <w:r w:rsidRPr="00AF0D61">
              <w:rPr>
                <w:rFonts w:cs="Times New Roman"/>
                <w:iCs/>
                <w:sz w:val="24"/>
                <w:szCs w:val="24"/>
              </w:rPr>
              <w:t>ограждений</w:t>
            </w:r>
            <w:r w:rsidR="00AE1525" w:rsidRPr="00AF0D61">
              <w:rPr>
                <w:rFonts w:cs="Times New Roman"/>
                <w:iCs/>
                <w:sz w:val="24"/>
                <w:szCs w:val="24"/>
              </w:rPr>
              <w:t xml:space="preserve">, ед. </w:t>
            </w:r>
            <w:r w:rsidRPr="00AF0D61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86377" w:rsidRPr="00AF0D61" w:rsidRDefault="0004413C" w:rsidP="0048637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Не </w:t>
            </w:r>
            <w:r w:rsidR="00486377" w:rsidRPr="00AF0D61">
              <w:rPr>
                <w:rFonts w:cs="Times New Roman"/>
                <w:sz w:val="24"/>
                <w:szCs w:val="24"/>
              </w:rPr>
              <w:t>менее 5 ед.</w:t>
            </w:r>
          </w:p>
          <w:p w:rsidR="004220D8" w:rsidRPr="00AF0D61" w:rsidRDefault="00486377" w:rsidP="0048637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</w:tcPr>
          <w:p w:rsidR="004220D8" w:rsidRPr="00AF0D61" w:rsidRDefault="00B269E0" w:rsidP="00B269E0">
            <w:pPr>
              <w:ind w:left="110" w:right="2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Реестр согласованных департаментом архитектуры и градостроительства </w:t>
            </w:r>
            <w:r w:rsidR="00AE1525" w:rsidRPr="00AF0D61">
              <w:rPr>
                <w:rFonts w:cs="Times New Roman"/>
                <w:iCs/>
                <w:sz w:val="24"/>
                <w:szCs w:val="24"/>
              </w:rPr>
              <w:t>проектов установки ограждений</w:t>
            </w:r>
          </w:p>
        </w:tc>
      </w:tr>
    </w:tbl>
    <w:p w:rsidR="00C51215" w:rsidRPr="00AF0D61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AF0D61">
        <w:rPr>
          <w:rFonts w:cs="Times New Roman"/>
          <w:bCs/>
          <w:sz w:val="24"/>
          <w:szCs w:val="24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3685"/>
        <w:gridCol w:w="6237"/>
      </w:tblGrid>
      <w:tr w:rsidR="00C51215" w:rsidRPr="00AF0D61" w:rsidTr="00227F58">
        <w:trPr>
          <w:cantSplit/>
        </w:trPr>
        <w:tc>
          <w:tcPr>
            <w:tcW w:w="4815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6237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413F23" w:rsidRPr="00AF0D61" w:rsidTr="00227F58">
        <w:trPr>
          <w:cantSplit/>
          <w:trHeight w:val="3775"/>
        </w:trPr>
        <w:tc>
          <w:tcPr>
            <w:tcW w:w="4815" w:type="dxa"/>
          </w:tcPr>
          <w:p w:rsidR="00413F23" w:rsidRPr="00AF0D61" w:rsidRDefault="00413F23" w:rsidP="00227F58">
            <w:pPr>
              <w:contextualSpacing/>
              <w:jc w:val="both"/>
              <w:rPr>
                <w:rFonts w:cs="Times New Roman"/>
                <w:iCs/>
                <w:color w:val="FF0000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Физические и юридические лица, независимо от форм собственности и ведомственной принадлежности</w:t>
            </w:r>
            <w:r w:rsidR="00227F58" w:rsidRPr="00AF0D6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AF0D61">
              <w:rPr>
                <w:rFonts w:cs="Times New Roman"/>
                <w:iCs/>
                <w:sz w:val="24"/>
                <w:szCs w:val="24"/>
              </w:rPr>
              <w:t xml:space="preserve">(за исключением управляющих организаций, </w:t>
            </w:r>
            <w:r w:rsidRPr="00AF0D61">
              <w:rPr>
                <w:rFonts w:cs="Times New Roman"/>
                <w:sz w:val="24"/>
                <w:szCs w:val="24"/>
              </w:rPr>
              <w:t>товариществ собственников жилья, планирующих установку</w:t>
            </w:r>
            <w:r w:rsidRPr="00AF0D61">
              <w:rPr>
                <w:rFonts w:cs="Times New Roman"/>
                <w:iCs/>
                <w:sz w:val="24"/>
                <w:szCs w:val="24"/>
              </w:rPr>
              <w:t xml:space="preserve"> ограждений на внутридворовых территориях)</w:t>
            </w:r>
          </w:p>
        </w:tc>
        <w:tc>
          <w:tcPr>
            <w:tcW w:w="3685" w:type="dxa"/>
          </w:tcPr>
          <w:p w:rsidR="00413F23" w:rsidRPr="00AF0D61" w:rsidRDefault="00413F23" w:rsidP="004938B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18 658 субъектов</w:t>
            </w:r>
          </w:p>
          <w:p w:rsidR="00413F23" w:rsidRPr="00AF0D61" w:rsidRDefault="00413F23" w:rsidP="00351E7D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(за исключением управляющих организаций и товариществ собственников жилья)</w:t>
            </w:r>
          </w:p>
        </w:tc>
        <w:tc>
          <w:tcPr>
            <w:tcW w:w="6237" w:type="dxa"/>
          </w:tcPr>
          <w:p w:rsidR="00413F23" w:rsidRPr="00AF0D61" w:rsidRDefault="00413F23" w:rsidP="004938B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1. Показатели муниципальной программы</w:t>
            </w:r>
            <w:r w:rsidRPr="00AF0D61">
              <w:t xml:space="preserve"> </w:t>
            </w:r>
            <w:r w:rsidR="00227F58" w:rsidRPr="00AF0D61">
              <w:t>«</w:t>
            </w:r>
            <w:r w:rsidR="00227F58" w:rsidRPr="00AF0D61">
              <w:rPr>
                <w:rFonts w:cs="Times New Roman"/>
                <w:sz w:val="24"/>
                <w:szCs w:val="24"/>
              </w:rPr>
              <w:t xml:space="preserve">Развитие малого и среднего предпринимательства в городе Сургуте на период до 2030 года», утвержденные </w:t>
            </w:r>
            <w:r w:rsidRPr="00AF0D61">
              <w:rPr>
                <w:rFonts w:cs="Times New Roman"/>
                <w:sz w:val="24"/>
                <w:szCs w:val="24"/>
              </w:rPr>
              <w:t>постановлени</w:t>
            </w:r>
            <w:r w:rsidR="00227F58" w:rsidRPr="00AF0D61">
              <w:rPr>
                <w:rFonts w:cs="Times New Roman"/>
                <w:sz w:val="24"/>
                <w:szCs w:val="24"/>
              </w:rPr>
              <w:t>ем</w:t>
            </w:r>
            <w:r w:rsidRPr="00AF0D61">
              <w:rPr>
                <w:rFonts w:cs="Times New Roman"/>
                <w:sz w:val="24"/>
                <w:szCs w:val="24"/>
              </w:rPr>
              <w:t xml:space="preserve"> Администра</w:t>
            </w:r>
            <w:r w:rsidR="00227F58" w:rsidRPr="00AF0D61">
              <w:rPr>
                <w:rFonts w:cs="Times New Roman"/>
                <w:sz w:val="24"/>
                <w:szCs w:val="24"/>
              </w:rPr>
              <w:t>ции города от 15.12.2015 № 8741;</w:t>
            </w:r>
          </w:p>
          <w:p w:rsidR="00413F23" w:rsidRPr="00AF0D61" w:rsidRDefault="00413F23" w:rsidP="00BB229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2. Перечень управляющих организаций, осуществляющих на территории города Сургута деятельность по управлению многоквартирными домами по состоянию на  01.02.2024 года (</w:t>
            </w:r>
            <w:hyperlink r:id="rId8" w:history="1">
              <w:r w:rsidRPr="00AF0D61">
                <w:rPr>
                  <w:rStyle w:val="afff0"/>
                  <w:rFonts w:cs="Times New Roman"/>
                  <w:color w:val="auto"/>
                  <w:sz w:val="24"/>
                  <w:szCs w:val="24"/>
                  <w:u w:val="none"/>
                </w:rPr>
                <w:t>https://admsurgut.ru/rubric/21106/Perechen-upravlyayuschih-organizaciy-osuschestvlyayuschih-na-territorii-goroda-Surguta-deyatelnost-po-upravleniyu-mnogokvartirnymi-domami</w:t>
              </w:r>
            </w:hyperlink>
            <w:r w:rsidRPr="00AF0D61">
              <w:rPr>
                <w:rFonts w:cs="Times New Roman"/>
                <w:sz w:val="24"/>
                <w:szCs w:val="24"/>
              </w:rPr>
              <w:t>);</w:t>
            </w:r>
          </w:p>
          <w:p w:rsidR="00413F23" w:rsidRPr="00AF0D61" w:rsidRDefault="00413F23" w:rsidP="00BB2293">
            <w:pPr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3. Перечень товариществ собственников жилья по состоянию на 01.02.2024 года (https://admsurgut.ru/rubric/21105/Perechen-tovarischestv-sobstvennikov-zhilya)</w:t>
            </w:r>
          </w:p>
        </w:tc>
      </w:tr>
    </w:tbl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i/>
          <w:sz w:val="24"/>
          <w:szCs w:val="24"/>
        </w:rPr>
      </w:pPr>
      <w:r w:rsidRPr="00AF0D61">
        <w:rPr>
          <w:rFonts w:cs="Times New Roman"/>
          <w:bCs/>
          <w:sz w:val="24"/>
          <w:szCs w:val="24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</w:t>
      </w:r>
      <w:r w:rsidR="00227F58" w:rsidRPr="00AF0D61">
        <w:rPr>
          <w:rFonts w:cs="Times New Roman"/>
          <w:bCs/>
          <w:sz w:val="24"/>
          <w:szCs w:val="24"/>
        </w:rPr>
        <w:t xml:space="preserve"> </w:t>
      </w:r>
      <w:r w:rsidR="00252819" w:rsidRPr="00AF0D61">
        <w:rPr>
          <w:rFonts w:cs="Times New Roman"/>
          <w:bCs/>
          <w:sz w:val="24"/>
          <w:szCs w:val="24"/>
        </w:rPr>
        <w:t xml:space="preserve"> </w:t>
      </w:r>
      <w:r w:rsidRPr="00AF0D61">
        <w:rPr>
          <w:rFonts w:cs="Times New Roman"/>
          <w:bCs/>
          <w:sz w:val="24"/>
          <w:szCs w:val="24"/>
        </w:rPr>
        <w:t>с введением предлагаемого правового регулирования (</w:t>
      </w:r>
      <w:r w:rsidRPr="00AF0D61">
        <w:rPr>
          <w:rFonts w:cs="Times New Roman"/>
          <w:bCs/>
          <w:i/>
          <w:sz w:val="24"/>
          <w:szCs w:val="24"/>
        </w:rPr>
        <w:t>раздел заполняется в случае возникновения дополнительных расходов (доходов) бюджета</w:t>
      </w:r>
      <w:r w:rsidR="00D5688D" w:rsidRPr="00AF0D61">
        <w:rPr>
          <w:rFonts w:cs="Times New Roman"/>
          <w:bCs/>
          <w:i/>
          <w:sz w:val="24"/>
          <w:szCs w:val="24"/>
        </w:rPr>
        <w:t>)</w:t>
      </w:r>
    </w:p>
    <w:p w:rsidR="00227F58" w:rsidRPr="00AF0D61" w:rsidRDefault="00227F58" w:rsidP="00227F58">
      <w:pPr>
        <w:ind w:firstLine="709"/>
        <w:jc w:val="both"/>
        <w:rPr>
          <w:b/>
        </w:rPr>
      </w:pPr>
    </w:p>
    <w:p w:rsidR="00227F58" w:rsidRPr="00AF0D61" w:rsidRDefault="00227F58" w:rsidP="00227F58">
      <w:pPr>
        <w:ind w:firstLine="709"/>
        <w:jc w:val="both"/>
        <w:rPr>
          <w:sz w:val="24"/>
          <w:szCs w:val="24"/>
        </w:rPr>
      </w:pPr>
      <w:r w:rsidRPr="00AF0D61">
        <w:rPr>
          <w:sz w:val="24"/>
          <w:szCs w:val="24"/>
        </w:rPr>
        <w:t>Дополнительные расходы (доходы) бюджета отсутствуют</w:t>
      </w:r>
    </w:p>
    <w:p w:rsidR="00227F58" w:rsidRPr="00AF0D61" w:rsidRDefault="00227F58" w:rsidP="00227F58">
      <w:pPr>
        <w:ind w:firstLine="709"/>
        <w:jc w:val="both"/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AF0D61" w:rsidTr="00546D89">
        <w:tc>
          <w:tcPr>
            <w:tcW w:w="2405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(полномочия/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(новая/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C51215" w:rsidRPr="00AF0D61" w:rsidTr="00546D89">
        <w:trPr>
          <w:cantSplit/>
        </w:trPr>
        <w:tc>
          <w:tcPr>
            <w:tcW w:w="12044" w:type="dxa"/>
            <w:gridSpan w:val="4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Функция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(полномочие/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обязанность/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669"/>
        </w:trPr>
        <w:tc>
          <w:tcPr>
            <w:tcW w:w="2405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_____ </w:t>
            </w:r>
            <w:r w:rsidRPr="00AF0D61">
              <w:rPr>
                <w:rFonts w:cs="Times New Roman"/>
                <w:iCs/>
                <w:sz w:val="24"/>
                <w:szCs w:val="24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438"/>
        </w:trPr>
        <w:tc>
          <w:tcPr>
            <w:tcW w:w="2405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Функция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(полномочие/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обязанность/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право) 1.</w:t>
            </w:r>
            <w:r w:rsidRPr="00AF0D61">
              <w:rPr>
                <w:rFonts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759"/>
        </w:trPr>
        <w:tc>
          <w:tcPr>
            <w:tcW w:w="2405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415"/>
        </w:trPr>
        <w:tc>
          <w:tcPr>
            <w:tcW w:w="2405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c>
          <w:tcPr>
            <w:tcW w:w="9493" w:type="dxa"/>
            <w:gridSpan w:val="3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AF0D61" w:rsidRDefault="00C51215" w:rsidP="00C51215">
      <w:pPr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227F58" w:rsidRPr="00AF0D61" w:rsidRDefault="00227F58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AF0D61">
        <w:rPr>
          <w:rFonts w:cs="Times New Roman"/>
          <w:bCs/>
          <w:sz w:val="24"/>
          <w:szCs w:val="24"/>
        </w:rPr>
        <w:t xml:space="preserve">7. </w:t>
      </w:r>
      <w:r w:rsidR="001375D8" w:rsidRPr="00AF0D61">
        <w:rPr>
          <w:rFonts w:cs="Times New Roman"/>
          <w:bCs/>
          <w:sz w:val="24"/>
          <w:szCs w:val="24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2835"/>
        <w:gridCol w:w="2640"/>
        <w:gridCol w:w="2888"/>
      </w:tblGrid>
      <w:tr w:rsidR="00C51215" w:rsidRPr="00AF0D61" w:rsidTr="00C77141">
        <w:tc>
          <w:tcPr>
            <w:tcW w:w="6374" w:type="dxa"/>
          </w:tcPr>
          <w:p w:rsidR="001375D8" w:rsidRPr="00AF0D61" w:rsidRDefault="00C51215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7.1. </w:t>
            </w:r>
            <w:r w:rsidR="001375D8" w:rsidRPr="00AF0D61">
              <w:rPr>
                <w:rFonts w:cs="Times New Roman"/>
                <w:sz w:val="24"/>
                <w:szCs w:val="24"/>
              </w:rPr>
              <w:t>Новые обязательные требования</w:t>
            </w:r>
          </w:p>
          <w:p w:rsidR="001375D8" w:rsidRPr="00AF0D61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 и (или) обязанности, </w:t>
            </w:r>
          </w:p>
          <w:p w:rsidR="001375D8" w:rsidRPr="00AF0D61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AF0D61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AF0D61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888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5D6E52" w:rsidRPr="00AF0D61" w:rsidTr="00C77141">
        <w:tc>
          <w:tcPr>
            <w:tcW w:w="6374" w:type="dxa"/>
            <w:vMerge w:val="restart"/>
          </w:tcPr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1. Пунктом 1 раздела II приложения 2 проекта постановления предусмотрено</w:t>
            </w:r>
            <w:r w:rsidR="00C77141" w:rsidRPr="00AF0D61">
              <w:rPr>
                <w:rFonts w:cs="Times New Roman"/>
                <w:iCs/>
                <w:sz w:val="24"/>
                <w:szCs w:val="24"/>
              </w:rPr>
              <w:t>, что для согласования проекта установки ограждения заявитель обращается в департамент архитектуры лично либо направляет на электронную почту (dag@admsurgut.ru) следующие документы: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1) Заявление по форме согласно приложению к настоящему порядку, 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(по доверенности).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2) Данные о заявителе – физическом лице (документ, удостоверяющий личность)</w:t>
            </w:r>
            <w:r w:rsidR="00BC4193" w:rsidRPr="00AF0D61">
              <w:rPr>
                <w:rFonts w:cs="Times New Roman"/>
                <w:iCs/>
                <w:sz w:val="24"/>
                <w:szCs w:val="24"/>
              </w:rPr>
              <w:t>, при личном обращении.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lastRenderedPageBreak/>
              <w:t>3) Копия документа, подтверждающая полномочия представителя заявителя (в случае, если от имени заявителя обращается представитель заявителя).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4) Копия согласия собственника или иного законного владельца земельного участка на установку ограждения, если заявитель не является его собственником или иным законным владельцем.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 xml:space="preserve">5) Копия согласия собственников земельного участка на установку ограждения, при наличии нескольких собственников.  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6) Копия согласия собственников и правообладателей инженерных сетей и коммуникаций, в случае размещения ограждения на инженерных сетях и коммуникациях.</w:t>
            </w:r>
          </w:p>
          <w:p w:rsidR="005D6E52" w:rsidRPr="00AF0D61" w:rsidRDefault="005674C1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7</w:t>
            </w:r>
            <w:r w:rsidR="005D6E52" w:rsidRPr="00AF0D61">
              <w:rPr>
                <w:rFonts w:cs="Times New Roman"/>
                <w:iCs/>
                <w:sz w:val="24"/>
                <w:szCs w:val="24"/>
              </w:rPr>
              <w:t>) Проект установки ограждения.</w:t>
            </w: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5D6E52" w:rsidRPr="00AF0D61" w:rsidRDefault="005D6E52" w:rsidP="005D6E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2. Согласно, разделу I</w:t>
            </w:r>
            <w:r w:rsidRPr="00AF0D61">
              <w:rPr>
                <w:rFonts w:cs="Times New Roman"/>
                <w:iCs/>
                <w:sz w:val="24"/>
                <w:szCs w:val="24"/>
                <w:lang w:val="en-US"/>
              </w:rPr>
              <w:t>I</w:t>
            </w:r>
            <w:r w:rsidRPr="00AF0D61">
              <w:rPr>
                <w:rFonts w:cs="Times New Roman"/>
                <w:iCs/>
                <w:sz w:val="24"/>
                <w:szCs w:val="24"/>
              </w:rPr>
              <w:t>I приложения 2 проекта постановления после получения мотивированного отказа в согласовании проекта установки ограждения заявитель вправе направить исправленные доку</w:t>
            </w:r>
            <w:r w:rsidR="00227F58" w:rsidRPr="00AF0D61">
              <w:rPr>
                <w:rFonts w:cs="Times New Roman"/>
                <w:iCs/>
                <w:sz w:val="24"/>
                <w:szCs w:val="24"/>
              </w:rPr>
              <w:t>менты в департамент архитектуры</w:t>
            </w:r>
          </w:p>
        </w:tc>
        <w:tc>
          <w:tcPr>
            <w:tcW w:w="2835" w:type="dxa"/>
          </w:tcPr>
          <w:p w:rsidR="005D6E52" w:rsidRPr="00AF0D61" w:rsidRDefault="005D6E52" w:rsidP="005D6E52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Информационные издержки</w:t>
            </w:r>
          </w:p>
          <w:p w:rsidR="005D6E52" w:rsidRPr="00AF0D61" w:rsidRDefault="005D6E52" w:rsidP="005D6E52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5D6E52" w:rsidRPr="00AF0D61" w:rsidRDefault="00A643EF" w:rsidP="005D6E52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15 578,57 </w:t>
            </w:r>
            <w:r w:rsidR="005D6E52"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D6E52" w:rsidRPr="00AF0D61" w:rsidRDefault="005D6E52" w:rsidP="005D6E52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  <w:p w:rsidR="005D6E52" w:rsidRPr="00AF0D61" w:rsidRDefault="005D6E52" w:rsidP="005D6E52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7C158F" w:rsidRPr="00AF0D61" w:rsidRDefault="007C158F" w:rsidP="007C158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Прогноз СЭР</w:t>
            </w:r>
          </w:p>
          <w:p w:rsidR="00C77141" w:rsidRPr="00AF0D61" w:rsidRDefault="007C158F" w:rsidP="007C158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на 2024 год</w:t>
            </w:r>
            <w:r w:rsidR="00C77141" w:rsidRPr="00AF0D61">
              <w:rPr>
                <w:rFonts w:cs="Times New Roman"/>
                <w:sz w:val="24"/>
                <w:szCs w:val="24"/>
              </w:rPr>
              <w:t xml:space="preserve"> и плановый период 2025 – 2026 годов</w:t>
            </w:r>
            <w:r w:rsidRPr="00AF0D61">
              <w:rPr>
                <w:rFonts w:cs="Times New Roman"/>
                <w:sz w:val="24"/>
                <w:szCs w:val="24"/>
              </w:rPr>
              <w:t>,</w:t>
            </w:r>
          </w:p>
          <w:p w:rsidR="00C77141" w:rsidRPr="00AF0D61" w:rsidRDefault="00C77141" w:rsidP="00C7714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приказ </w:t>
            </w:r>
          </w:p>
          <w:p w:rsidR="00C77141" w:rsidRPr="00AF0D61" w:rsidRDefault="00C77141" w:rsidP="00C7714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РСТ ХМАО – Югры </w:t>
            </w:r>
          </w:p>
          <w:p w:rsidR="00C77141" w:rsidRPr="00AF0D61" w:rsidRDefault="00C77141" w:rsidP="00C7714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от 29.11.2023 </w:t>
            </w:r>
          </w:p>
          <w:p w:rsidR="00C77141" w:rsidRPr="00AF0D61" w:rsidRDefault="00C77141" w:rsidP="00C7714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№ 75-нп,</w:t>
            </w:r>
          </w:p>
          <w:p w:rsidR="00C77141" w:rsidRPr="00AF0D61" w:rsidRDefault="007C158F" w:rsidP="007C158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 </w:t>
            </w:r>
            <w:r w:rsidRPr="00AF0D61">
              <w:rPr>
                <w:rFonts w:eastAsia="Times New Roman"/>
                <w:sz w:val="24"/>
                <w:szCs w:val="24"/>
                <w:lang w:eastAsia="ru-RU"/>
              </w:rPr>
              <w:t xml:space="preserve">данные из сети Интернет, </w:t>
            </w:r>
          </w:p>
          <w:p w:rsidR="005D6E52" w:rsidRPr="00AF0D61" w:rsidRDefault="007C158F" w:rsidP="007C158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eastAsia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D42AA4" w:rsidRPr="00AF0D61" w:rsidTr="00C77141">
        <w:tc>
          <w:tcPr>
            <w:tcW w:w="6374" w:type="dxa"/>
            <w:vMerge/>
          </w:tcPr>
          <w:p w:rsidR="00D42AA4" w:rsidRPr="00AF0D61" w:rsidRDefault="00D42AA4" w:rsidP="00954C8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2AA4" w:rsidRPr="00AF0D61" w:rsidRDefault="00D42AA4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Содержательные издержки (изготовление проекта установки ограждения)</w:t>
            </w:r>
          </w:p>
        </w:tc>
        <w:tc>
          <w:tcPr>
            <w:tcW w:w="2640" w:type="dxa"/>
          </w:tcPr>
          <w:p w:rsidR="00D42AA4" w:rsidRPr="00AF0D61" w:rsidRDefault="00D42AA4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50 000 руб.</w:t>
            </w:r>
          </w:p>
        </w:tc>
        <w:tc>
          <w:tcPr>
            <w:tcW w:w="2888" w:type="dxa"/>
          </w:tcPr>
          <w:p w:rsidR="00D42AA4" w:rsidRPr="00AF0D61" w:rsidRDefault="004938B8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Данные из сети интернет,</w:t>
            </w:r>
            <w:r w:rsidR="00227F58" w:rsidRPr="00AF0D61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AF0D61">
              <w:rPr>
                <w:rFonts w:cs="Times New Roman"/>
                <w:sz w:val="24"/>
                <w:szCs w:val="24"/>
              </w:rPr>
              <w:t xml:space="preserve"> с официальных сайтов предприятий продажи</w:t>
            </w:r>
          </w:p>
        </w:tc>
      </w:tr>
      <w:tr w:rsidR="005D6E52" w:rsidRPr="00AF0D61" w:rsidTr="00C77141">
        <w:trPr>
          <w:cantSplit/>
          <w:trHeight w:val="1666"/>
        </w:trPr>
        <w:tc>
          <w:tcPr>
            <w:tcW w:w="6374" w:type="dxa"/>
            <w:vMerge/>
          </w:tcPr>
          <w:p w:rsidR="005D6E52" w:rsidRPr="00AF0D61" w:rsidRDefault="005D6E52" w:rsidP="00954C87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E52" w:rsidRPr="00AF0D61" w:rsidRDefault="005D6E52" w:rsidP="000F7F9A">
            <w:pPr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Общая сумма издержек</w:t>
            </w:r>
          </w:p>
        </w:tc>
        <w:tc>
          <w:tcPr>
            <w:tcW w:w="2640" w:type="dxa"/>
          </w:tcPr>
          <w:p w:rsidR="005D6E52" w:rsidRPr="00AF0D61" w:rsidRDefault="005D6E52" w:rsidP="000F7F9A">
            <w:pPr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расходы одного субъекта составят</w:t>
            </w:r>
          </w:p>
          <w:p w:rsidR="005D6E52" w:rsidRPr="00AF0D61" w:rsidRDefault="00A643EF" w:rsidP="000F7F9A">
            <w:pPr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65 578, 57</w:t>
            </w:r>
            <w:r w:rsidR="005E66B4" w:rsidRPr="00AF0D61">
              <w:rPr>
                <w:sz w:val="24"/>
                <w:szCs w:val="24"/>
              </w:rPr>
              <w:t xml:space="preserve"> </w:t>
            </w:r>
            <w:r w:rsidR="005D6E52" w:rsidRPr="00AF0D61">
              <w:rPr>
                <w:sz w:val="24"/>
                <w:szCs w:val="24"/>
              </w:rPr>
              <w:t>руб.</w:t>
            </w:r>
          </w:p>
          <w:p w:rsidR="005D6E52" w:rsidRPr="00AF0D61" w:rsidRDefault="005D6E52" w:rsidP="00D42AA4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>(расчет прилагается)</w:t>
            </w:r>
          </w:p>
          <w:p w:rsidR="005D6E52" w:rsidRPr="00AF0D61" w:rsidRDefault="005D6E52" w:rsidP="000F7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5D6E52" w:rsidRPr="00AF0D61" w:rsidRDefault="005D6E52" w:rsidP="000F7F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AF0D61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BC4193" w:rsidRPr="00AF0D61" w:rsidRDefault="00BC4193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AF0D61">
        <w:rPr>
          <w:rFonts w:cs="Times New Roman"/>
          <w:bCs/>
          <w:sz w:val="24"/>
          <w:szCs w:val="24"/>
        </w:rPr>
        <w:t>8. Сравнение возможных вариантов решения проблемы</w:t>
      </w: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4111"/>
        <w:gridCol w:w="3827"/>
      </w:tblGrid>
      <w:tr w:rsidR="00C51215" w:rsidRPr="00AF0D61" w:rsidTr="00B80C5E">
        <w:trPr>
          <w:cantSplit/>
          <w:trHeight w:val="361"/>
        </w:trPr>
        <w:tc>
          <w:tcPr>
            <w:tcW w:w="4248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111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3827" w:type="dxa"/>
          </w:tcPr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Вариант </w:t>
            </w:r>
            <w:r w:rsidR="001375D8" w:rsidRPr="00AF0D61">
              <w:rPr>
                <w:rFonts w:cs="Times New Roman"/>
                <w:sz w:val="24"/>
                <w:szCs w:val="24"/>
              </w:rPr>
              <w:t>3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(альтернативный вариант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F0D61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AF0D61" w:rsidTr="00B80C5E">
        <w:tc>
          <w:tcPr>
            <w:tcW w:w="4248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AF0D61" w:rsidRDefault="001701BB" w:rsidP="001701B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C51215" w:rsidRPr="00AF0D61" w:rsidRDefault="00B80C5E" w:rsidP="00FE4C5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Утверждение норм постановлением Администрации города «Об утверждении порядка согласования проекта установки ограждения на территории города Сургута»</w:t>
            </w:r>
          </w:p>
        </w:tc>
        <w:tc>
          <w:tcPr>
            <w:tcW w:w="3827" w:type="dxa"/>
          </w:tcPr>
          <w:p w:rsidR="00B80C5E" w:rsidRPr="00AF0D61" w:rsidRDefault="0017134B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Утверждение порядка согласования проекта установки ограждения на территории города Сургута в виде приложения к</w:t>
            </w:r>
            <w:r w:rsidR="00B80C5E" w:rsidRPr="00AF0D61">
              <w:rPr>
                <w:rFonts w:cs="Times New Roman"/>
                <w:sz w:val="24"/>
                <w:szCs w:val="24"/>
              </w:rPr>
              <w:t xml:space="preserve"> Правила</w:t>
            </w:r>
            <w:r w:rsidRPr="00AF0D61">
              <w:rPr>
                <w:rFonts w:cs="Times New Roman"/>
                <w:sz w:val="24"/>
                <w:szCs w:val="24"/>
              </w:rPr>
              <w:t>м</w:t>
            </w:r>
            <w:r w:rsidR="00B80C5E" w:rsidRPr="00AF0D61">
              <w:rPr>
                <w:rFonts w:cs="Times New Roman"/>
                <w:sz w:val="24"/>
                <w:szCs w:val="24"/>
              </w:rPr>
              <w:t xml:space="preserve"> благоустройства территории города Сургута, утвержденны</w:t>
            </w:r>
            <w:r w:rsidRPr="00AF0D61">
              <w:rPr>
                <w:rFonts w:cs="Times New Roman"/>
                <w:sz w:val="24"/>
                <w:szCs w:val="24"/>
              </w:rPr>
              <w:t>м</w:t>
            </w:r>
          </w:p>
          <w:p w:rsidR="00B80C5E" w:rsidRPr="00AF0D61" w:rsidRDefault="00B80C5E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решением Думы города от 26.12.2017 № 206-VI ДГ. </w:t>
            </w:r>
          </w:p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AF0D61" w:rsidTr="00B80C5E">
        <w:tc>
          <w:tcPr>
            <w:tcW w:w="4248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AF0D61" w:rsidRDefault="001701BB" w:rsidP="001701B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4413C" w:rsidRPr="00AF0D61" w:rsidRDefault="00227F58" w:rsidP="00227F5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Физические и юридические лица, независимо от форм собственности и ведомственной принадлежности (за исключением управляющих организаций, товариществ собственников жилья, планирующих установку ограждений на внутридворовых территориях) -                             </w:t>
            </w:r>
            <w:r w:rsidR="0004413C" w:rsidRPr="00AF0D61">
              <w:rPr>
                <w:rFonts w:cs="Times New Roman"/>
                <w:sz w:val="24"/>
                <w:szCs w:val="24"/>
              </w:rPr>
              <w:t>не менее 5 субъектов (ежегодно)</w:t>
            </w:r>
          </w:p>
        </w:tc>
        <w:tc>
          <w:tcPr>
            <w:tcW w:w="3827" w:type="dxa"/>
          </w:tcPr>
          <w:p w:rsidR="00C51215" w:rsidRPr="00AF0D61" w:rsidRDefault="00227F58" w:rsidP="00227F5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Физические и юридические лица, независимо от форм собственности и ведомственной принадлежности (за исключением управляющих организаций, товариществ собственников жилья, планирующих установку ограждений на внутридворовых территориях) -                                                 </w:t>
            </w:r>
            <w:r w:rsidR="0004413C" w:rsidRPr="00AF0D61">
              <w:rPr>
                <w:rFonts w:cs="Times New Roman"/>
                <w:sz w:val="24"/>
                <w:szCs w:val="24"/>
              </w:rPr>
              <w:t>не менее 5 субъектов (ежегодно)</w:t>
            </w:r>
          </w:p>
        </w:tc>
      </w:tr>
      <w:tr w:rsidR="00B80C5E" w:rsidRPr="00AF0D61" w:rsidTr="00B80C5E">
        <w:tc>
          <w:tcPr>
            <w:tcW w:w="4248" w:type="dxa"/>
          </w:tcPr>
          <w:p w:rsidR="00B80C5E" w:rsidRPr="00AF0D61" w:rsidRDefault="00B80C5E" w:rsidP="00B80C5E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B80C5E" w:rsidRPr="00AF0D61" w:rsidRDefault="00B80C5E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Информационные издержки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(расходы на оплату труда, приобретение расходных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материалов, транспортные расходы)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–  </w:t>
            </w:r>
            <w:r w:rsidR="00A643EF" w:rsidRPr="00AF0D61">
              <w:rPr>
                <w:sz w:val="24"/>
                <w:szCs w:val="24"/>
              </w:rPr>
              <w:t xml:space="preserve">15 578,57 </w:t>
            </w:r>
            <w:r w:rsidRPr="00AF0D61">
              <w:rPr>
                <w:sz w:val="24"/>
                <w:szCs w:val="24"/>
              </w:rPr>
              <w:t>руб.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sz w:val="24"/>
                <w:szCs w:val="24"/>
              </w:rPr>
              <w:t xml:space="preserve">Содержательные издержки (изготовление </w:t>
            </w:r>
            <w:r w:rsidR="00227F58" w:rsidRPr="00AF0D61">
              <w:rPr>
                <w:sz w:val="24"/>
                <w:szCs w:val="24"/>
              </w:rPr>
              <w:t>проекта установки ограждения</w:t>
            </w:r>
            <w:r w:rsidRPr="00AF0D61">
              <w:rPr>
                <w:sz w:val="24"/>
                <w:szCs w:val="24"/>
              </w:rPr>
              <w:t xml:space="preserve">) - </w:t>
            </w: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>50 000 руб.</w:t>
            </w:r>
          </w:p>
          <w:p w:rsidR="00B80C5E" w:rsidRPr="00AF0D61" w:rsidRDefault="00B80C5E" w:rsidP="00B80C5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0C5E" w:rsidRPr="00AF0D61" w:rsidRDefault="00B80C5E" w:rsidP="00B80C5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издержек расходы одного субъекта составят -  </w:t>
            </w:r>
          </w:p>
          <w:p w:rsidR="00B80C5E" w:rsidRPr="00AF0D61" w:rsidRDefault="00A643EF" w:rsidP="00B80C5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65 578, 57 </w:t>
            </w:r>
            <w:r w:rsidR="00B80C5E"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F0D6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Информационные издержки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 xml:space="preserve">(расходы на оплату труда, приобретение расходных материалов, транспортные расходы) - </w:t>
            </w:r>
            <w:r w:rsidR="00A643EF" w:rsidRPr="00AF0D61">
              <w:rPr>
                <w:sz w:val="24"/>
                <w:szCs w:val="24"/>
              </w:rPr>
              <w:t xml:space="preserve">15 578,57 </w:t>
            </w:r>
            <w:r w:rsidRPr="00AF0D61">
              <w:rPr>
                <w:sz w:val="24"/>
                <w:szCs w:val="24"/>
              </w:rPr>
              <w:t>руб.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sz w:val="24"/>
                <w:szCs w:val="24"/>
              </w:rPr>
              <w:t xml:space="preserve">Содержательные издержки (изготовление </w:t>
            </w:r>
            <w:r w:rsidR="00227F58" w:rsidRPr="00AF0D61">
              <w:rPr>
                <w:sz w:val="24"/>
                <w:szCs w:val="24"/>
              </w:rPr>
              <w:t>проекта установки ограждения</w:t>
            </w:r>
            <w:r w:rsidRPr="00AF0D61">
              <w:rPr>
                <w:sz w:val="24"/>
                <w:szCs w:val="24"/>
              </w:rPr>
              <w:t xml:space="preserve">) - </w:t>
            </w: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>50 000 руб.</w:t>
            </w:r>
          </w:p>
          <w:p w:rsidR="00B80C5E" w:rsidRPr="00AF0D61" w:rsidRDefault="00B80C5E" w:rsidP="00B80C5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0C5E" w:rsidRPr="00AF0D61" w:rsidRDefault="00B80C5E" w:rsidP="00B80C5E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издержек расходы одного субъекта составят -  </w:t>
            </w:r>
          </w:p>
          <w:p w:rsidR="00B80C5E" w:rsidRPr="00AF0D61" w:rsidRDefault="00A643EF" w:rsidP="00B80C5E">
            <w:pPr>
              <w:contextualSpacing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65 578, 57 </w:t>
            </w:r>
            <w:r w:rsidR="00B80C5E" w:rsidRPr="00AF0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F0D61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80C5E" w:rsidRPr="00AF0D61" w:rsidRDefault="00B80C5E" w:rsidP="00B80C5E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80C5E" w:rsidRPr="00AF0D61" w:rsidTr="00B80C5E">
        <w:tc>
          <w:tcPr>
            <w:tcW w:w="4248" w:type="dxa"/>
          </w:tcPr>
          <w:p w:rsidR="00B80C5E" w:rsidRPr="00AF0D61" w:rsidRDefault="00B80C5E" w:rsidP="00B80C5E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B80C5E" w:rsidRPr="00AF0D61" w:rsidRDefault="00B80C5E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80C5E" w:rsidRPr="00AF0D61" w:rsidRDefault="00B80C5E" w:rsidP="00B80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отсутствует</w:t>
            </w:r>
          </w:p>
        </w:tc>
        <w:tc>
          <w:tcPr>
            <w:tcW w:w="3827" w:type="dxa"/>
          </w:tcPr>
          <w:p w:rsidR="00B80C5E" w:rsidRPr="00AF0D61" w:rsidRDefault="00B80C5E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отсутствует</w:t>
            </w:r>
          </w:p>
        </w:tc>
      </w:tr>
      <w:tr w:rsidR="00C51215" w:rsidRPr="00AF0D61" w:rsidTr="00B80C5E">
        <w:trPr>
          <w:trHeight w:val="461"/>
        </w:trPr>
        <w:tc>
          <w:tcPr>
            <w:tcW w:w="4248" w:type="dxa"/>
          </w:tcPr>
          <w:p w:rsidR="00C51215" w:rsidRPr="00AF0D61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0D61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AF0D61" w:rsidRDefault="00B80C5E" w:rsidP="001701B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оценка рисков неблагоприятных последствий в случае отсутствия правового регулирования приведена в разделе 3.5 отчета</w:t>
            </w:r>
          </w:p>
        </w:tc>
        <w:tc>
          <w:tcPr>
            <w:tcW w:w="4111" w:type="dxa"/>
          </w:tcPr>
          <w:p w:rsidR="00C51215" w:rsidRPr="00AF0D61" w:rsidRDefault="00B80C5E" w:rsidP="00B80C5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0D61">
              <w:rPr>
                <w:sz w:val="24"/>
                <w:szCs w:val="24"/>
              </w:rPr>
              <w:t>отсутствует</w:t>
            </w:r>
          </w:p>
        </w:tc>
        <w:tc>
          <w:tcPr>
            <w:tcW w:w="3827" w:type="dxa"/>
          </w:tcPr>
          <w:p w:rsidR="00B841B1" w:rsidRPr="00AF0D61" w:rsidRDefault="00B841B1" w:rsidP="00B841B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>При применении альтернативного варианта правового регулирования возникают следующие риски:</w:t>
            </w:r>
          </w:p>
          <w:p w:rsidR="00B841B1" w:rsidRPr="00AF0D61" w:rsidRDefault="00B841B1" w:rsidP="00B841B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- отсутствие единого подхода в Правилах благоустройства территории города Сургута к согласованию проектной документации департаментом архитектуры и градостроительства </w:t>
            </w:r>
            <w:r w:rsidRPr="00AF0D61">
              <w:rPr>
                <w:rFonts w:cs="Times New Roman"/>
                <w:sz w:val="24"/>
                <w:szCs w:val="24"/>
              </w:rPr>
              <w:lastRenderedPageBreak/>
              <w:t>Администрации города, а также иными структурными подразделениями Администрации города (на основании отдельных порядков, утвержденных постановлениями Администрации города, осуществляется согласование проектов архитектурно-художественных решений летних кафе при стационарных предприятиях общественного питания на территории города Сургута, проектов архитектурно-художественного освещения и праздничной подсветки фасадов на территории города Сургута, а также эскизных проектов некапитальных строений, сооружений на территории города Сургута);</w:t>
            </w:r>
          </w:p>
          <w:p w:rsidR="00DD5816" w:rsidRPr="00AF0D61" w:rsidRDefault="00B841B1" w:rsidP="00B841B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0D61">
              <w:rPr>
                <w:rFonts w:cs="Times New Roman"/>
                <w:sz w:val="24"/>
                <w:szCs w:val="24"/>
              </w:rPr>
              <w:t xml:space="preserve">- затягивание процедур и сроков внесения изменений в порядок согласования проекта установки ограждения на территории города Сургута, в связи                                                   с необходимостью проведения публичных слушаний при внесении изменений в Правила благоустройства территории города Сургута, в соответствии со статьей 5.1 Градостроительного кодекса Российской Федерации, а также решением Думы города от 10.07.2018 № 304-VI ДГ «Об утверждении Порядка организации и проведения общественных обсуждений или публичных </w:t>
            </w:r>
            <w:r w:rsidRPr="00AF0D61">
              <w:rPr>
                <w:rFonts w:cs="Times New Roman"/>
                <w:sz w:val="24"/>
                <w:szCs w:val="24"/>
              </w:rPr>
              <w:lastRenderedPageBreak/>
              <w:t>слушаний по вопросам градостроительной деятельности в городе Сургуте».</w:t>
            </w:r>
          </w:p>
        </w:tc>
      </w:tr>
    </w:tbl>
    <w:p w:rsidR="00C51215" w:rsidRPr="00AF0D61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A332A2" w:rsidRPr="00AF0D61" w:rsidRDefault="00A332A2" w:rsidP="00C51215">
      <w:pPr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AF0D61">
        <w:rPr>
          <w:rFonts w:cs="Times New Roman"/>
          <w:sz w:val="24"/>
          <w:szCs w:val="24"/>
        </w:rPr>
        <w:t>8.6. Обоснование выбора предпочтительного варианта решения выявленной проблемы:</w:t>
      </w:r>
    </w:p>
    <w:p w:rsidR="00E858F4" w:rsidRPr="00AF0D61" w:rsidRDefault="00E858F4" w:rsidP="00A332A2">
      <w:pPr>
        <w:autoSpaceDE w:val="0"/>
        <w:autoSpaceDN w:val="0"/>
        <w:ind w:firstLine="709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F0D6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</w:t>
      </w:r>
    </w:p>
    <w:p w:rsidR="00C51215" w:rsidRPr="00AF0D61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C51215" w:rsidRPr="00AF0D61" w:rsidRDefault="00C51215" w:rsidP="00C51215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AF0D61">
        <w:rPr>
          <w:rFonts w:cs="Times New Roman"/>
          <w:sz w:val="24"/>
          <w:szCs w:val="24"/>
        </w:rPr>
        <w:t>Приложения: </w:t>
      </w:r>
    </w:p>
    <w:p w:rsidR="001375D8" w:rsidRPr="00AF0D61" w:rsidRDefault="001375D8" w:rsidP="001375D8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AF0D61">
        <w:rPr>
          <w:rFonts w:cs="Times New Roman"/>
          <w:sz w:val="24"/>
          <w:szCs w:val="24"/>
        </w:rPr>
        <w:t>1. Свод предложений о результатах проведения публичных консультаций.</w:t>
      </w:r>
    </w:p>
    <w:p w:rsidR="00C51215" w:rsidRPr="00AF0D61" w:rsidRDefault="001375D8" w:rsidP="001375D8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AF0D61">
        <w:rPr>
          <w:rFonts w:cs="Times New Roman"/>
          <w:sz w:val="24"/>
          <w:szCs w:val="24"/>
        </w:rPr>
        <w:t>2. Расчет расходов субъектов предпринимательской и иной экономической деятельности.</w:t>
      </w:r>
    </w:p>
    <w:bookmarkEnd w:id="0"/>
    <w:bookmarkEnd w:id="1"/>
    <w:p w:rsidR="005D6E52" w:rsidRPr="00AF0D61" w:rsidRDefault="005D6E52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D6E52" w:rsidRPr="00AF0D61" w:rsidRDefault="005D6E52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D6E52" w:rsidRPr="00AF0D61" w:rsidRDefault="005D6E52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D6E52" w:rsidRPr="00AF0D61" w:rsidRDefault="005D6E52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5D6E52" w:rsidRPr="00AF0D61" w:rsidSect="00413F23">
          <w:pgSz w:w="16838" w:h="11906" w:orient="landscape" w:code="9"/>
          <w:pgMar w:top="567" w:right="1021" w:bottom="851" w:left="1134" w:header="720" w:footer="720" w:gutter="0"/>
          <w:cols w:space="720"/>
          <w:noEndnote/>
          <w:docGrid w:linePitch="326"/>
        </w:sectPr>
      </w:pPr>
      <w:r w:rsidRPr="00AF0D61">
        <w:rPr>
          <w:rFonts w:eastAsia="Times New Roman" w:cs="Times New Roman"/>
          <w:szCs w:val="28"/>
          <w:lang w:eastAsia="ru-RU"/>
        </w:rPr>
        <w:br w:type="page"/>
      </w:r>
    </w:p>
    <w:p w:rsidR="005D6E52" w:rsidRPr="00AF0D61" w:rsidRDefault="005D6E52" w:rsidP="005D6E52">
      <w:pPr>
        <w:ind w:left="6379"/>
        <w:rPr>
          <w:rFonts w:cs="Times New Roman"/>
          <w:color w:val="000000"/>
          <w:szCs w:val="28"/>
          <w:shd w:val="clear" w:color="auto" w:fill="FFFFFF"/>
        </w:rPr>
      </w:pPr>
      <w:r w:rsidRPr="00AF0D61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Приложение </w:t>
      </w:r>
    </w:p>
    <w:p w:rsidR="005D6E52" w:rsidRPr="00AF0D61" w:rsidRDefault="005D6E52" w:rsidP="005D6E52">
      <w:pPr>
        <w:ind w:left="6379"/>
        <w:rPr>
          <w:rFonts w:cs="Times New Roman"/>
          <w:color w:val="000000"/>
          <w:szCs w:val="28"/>
          <w:shd w:val="clear" w:color="auto" w:fill="FFFFFF"/>
        </w:rPr>
      </w:pPr>
      <w:r w:rsidRPr="00AF0D61">
        <w:rPr>
          <w:rFonts w:cs="Times New Roman"/>
          <w:color w:val="000000"/>
          <w:szCs w:val="28"/>
          <w:shd w:val="clear" w:color="auto" w:fill="FFFFFF"/>
        </w:rPr>
        <w:t xml:space="preserve">к сводному отчету </w:t>
      </w:r>
    </w:p>
    <w:p w:rsidR="005D6E52" w:rsidRPr="00AF0D61" w:rsidRDefault="005D6E52" w:rsidP="005D6E52">
      <w:pPr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621A13" w:rsidRPr="00AF0D61" w:rsidRDefault="00621A13" w:rsidP="00621A13">
      <w:pPr>
        <w:ind w:firstLine="709"/>
        <w:jc w:val="center"/>
        <w:rPr>
          <w:rFonts w:eastAsia="Calibri"/>
        </w:rPr>
      </w:pPr>
      <w:r w:rsidRPr="00AF0D61">
        <w:t xml:space="preserve">Расчет расходов субъектов предпринимательской и иной экономической  деятельности, связанный с необходимостью соблюдения </w:t>
      </w:r>
      <w:r w:rsidRPr="00AF0D61">
        <w:rPr>
          <w:rFonts w:eastAsia="Calibri"/>
        </w:rPr>
        <w:t>установленных нормативным правовым актом обязанностей</w:t>
      </w:r>
    </w:p>
    <w:p w:rsidR="00621A13" w:rsidRPr="00AF0D61" w:rsidRDefault="00621A13" w:rsidP="00621A13">
      <w:pPr>
        <w:ind w:firstLine="709"/>
        <w:jc w:val="center"/>
        <w:rPr>
          <w:color w:val="000000"/>
          <w:shd w:val="clear" w:color="auto" w:fill="FFFFFF"/>
        </w:rPr>
      </w:pPr>
    </w:p>
    <w:p w:rsidR="00621A13" w:rsidRPr="00AF0D61" w:rsidRDefault="00621A13" w:rsidP="00621A13">
      <w:pPr>
        <w:ind w:firstLine="709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 w:rsidRPr="00AF0D61">
        <w:rPr>
          <w:b/>
          <w:bCs/>
          <w:i/>
          <w:color w:val="000000"/>
          <w:lang w:val="en-US"/>
        </w:rPr>
        <w:t>I</w:t>
      </w:r>
      <w:r w:rsidRPr="00AF0D61">
        <w:rPr>
          <w:b/>
          <w:bCs/>
          <w:i/>
          <w:color w:val="000000"/>
        </w:rPr>
        <w:t>. Информационные издержки (на одного субъекта)</w:t>
      </w:r>
    </w:p>
    <w:p w:rsidR="00621A13" w:rsidRPr="00AF0D61" w:rsidRDefault="00621A13" w:rsidP="00621A13">
      <w:pPr>
        <w:ind w:firstLine="567"/>
        <w:contextualSpacing/>
        <w:jc w:val="both"/>
      </w:pPr>
    </w:p>
    <w:p w:rsidR="00621A13" w:rsidRPr="00AF0D61" w:rsidRDefault="00621A13" w:rsidP="00621A13">
      <w:pPr>
        <w:ind w:firstLine="709"/>
        <w:jc w:val="center"/>
        <w:rPr>
          <w:b/>
          <w:bCs/>
          <w:color w:val="000000"/>
        </w:rPr>
      </w:pPr>
      <w:r w:rsidRPr="00AF0D61">
        <w:rPr>
          <w:b/>
          <w:bCs/>
          <w:color w:val="000000"/>
        </w:rPr>
        <w:t>1 этап. Выделение информационных требований</w:t>
      </w:r>
    </w:p>
    <w:p w:rsidR="00621A13" w:rsidRPr="00AF0D61" w:rsidRDefault="00621A13" w:rsidP="00621A13">
      <w:pPr>
        <w:ind w:firstLine="709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621A13" w:rsidRPr="00AF0D61" w:rsidRDefault="00621A13" w:rsidP="00621A13">
      <w:pPr>
        <w:ind w:firstLine="567"/>
        <w:jc w:val="both"/>
        <w:rPr>
          <w:rFonts w:eastAsia="Calibri"/>
        </w:rPr>
      </w:pPr>
      <w:r w:rsidRPr="00AF0D61">
        <w:rPr>
          <w:rFonts w:eastAsia="Calibri"/>
        </w:rPr>
        <w:t xml:space="preserve">1) Пунктом 1 раздела </w:t>
      </w:r>
      <w:r w:rsidRPr="00AF0D61">
        <w:t>II</w:t>
      </w:r>
      <w:r w:rsidRPr="00AF0D61">
        <w:rPr>
          <w:rFonts w:eastAsia="Calibri"/>
        </w:rPr>
        <w:t xml:space="preserve"> приложения 2 к постановлению предусмотрено предоставление пакета документов.</w:t>
      </w:r>
    </w:p>
    <w:p w:rsidR="00621A13" w:rsidRPr="00AF0D61" w:rsidRDefault="00621A13" w:rsidP="00621A13">
      <w:pPr>
        <w:ind w:firstLine="567"/>
        <w:jc w:val="both"/>
        <w:rPr>
          <w:rFonts w:eastAsia="Calibri"/>
        </w:rPr>
      </w:pPr>
      <w:r w:rsidRPr="00AF0D61">
        <w:rPr>
          <w:rFonts w:eastAsia="Calibri"/>
        </w:rPr>
        <w:t>2) Пунктом 2 раздела III приложения 2 к постановлению после получения мотивированного отказа в согласовании проекта установки ограждения заявитель вправе направить исправленные документы в департамент архитектуры.</w:t>
      </w:r>
    </w:p>
    <w:p w:rsidR="00621A13" w:rsidRPr="00AF0D61" w:rsidRDefault="00621A13" w:rsidP="00621A13">
      <w:pPr>
        <w:ind w:right="114" w:firstLine="709"/>
        <w:contextualSpacing/>
        <w:jc w:val="both"/>
        <w:rPr>
          <w:b/>
          <w:bCs/>
          <w:color w:val="000000"/>
        </w:rPr>
      </w:pPr>
    </w:p>
    <w:p w:rsidR="00621A13" w:rsidRPr="00AF0D61" w:rsidRDefault="00621A13" w:rsidP="00621A13">
      <w:pPr>
        <w:ind w:right="114" w:firstLine="709"/>
        <w:contextualSpacing/>
        <w:jc w:val="center"/>
        <w:rPr>
          <w:b/>
          <w:bCs/>
          <w:color w:val="000000"/>
        </w:rPr>
      </w:pPr>
      <w:r w:rsidRPr="00AF0D61">
        <w:rPr>
          <w:b/>
          <w:bCs/>
          <w:color w:val="000000"/>
        </w:rPr>
        <w:t>2 этап. Выделение информационных элементов</w:t>
      </w:r>
    </w:p>
    <w:p w:rsidR="00621A13" w:rsidRPr="00AF0D61" w:rsidRDefault="00621A13" w:rsidP="00621A13">
      <w:pPr>
        <w:ind w:right="114" w:firstLine="709"/>
        <w:contextualSpacing/>
        <w:jc w:val="both"/>
        <w:rPr>
          <w:iCs/>
        </w:rPr>
      </w:pP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1. Пунктом 1 раздела II приложения 2 проекта постановления предусмотрено</w:t>
      </w:r>
      <w:r w:rsidR="00C77141" w:rsidRPr="00AF0D61">
        <w:rPr>
          <w:iCs/>
        </w:rPr>
        <w:t>, что для</w:t>
      </w:r>
      <w:r w:rsidRPr="00AF0D61">
        <w:rPr>
          <w:iCs/>
        </w:rPr>
        <w:t xml:space="preserve"> </w:t>
      </w:r>
      <w:r w:rsidR="00C77141" w:rsidRPr="00AF0D61">
        <w:rPr>
          <w:iCs/>
        </w:rPr>
        <w:t>согласования проекта установки ограждения заявитель обращается                                        в департамент архитектуры лично либо направляет на электронную почту (dag@admsurgut.ru) следующие документы: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 xml:space="preserve">1) Заявление по форме согласно приложению к настоящему порядку, 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</w:t>
      </w:r>
      <w:r w:rsidRPr="00AF0D61">
        <w:rPr>
          <w:iCs/>
        </w:rPr>
        <w:br/>
        <w:t>(по доверенности).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2) Данные о заявителе – физическом лице (документ, удостоверяющий личность)</w:t>
      </w:r>
      <w:r w:rsidR="00BC4193" w:rsidRPr="00AF0D61">
        <w:rPr>
          <w:iCs/>
        </w:rPr>
        <w:t>,</w:t>
      </w:r>
      <w:r w:rsidR="00BC4193" w:rsidRPr="00AF0D61">
        <w:t xml:space="preserve"> </w:t>
      </w:r>
      <w:r w:rsidR="00BC4193" w:rsidRPr="00AF0D61">
        <w:rPr>
          <w:iCs/>
        </w:rPr>
        <w:t>при личном обращении</w:t>
      </w:r>
      <w:r w:rsidRPr="00AF0D61">
        <w:rPr>
          <w:iCs/>
        </w:rPr>
        <w:t>.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3) Копия документа, подтверждающая полномочия представителя заявителя (в случае, если от имени заявителя обращается представитель заявителя).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4) Копия согласия собственника или иного законного владельца земельного участка на установку ограждения, если заявитель не является его собственником или иным законным владельцем.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 xml:space="preserve">5) Копия согласия собственников земельного участка на установку ограждения, при наличии нескольких собственников.  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6) Копия согласия собственников и правообладателей инженерных сетей и коммуникаций, в случае размещения ограждения на инженерных сетях и коммуникациях.</w:t>
      </w:r>
    </w:p>
    <w:p w:rsidR="00621A13" w:rsidRPr="00AF0D61" w:rsidRDefault="005674C1" w:rsidP="00621A13">
      <w:pPr>
        <w:ind w:firstLine="709"/>
        <w:jc w:val="both"/>
        <w:rPr>
          <w:iCs/>
        </w:rPr>
      </w:pPr>
      <w:r w:rsidRPr="00AF0D61">
        <w:rPr>
          <w:iCs/>
        </w:rPr>
        <w:t>7</w:t>
      </w:r>
      <w:r w:rsidR="00621A13" w:rsidRPr="00AF0D61">
        <w:rPr>
          <w:iCs/>
        </w:rPr>
        <w:t>) Проект установки ограждения.</w:t>
      </w:r>
    </w:p>
    <w:p w:rsidR="00621A13" w:rsidRPr="00AF0D61" w:rsidRDefault="00621A13" w:rsidP="00621A13">
      <w:pPr>
        <w:ind w:firstLine="709"/>
        <w:jc w:val="both"/>
        <w:rPr>
          <w:iCs/>
        </w:rPr>
      </w:pPr>
      <w:r w:rsidRPr="00AF0D61">
        <w:rPr>
          <w:iCs/>
        </w:rPr>
        <w:t>2. Согласно, разделу III приложения 2 проекта постановления после получения мотивированного отказа в согласовании проекта установки ограждения заявитель вправе направить исправленные документы в департамент архитектуры.</w:t>
      </w:r>
    </w:p>
    <w:p w:rsidR="00C77141" w:rsidRPr="00AF0D61" w:rsidRDefault="00C77141" w:rsidP="00621A13">
      <w:pPr>
        <w:ind w:firstLine="709"/>
        <w:jc w:val="center"/>
        <w:rPr>
          <w:b/>
          <w:bCs/>
        </w:rPr>
      </w:pPr>
    </w:p>
    <w:p w:rsidR="001D33FE" w:rsidRPr="00AF0D61" w:rsidRDefault="001D33FE" w:rsidP="00621A13">
      <w:pPr>
        <w:ind w:firstLine="709"/>
        <w:jc w:val="center"/>
        <w:rPr>
          <w:b/>
          <w:bCs/>
        </w:rPr>
      </w:pPr>
    </w:p>
    <w:p w:rsidR="001D33FE" w:rsidRPr="00AF0D61" w:rsidRDefault="001D33FE" w:rsidP="00621A13">
      <w:pPr>
        <w:ind w:firstLine="709"/>
        <w:jc w:val="center"/>
        <w:rPr>
          <w:b/>
          <w:bCs/>
        </w:rPr>
      </w:pPr>
    </w:p>
    <w:p w:rsidR="00621A13" w:rsidRPr="00AF0D61" w:rsidRDefault="00621A13" w:rsidP="00621A13">
      <w:pPr>
        <w:ind w:firstLine="709"/>
        <w:jc w:val="center"/>
        <w:rPr>
          <w:b/>
          <w:bCs/>
        </w:rPr>
      </w:pPr>
      <w:r w:rsidRPr="00AF0D61">
        <w:rPr>
          <w:b/>
          <w:bCs/>
        </w:rPr>
        <w:lastRenderedPageBreak/>
        <w:t>3 этап. Показатели масштаба информационных требований</w:t>
      </w:r>
    </w:p>
    <w:p w:rsidR="00621A13" w:rsidRPr="00AF0D61" w:rsidRDefault="00621A13" w:rsidP="00621A13">
      <w:pPr>
        <w:ind w:firstLine="709"/>
        <w:jc w:val="center"/>
        <w:rPr>
          <w:rFonts w:ascii="yandex-sans" w:hAnsi="yandex-sans"/>
          <w:b/>
          <w:sz w:val="23"/>
          <w:szCs w:val="23"/>
        </w:rPr>
      </w:pPr>
    </w:p>
    <w:p w:rsidR="00621A13" w:rsidRPr="00AF0D61" w:rsidRDefault="00621A13" w:rsidP="00621A13">
      <w:pPr>
        <w:ind w:firstLine="709"/>
        <w:jc w:val="both"/>
      </w:pPr>
      <w:r w:rsidRPr="00AF0D61">
        <w:t>Данные расчеты произведены для:</w:t>
      </w:r>
    </w:p>
    <w:p w:rsidR="00621A13" w:rsidRPr="00AF0D61" w:rsidRDefault="00621A13" w:rsidP="00621A13">
      <w:pPr>
        <w:ind w:firstLine="709"/>
        <w:jc w:val="both"/>
      </w:pPr>
      <w:r w:rsidRPr="00AF0D61">
        <w:t>1 заявителя (сотрудник, занятый реализацией требований);</w:t>
      </w:r>
    </w:p>
    <w:p w:rsidR="00621A13" w:rsidRPr="00AF0D61" w:rsidRDefault="00621A13" w:rsidP="00621A13">
      <w:pPr>
        <w:ind w:firstLine="709"/>
        <w:jc w:val="both"/>
      </w:pPr>
      <w:r w:rsidRPr="00AF0D61">
        <w:t>1 пакет документов.</w:t>
      </w:r>
    </w:p>
    <w:p w:rsidR="00621A13" w:rsidRPr="00AF0D61" w:rsidRDefault="00621A13" w:rsidP="00621A13">
      <w:pPr>
        <w:ind w:firstLine="709"/>
        <w:jc w:val="both"/>
        <w:rPr>
          <w:rFonts w:ascii="yandex-sans" w:hAnsi="yandex-sans"/>
          <w:sz w:val="23"/>
          <w:szCs w:val="23"/>
        </w:rPr>
      </w:pPr>
    </w:p>
    <w:p w:rsidR="00621A13" w:rsidRPr="00AF0D61" w:rsidRDefault="00621A13" w:rsidP="00621A13">
      <w:pPr>
        <w:ind w:firstLine="709"/>
        <w:jc w:val="center"/>
        <w:rPr>
          <w:b/>
          <w:bCs/>
        </w:rPr>
      </w:pPr>
      <w:r w:rsidRPr="00AF0D61">
        <w:rPr>
          <w:b/>
          <w:bCs/>
        </w:rPr>
        <w:t>4 этап. Частота выполнения информационных требований</w:t>
      </w:r>
    </w:p>
    <w:p w:rsidR="00621A13" w:rsidRPr="00AF0D61" w:rsidRDefault="00621A13" w:rsidP="00621A13">
      <w:pPr>
        <w:ind w:firstLine="709"/>
        <w:jc w:val="center"/>
        <w:rPr>
          <w:b/>
          <w:bCs/>
        </w:rPr>
      </w:pPr>
    </w:p>
    <w:p w:rsidR="00621A13" w:rsidRPr="00AF0D61" w:rsidRDefault="00621A13" w:rsidP="00621A13">
      <w:pPr>
        <w:ind w:firstLine="709"/>
        <w:jc w:val="both"/>
      </w:pPr>
      <w:r w:rsidRPr="00AF0D61">
        <w:t>1) Документы для согласования эскизного проекта предоставляются заявителем 1 раз.</w:t>
      </w:r>
    </w:p>
    <w:p w:rsidR="00621A13" w:rsidRPr="00AF0D61" w:rsidRDefault="00621A13" w:rsidP="00621A13">
      <w:pPr>
        <w:ind w:firstLine="709"/>
        <w:jc w:val="both"/>
      </w:pPr>
      <w:r w:rsidRPr="00AF0D61">
        <w:t>Частота выполнения – 1.</w:t>
      </w:r>
    </w:p>
    <w:p w:rsidR="00621A13" w:rsidRPr="00AF0D61" w:rsidRDefault="00621A13" w:rsidP="00621A13">
      <w:pPr>
        <w:ind w:firstLine="709"/>
        <w:jc w:val="both"/>
      </w:pPr>
      <w:r w:rsidRPr="00AF0D61">
        <w:t>2) Повторное предоставление документов осуществляется 1 раз.</w:t>
      </w:r>
    </w:p>
    <w:p w:rsidR="00621A13" w:rsidRPr="00AF0D61" w:rsidRDefault="00621A13" w:rsidP="00621A13">
      <w:pPr>
        <w:ind w:firstLine="709"/>
        <w:jc w:val="both"/>
      </w:pPr>
      <w:r w:rsidRPr="00AF0D61">
        <w:t>Частота выполнения – 1.</w:t>
      </w:r>
    </w:p>
    <w:p w:rsidR="00621A13" w:rsidRPr="00AF0D61" w:rsidRDefault="00621A13" w:rsidP="00621A13">
      <w:pPr>
        <w:ind w:firstLine="709"/>
        <w:jc w:val="both"/>
        <w:rPr>
          <w:rFonts w:ascii="yandex-sans" w:hAnsi="yandex-sans"/>
          <w:sz w:val="23"/>
          <w:szCs w:val="23"/>
        </w:rPr>
      </w:pPr>
    </w:p>
    <w:p w:rsidR="00621A13" w:rsidRPr="00AF0D61" w:rsidRDefault="00621A13" w:rsidP="00621A13">
      <w:pPr>
        <w:ind w:firstLine="709"/>
        <w:jc w:val="center"/>
        <w:rPr>
          <w:b/>
        </w:rPr>
      </w:pPr>
      <w:r w:rsidRPr="00AF0D61">
        <w:rPr>
          <w:b/>
        </w:rPr>
        <w:t xml:space="preserve">5 этап. Затраты рабочего времени, необходимые на выполнение </w:t>
      </w:r>
    </w:p>
    <w:p w:rsidR="00621A13" w:rsidRPr="00AF0D61" w:rsidRDefault="00621A13" w:rsidP="00621A13">
      <w:pPr>
        <w:ind w:firstLine="709"/>
        <w:jc w:val="center"/>
        <w:rPr>
          <w:b/>
        </w:rPr>
      </w:pPr>
      <w:r w:rsidRPr="00AF0D61">
        <w:rPr>
          <w:b/>
        </w:rPr>
        <w:t>информационных требований</w:t>
      </w:r>
    </w:p>
    <w:p w:rsidR="00621A13" w:rsidRPr="00AF0D61" w:rsidRDefault="00621A13" w:rsidP="00621A13">
      <w:pPr>
        <w:ind w:firstLine="709"/>
        <w:jc w:val="center"/>
        <w:rPr>
          <w:b/>
        </w:rPr>
      </w:pPr>
    </w:p>
    <w:p w:rsidR="00621A13" w:rsidRPr="00AF0D61" w:rsidRDefault="00621A13" w:rsidP="00621A13">
      <w:pPr>
        <w:ind w:firstLine="709"/>
        <w:jc w:val="both"/>
      </w:pPr>
      <w:r w:rsidRPr="00AF0D61">
        <w:t>Расчет трудозатрат:</w:t>
      </w:r>
    </w:p>
    <w:p w:rsidR="00621A13" w:rsidRPr="00AF0D61" w:rsidRDefault="00621A13" w:rsidP="00621A13">
      <w:pPr>
        <w:ind w:firstLine="709"/>
        <w:jc w:val="both"/>
      </w:pPr>
      <w:r w:rsidRPr="00AF0D61">
        <w:t>Тит= (п раб. * t)/ продолжительностью рабочего дня, где:</w:t>
      </w:r>
    </w:p>
    <w:p w:rsidR="00621A13" w:rsidRPr="00AF0D61" w:rsidRDefault="00621A13" w:rsidP="00621A13">
      <w:pPr>
        <w:ind w:firstLine="709"/>
        <w:jc w:val="both"/>
      </w:pPr>
      <w:r w:rsidRPr="00AF0D61">
        <w:t>п раб. – число работников, участвующих в работе;</w:t>
      </w:r>
    </w:p>
    <w:p w:rsidR="00621A13" w:rsidRPr="00AF0D61" w:rsidRDefault="00621A13" w:rsidP="00621A13">
      <w:pPr>
        <w:ind w:firstLine="709"/>
        <w:jc w:val="both"/>
      </w:pPr>
      <w:r w:rsidRPr="00AF0D61">
        <w:t>t – продолжительность времени в часах или днях, затраченных на выполнение работ (услуг).</w:t>
      </w:r>
    </w:p>
    <w:p w:rsidR="00621A13" w:rsidRPr="00AF0D61" w:rsidRDefault="005846AB" w:rsidP="00621A13">
      <w:pPr>
        <w:pStyle w:val="afff5"/>
        <w:ind w:left="0" w:firstLine="709"/>
        <w:jc w:val="center"/>
        <w:rPr>
          <w:rFonts w:ascii="Times New Roman" w:eastAsiaTheme="minorHAnsi" w:hAnsi="Times New Roman" w:cstheme="minorBidi"/>
          <w:color w:val="FF0000"/>
          <w:sz w:val="28"/>
          <w:szCs w:val="22"/>
          <w:lang w:eastAsia="en-US"/>
        </w:rPr>
      </w:pPr>
      <w:r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>ТЗ = (1 * 1</w:t>
      </w:r>
      <w:r w:rsidR="00283092"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>3</w:t>
      </w:r>
      <w:r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часов) / 8= 1,</w:t>
      </w:r>
      <w:r w:rsidR="001D33FE"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>62</w:t>
      </w:r>
      <w:r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>5 человеко-дней = 1</w:t>
      </w:r>
      <w:r w:rsidR="00283092"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>3</w:t>
      </w:r>
      <w:r w:rsidRPr="00AF0D61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часов</w:t>
      </w:r>
    </w:p>
    <w:p w:rsidR="005846AB" w:rsidRPr="00AF0D61" w:rsidRDefault="005846AB" w:rsidP="00621A13">
      <w:pPr>
        <w:pStyle w:val="afff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A13" w:rsidRPr="00AF0D61" w:rsidRDefault="00621A13" w:rsidP="00621A13">
      <w:pPr>
        <w:ind w:firstLine="567"/>
        <w:jc w:val="both"/>
      </w:pPr>
      <w:r w:rsidRPr="00AF0D61">
        <w:t>В качестве заработной платы взята среднемесячная номинальная начисленная заработная плата одного работника 2024 год 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на 2024 год и на плановый период 2025 – 2026 годов»), которая составляет 135 703 руб.</w:t>
      </w:r>
    </w:p>
    <w:p w:rsidR="00621A13" w:rsidRPr="00AF0D61" w:rsidRDefault="00621A13" w:rsidP="00621A13">
      <w:pPr>
        <w:ind w:firstLine="567"/>
      </w:pPr>
      <w:r w:rsidRPr="00AF0D61">
        <w:t xml:space="preserve">Заработная плата 1 сотрудника в 2024 году = </w:t>
      </w:r>
      <w:r w:rsidRPr="00AF0D61">
        <w:rPr>
          <w:color w:val="000000" w:themeColor="text1"/>
        </w:rPr>
        <w:t>135 703 руб</w:t>
      </w:r>
      <w:r w:rsidRPr="00AF0D61">
        <w:t>.</w:t>
      </w:r>
    </w:p>
    <w:p w:rsidR="00621A13" w:rsidRPr="00AF0D61" w:rsidRDefault="00621A13" w:rsidP="00621A13">
      <w:pPr>
        <w:ind w:firstLine="567"/>
      </w:pPr>
      <w:r w:rsidRPr="00AF0D61">
        <w:t>Рабочий месяц = 22 раб. дня = 176 часов (8-часовой рабочий день).</w:t>
      </w:r>
    </w:p>
    <w:p w:rsidR="00621A13" w:rsidRPr="00AF0D61" w:rsidRDefault="00621A13" w:rsidP="00621A13">
      <w:pPr>
        <w:ind w:firstLine="567"/>
      </w:pPr>
      <w:r w:rsidRPr="00AF0D61">
        <w:t>Средняя стоимость работы часа = 135 703/176 = 771,04 руб.</w:t>
      </w:r>
    </w:p>
    <w:p w:rsidR="00621A13" w:rsidRPr="00AF0D61" w:rsidRDefault="00621A13" w:rsidP="00621A13">
      <w:pPr>
        <w:ind w:firstLine="567"/>
      </w:pPr>
      <w:r w:rsidRPr="00AF0D61">
        <w:t>Средняя стоимость работы в час со страховыми взносами во внебюджетные фонды 30,2 % = 1003,89 руб.</w:t>
      </w:r>
    </w:p>
    <w:p w:rsidR="00621A13" w:rsidRPr="00AF0D61" w:rsidRDefault="00621A13" w:rsidP="00621A13"/>
    <w:p w:rsidR="00621A13" w:rsidRPr="00AF0D61" w:rsidRDefault="00621A13" w:rsidP="00621A13">
      <w:pPr>
        <w:tabs>
          <w:tab w:val="left" w:pos="851"/>
        </w:tabs>
        <w:ind w:firstLine="567"/>
        <w:jc w:val="both"/>
      </w:pPr>
      <w:r w:rsidRPr="00AF0D61">
        <w:t>Для реализации информационных элементов, определенных во 2 этапе, необходимы следующие административные действия:</w:t>
      </w:r>
    </w:p>
    <w:p w:rsidR="00621A13" w:rsidRPr="00AF0D61" w:rsidRDefault="00621A13" w:rsidP="00621A13">
      <w:pPr>
        <w:tabs>
          <w:tab w:val="left" w:pos="851"/>
        </w:tabs>
        <w:ind w:firstLine="567"/>
        <w:jc w:val="both"/>
      </w:pPr>
      <w:r w:rsidRPr="00AF0D61">
        <w:t>1.</w:t>
      </w:r>
      <w:r w:rsidRPr="00AF0D61">
        <w:tab/>
        <w:t>Подготовка (формирование) и предоставление заявления.</w:t>
      </w:r>
    </w:p>
    <w:p w:rsidR="00621A13" w:rsidRPr="00AF0D61" w:rsidRDefault="00621A13" w:rsidP="00621A13">
      <w:pPr>
        <w:tabs>
          <w:tab w:val="left" w:pos="851"/>
        </w:tabs>
        <w:ind w:firstLine="567"/>
        <w:jc w:val="both"/>
      </w:pPr>
      <w:r w:rsidRPr="00AF0D61">
        <w:t>2. Получение (поиск), копирование и предоставление документов.</w:t>
      </w:r>
    </w:p>
    <w:p w:rsidR="00621A13" w:rsidRPr="00AF0D61" w:rsidRDefault="00621A13" w:rsidP="00621A13">
      <w:pPr>
        <w:ind w:firstLine="567"/>
        <w:jc w:val="both"/>
      </w:pPr>
      <w:r w:rsidRPr="00AF0D61">
        <w:t xml:space="preserve">Подготовка (формирование) и предоставление заявления, получение (поиск), копирование и предоставление документов - займет в среднем </w:t>
      </w:r>
      <w:r w:rsidR="005846AB" w:rsidRPr="00AF0D61">
        <w:t>1</w:t>
      </w:r>
      <w:r w:rsidR="00283092" w:rsidRPr="00AF0D61">
        <w:t>3</w:t>
      </w:r>
      <w:r w:rsidRPr="00AF0D61">
        <w:t xml:space="preserve"> часов.</w:t>
      </w:r>
    </w:p>
    <w:p w:rsidR="00621A13" w:rsidRPr="00AF0D61" w:rsidRDefault="00621A13" w:rsidP="00621A13">
      <w:pPr>
        <w:ind w:firstLine="567"/>
        <w:jc w:val="both"/>
      </w:pPr>
      <w:r w:rsidRPr="00AF0D61">
        <w:t xml:space="preserve">Оплата составит: </w:t>
      </w:r>
    </w:p>
    <w:p w:rsidR="00621A13" w:rsidRPr="00AF0D61" w:rsidRDefault="00283092" w:rsidP="00621A13">
      <w:pPr>
        <w:ind w:firstLine="567"/>
        <w:jc w:val="center"/>
        <w:rPr>
          <w:b/>
        </w:rPr>
      </w:pPr>
      <w:r w:rsidRPr="00AF0D61">
        <w:rPr>
          <w:b/>
        </w:rPr>
        <w:t>T= 13</w:t>
      </w:r>
      <w:r w:rsidR="005846AB" w:rsidRPr="00AF0D61">
        <w:rPr>
          <w:b/>
        </w:rPr>
        <w:t>*1003,89 = 1</w:t>
      </w:r>
      <w:r w:rsidRPr="00AF0D61">
        <w:rPr>
          <w:b/>
        </w:rPr>
        <w:t>3</w:t>
      </w:r>
      <w:r w:rsidR="00621A13" w:rsidRPr="00AF0D61">
        <w:rPr>
          <w:b/>
        </w:rPr>
        <w:t xml:space="preserve"> 0</w:t>
      </w:r>
      <w:r w:rsidR="005846AB" w:rsidRPr="00AF0D61">
        <w:rPr>
          <w:b/>
        </w:rPr>
        <w:t>5</w:t>
      </w:r>
      <w:r w:rsidRPr="00AF0D61">
        <w:rPr>
          <w:b/>
        </w:rPr>
        <w:t>0</w:t>
      </w:r>
      <w:r w:rsidR="00621A13" w:rsidRPr="00AF0D61">
        <w:rPr>
          <w:b/>
        </w:rPr>
        <w:t>,</w:t>
      </w:r>
      <w:r w:rsidRPr="00AF0D61">
        <w:rPr>
          <w:b/>
        </w:rPr>
        <w:t>57</w:t>
      </w:r>
      <w:r w:rsidR="00621A13" w:rsidRPr="00AF0D61">
        <w:rPr>
          <w:b/>
        </w:rPr>
        <w:t xml:space="preserve"> руб.</w:t>
      </w:r>
    </w:p>
    <w:p w:rsidR="00621A13" w:rsidRPr="00AF0D61" w:rsidRDefault="00621A13" w:rsidP="00621A13">
      <w:pPr>
        <w:ind w:firstLine="709"/>
        <w:jc w:val="both"/>
      </w:pPr>
    </w:p>
    <w:p w:rsidR="00621A13" w:rsidRPr="00AF0D61" w:rsidRDefault="00621A13" w:rsidP="00621A13">
      <w:pPr>
        <w:ind w:firstLine="709"/>
        <w:jc w:val="center"/>
        <w:rPr>
          <w:b/>
        </w:rPr>
      </w:pPr>
      <w:r w:rsidRPr="00AF0D61">
        <w:rPr>
          <w:b/>
        </w:rPr>
        <w:t xml:space="preserve">6 этап. Стоимость приобретений, необходимых для выполнения </w:t>
      </w:r>
    </w:p>
    <w:p w:rsidR="00621A13" w:rsidRPr="00AF0D61" w:rsidRDefault="00621A13" w:rsidP="00621A13">
      <w:pPr>
        <w:ind w:firstLine="709"/>
        <w:jc w:val="center"/>
        <w:rPr>
          <w:b/>
        </w:rPr>
      </w:pPr>
      <w:r w:rsidRPr="00AF0D61">
        <w:rPr>
          <w:b/>
        </w:rPr>
        <w:t>информационных требований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lastRenderedPageBreak/>
        <w:t>Картридж – 2 000 руб./шт.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Пачка бумаги (А4) – 400 руб./пачка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F0D61">
        <w:rPr>
          <w:b/>
          <w:color w:val="000000"/>
          <w:sz w:val="28"/>
          <w:szCs w:val="28"/>
        </w:rPr>
        <w:t>А</w:t>
      </w:r>
      <w:r w:rsidRPr="00AF0D61">
        <w:rPr>
          <w:b/>
          <w:color w:val="000000"/>
          <w:szCs w:val="28"/>
        </w:rPr>
        <w:t>иэ</w:t>
      </w:r>
      <w:r w:rsidRPr="00AF0D61">
        <w:rPr>
          <w:b/>
          <w:color w:val="000000"/>
          <w:sz w:val="28"/>
          <w:szCs w:val="28"/>
        </w:rPr>
        <w:t xml:space="preserve"> = МР/ (n*q), где: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621A13" w:rsidRPr="00AF0D61" w:rsidRDefault="00621A13" w:rsidP="00621A13">
      <w:pPr>
        <w:pStyle w:val="afff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F0D61">
        <w:rPr>
          <w:color w:val="000000"/>
          <w:sz w:val="28"/>
          <w:szCs w:val="28"/>
        </w:rPr>
        <w:t>А</w:t>
      </w:r>
      <w:r w:rsidRPr="00AF0D61">
        <w:rPr>
          <w:color w:val="000000"/>
          <w:sz w:val="22"/>
          <w:szCs w:val="28"/>
        </w:rPr>
        <w:t>иэ</w:t>
      </w:r>
      <w:r w:rsidRPr="00AF0D61">
        <w:rPr>
          <w:color w:val="000000"/>
          <w:sz w:val="28"/>
          <w:szCs w:val="28"/>
        </w:rPr>
        <w:t xml:space="preserve"> = (2000,00 + 400,00)/(1*1) =</w:t>
      </w:r>
      <w:r w:rsidRPr="00AF0D61">
        <w:rPr>
          <w:b/>
          <w:color w:val="000000"/>
          <w:sz w:val="28"/>
          <w:szCs w:val="28"/>
        </w:rPr>
        <w:t xml:space="preserve"> 2 400,00 руб.</w:t>
      </w:r>
    </w:p>
    <w:p w:rsidR="00621A13" w:rsidRPr="00AF0D61" w:rsidRDefault="00621A13" w:rsidP="00621A13">
      <w:pPr>
        <w:ind w:firstLine="709"/>
        <w:jc w:val="both"/>
      </w:pPr>
    </w:p>
    <w:p w:rsidR="00621A13" w:rsidRPr="00AF0D61" w:rsidRDefault="00621A13" w:rsidP="00621A13">
      <w:pPr>
        <w:autoSpaceDE w:val="0"/>
        <w:autoSpaceDN w:val="0"/>
        <w:ind w:firstLine="567"/>
        <w:jc w:val="both"/>
      </w:pPr>
      <w:r w:rsidRPr="00AF0D61">
        <w:t xml:space="preserve">Для расчета транспортных расходов, связанных с доставкой (представлением) заявления и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2024 года по 31 декабря 2024 года, утвержденный приказом Региональной службы по тарифам автономного округа от 29.11.2024 № 75-нп, который составляет 32,00 рубля за 1 поездку. </w:t>
      </w:r>
    </w:p>
    <w:p w:rsidR="00621A13" w:rsidRPr="00AF0D61" w:rsidRDefault="00621A13" w:rsidP="00621A13">
      <w:pPr>
        <w:autoSpaceDE w:val="0"/>
        <w:autoSpaceDN w:val="0"/>
        <w:ind w:firstLine="567"/>
        <w:jc w:val="both"/>
      </w:pPr>
      <w:r w:rsidRPr="00AF0D61">
        <w:t>Для выполнения 2-х информационных требований необходимо 4 поездки (туда и обратно).</w:t>
      </w:r>
    </w:p>
    <w:p w:rsidR="00621A13" w:rsidRPr="00AF0D61" w:rsidRDefault="00621A13" w:rsidP="00621A13">
      <w:pPr>
        <w:ind w:firstLine="709"/>
        <w:jc w:val="center"/>
      </w:pPr>
      <w:r w:rsidRPr="00AF0D61">
        <w:t>4 поездки * 32,00 руб. =</w:t>
      </w:r>
      <w:r w:rsidRPr="00AF0D61">
        <w:rPr>
          <w:b/>
        </w:rPr>
        <w:t xml:space="preserve"> 128,00 руб.</w:t>
      </w:r>
    </w:p>
    <w:p w:rsidR="00621A13" w:rsidRPr="00AF0D61" w:rsidRDefault="00621A13" w:rsidP="00621A13">
      <w:pPr>
        <w:ind w:firstLine="709"/>
        <w:jc w:val="center"/>
      </w:pPr>
    </w:p>
    <w:p w:rsidR="00621A13" w:rsidRPr="00AF0D61" w:rsidRDefault="00621A13" w:rsidP="00621A13">
      <w:pPr>
        <w:ind w:firstLine="709"/>
        <w:jc w:val="center"/>
        <w:rPr>
          <w:b/>
        </w:rPr>
      </w:pPr>
      <w:r w:rsidRPr="00AF0D61">
        <w:rPr>
          <w:b/>
        </w:rPr>
        <w:t>7 этап. Сумма информационных издержек</w:t>
      </w:r>
    </w:p>
    <w:p w:rsidR="00621A13" w:rsidRPr="00AF0D61" w:rsidRDefault="00621A13" w:rsidP="00621A13">
      <w:pPr>
        <w:ind w:firstLine="709"/>
        <w:jc w:val="center"/>
        <w:rPr>
          <w:b/>
        </w:rPr>
      </w:pPr>
    </w:p>
    <w:p w:rsidR="00621A13" w:rsidRPr="00AF0D61" w:rsidRDefault="00621A13" w:rsidP="00621A13">
      <w:pPr>
        <w:ind w:firstLine="709"/>
        <w:jc w:val="center"/>
      </w:pPr>
      <w:r w:rsidRPr="00AF0D61">
        <w:t>И</w:t>
      </w:r>
      <w:r w:rsidRPr="00AF0D61">
        <w:rPr>
          <w:vertAlign w:val="subscript"/>
        </w:rPr>
        <w:t xml:space="preserve">ИТ </w:t>
      </w:r>
      <w:r w:rsidRPr="00AF0D61">
        <w:t xml:space="preserve">= </w:t>
      </w:r>
      <w:r w:rsidRPr="00AF0D61">
        <w:rPr>
          <w:lang w:val="en-US"/>
        </w:rPr>
        <w:t>t</w:t>
      </w:r>
      <w:r w:rsidRPr="00AF0D61">
        <w:rPr>
          <w:vertAlign w:val="subscript"/>
        </w:rPr>
        <w:t>ИТ</w:t>
      </w:r>
      <w:r w:rsidRPr="00AF0D61">
        <w:t>*</w:t>
      </w:r>
      <w:r w:rsidRPr="00AF0D61">
        <w:rPr>
          <w:lang w:val="en-US"/>
        </w:rPr>
        <w:t>W</w:t>
      </w:r>
      <w:r w:rsidRPr="00AF0D61">
        <w:t>+А</w:t>
      </w:r>
      <w:r w:rsidRPr="00AF0D61">
        <w:rPr>
          <w:vertAlign w:val="subscript"/>
        </w:rPr>
        <w:t>ИТ,</w:t>
      </w:r>
      <w:r w:rsidRPr="00AF0D61">
        <w:t xml:space="preserve"> где:</w:t>
      </w:r>
    </w:p>
    <w:p w:rsidR="00621A13" w:rsidRPr="00AF0D61" w:rsidRDefault="00621A13" w:rsidP="00621A13">
      <w:pPr>
        <w:ind w:firstLine="709"/>
        <w:jc w:val="both"/>
      </w:pPr>
      <w:r w:rsidRPr="00AF0D61">
        <w:rPr>
          <w:lang w:val="en-US"/>
        </w:rPr>
        <w:t>t</w:t>
      </w:r>
      <w:r w:rsidRPr="00AF0D61">
        <w:rPr>
          <w:vertAlign w:val="subscript"/>
        </w:rPr>
        <w:t>ИТ</w:t>
      </w:r>
      <w:r w:rsidRPr="00AF0D61"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621A13" w:rsidRPr="00AF0D61" w:rsidRDefault="00621A13" w:rsidP="00621A13">
      <w:pPr>
        <w:ind w:firstLine="709"/>
        <w:jc w:val="both"/>
      </w:pPr>
      <w:r w:rsidRPr="00AF0D61">
        <w:rPr>
          <w:lang w:val="en-US"/>
        </w:rPr>
        <w:t>W</w:t>
      </w:r>
      <w:r w:rsidRPr="00AF0D61">
        <w:t xml:space="preserve"> – 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621A13" w:rsidRPr="00AF0D61" w:rsidRDefault="00621A13" w:rsidP="00621A13">
      <w:pPr>
        <w:ind w:firstLine="709"/>
        <w:jc w:val="both"/>
      </w:pPr>
      <w:r w:rsidRPr="00AF0D61">
        <w:t>А</w:t>
      </w:r>
      <w:r w:rsidRPr="00AF0D61">
        <w:rPr>
          <w:vertAlign w:val="subscript"/>
        </w:rPr>
        <w:t>ИТ</w:t>
      </w:r>
      <w:r w:rsidRPr="00AF0D61">
        <w:rPr>
          <w:b/>
        </w:rPr>
        <w:t xml:space="preserve"> – </w:t>
      </w:r>
      <w:r w:rsidRPr="00AF0D61"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621A13" w:rsidRPr="00AF0D61" w:rsidRDefault="00621A13" w:rsidP="00621A13">
      <w:pPr>
        <w:ind w:firstLine="709"/>
        <w:jc w:val="both"/>
      </w:pPr>
    </w:p>
    <w:p w:rsidR="00621A13" w:rsidRPr="00AF0D61" w:rsidRDefault="00621A13" w:rsidP="00621A13">
      <w:pPr>
        <w:ind w:firstLine="709"/>
        <w:jc w:val="both"/>
        <w:rPr>
          <w:b/>
        </w:rPr>
      </w:pPr>
      <w:r w:rsidRPr="00AF0D61">
        <w:t>И</w:t>
      </w:r>
      <w:r w:rsidRPr="00AF0D61">
        <w:rPr>
          <w:vertAlign w:val="subscript"/>
        </w:rPr>
        <w:t>ИТ</w:t>
      </w:r>
      <w:r w:rsidRPr="00AF0D61">
        <w:t xml:space="preserve"> = </w:t>
      </w:r>
      <w:r w:rsidR="00B9636D" w:rsidRPr="00AF0D61">
        <w:t xml:space="preserve">13 050,57 </w:t>
      </w:r>
      <w:r w:rsidRPr="00AF0D61">
        <w:t xml:space="preserve">руб.  + 2 400,00 руб.+ 128,00 руб. = </w:t>
      </w:r>
      <w:r w:rsidR="005846AB" w:rsidRPr="00AF0D61">
        <w:rPr>
          <w:b/>
        </w:rPr>
        <w:t>1</w:t>
      </w:r>
      <w:r w:rsidR="00B9636D" w:rsidRPr="00AF0D61">
        <w:rPr>
          <w:b/>
        </w:rPr>
        <w:t>5</w:t>
      </w:r>
      <w:r w:rsidRPr="00AF0D61">
        <w:rPr>
          <w:b/>
        </w:rPr>
        <w:t> </w:t>
      </w:r>
      <w:r w:rsidR="005846AB" w:rsidRPr="00AF0D61">
        <w:rPr>
          <w:b/>
        </w:rPr>
        <w:t>5</w:t>
      </w:r>
      <w:r w:rsidR="00B9636D" w:rsidRPr="00AF0D61">
        <w:rPr>
          <w:b/>
        </w:rPr>
        <w:t>78</w:t>
      </w:r>
      <w:r w:rsidR="005846AB" w:rsidRPr="00AF0D61">
        <w:rPr>
          <w:b/>
        </w:rPr>
        <w:t>,</w:t>
      </w:r>
      <w:r w:rsidR="00B9636D" w:rsidRPr="00AF0D61">
        <w:rPr>
          <w:b/>
        </w:rPr>
        <w:t>57</w:t>
      </w:r>
      <w:r w:rsidRPr="00AF0D61">
        <w:rPr>
          <w:b/>
        </w:rPr>
        <w:t xml:space="preserve"> руб.</w:t>
      </w:r>
    </w:p>
    <w:p w:rsidR="00621A13" w:rsidRPr="00AF0D61" w:rsidRDefault="00621A13" w:rsidP="00621A13">
      <w:pPr>
        <w:ind w:firstLine="709"/>
        <w:jc w:val="both"/>
        <w:rPr>
          <w:b/>
        </w:rPr>
      </w:pPr>
    </w:p>
    <w:p w:rsidR="00621A13" w:rsidRPr="00AF0D61" w:rsidRDefault="00621A13" w:rsidP="00621A13">
      <w:pPr>
        <w:ind w:firstLine="709"/>
        <w:jc w:val="both"/>
        <w:rPr>
          <w:b/>
        </w:rPr>
      </w:pPr>
      <w:r w:rsidRPr="00AF0D61">
        <w:t xml:space="preserve">Таким образом, информационные издержки одного заявителя составят </w:t>
      </w:r>
      <w:r w:rsidRPr="00AF0D61">
        <w:br/>
      </w:r>
      <w:r w:rsidR="00C85635" w:rsidRPr="00AF0D61">
        <w:rPr>
          <w:b/>
        </w:rPr>
        <w:t xml:space="preserve">15 578,57 </w:t>
      </w:r>
      <w:r w:rsidRPr="00AF0D61">
        <w:rPr>
          <w:b/>
        </w:rPr>
        <w:t>руб.</w:t>
      </w:r>
    </w:p>
    <w:p w:rsidR="00621A13" w:rsidRPr="00AF0D61" w:rsidRDefault="00621A13" w:rsidP="00621A13">
      <w:pPr>
        <w:autoSpaceDE w:val="0"/>
        <w:autoSpaceDN w:val="0"/>
        <w:ind w:firstLine="567"/>
      </w:pPr>
    </w:p>
    <w:p w:rsidR="00621A13" w:rsidRPr="00AF0D61" w:rsidRDefault="00621A13" w:rsidP="00621A13">
      <w:pPr>
        <w:jc w:val="center"/>
        <w:rPr>
          <w:b/>
          <w:i/>
        </w:rPr>
      </w:pPr>
      <w:r w:rsidRPr="00AF0D61">
        <w:rPr>
          <w:b/>
          <w:i/>
          <w:lang w:val="en-US"/>
        </w:rPr>
        <w:t>II</w:t>
      </w:r>
      <w:r w:rsidRPr="00AF0D61">
        <w:rPr>
          <w:b/>
          <w:i/>
        </w:rPr>
        <w:t xml:space="preserve"> Содержательные издержки (на одного субъекта)</w:t>
      </w:r>
    </w:p>
    <w:p w:rsidR="00621A13" w:rsidRPr="00AF0D61" w:rsidRDefault="00621A13" w:rsidP="00621A13">
      <w:pPr>
        <w:tabs>
          <w:tab w:val="left" w:pos="1134"/>
        </w:tabs>
        <w:ind w:firstLine="709"/>
        <w:jc w:val="both"/>
      </w:pPr>
      <w:r w:rsidRPr="00AF0D61">
        <w:rPr>
          <w:color w:val="000000" w:themeColor="text1"/>
        </w:rPr>
        <w:t xml:space="preserve">На изготовление проекта установки ограждения </w:t>
      </w:r>
      <w:r w:rsidRPr="00AF0D61">
        <w:t xml:space="preserve">в соответствии с установленными требованиями заявитель затратит в среднем </w:t>
      </w:r>
      <w:r w:rsidRPr="00AF0D61">
        <w:rPr>
          <w:b/>
        </w:rPr>
        <w:t>50 000,00</w:t>
      </w:r>
      <w:r w:rsidRPr="00AF0D61">
        <w:t xml:space="preserve"> руб. (расчет стоимости произведен на основании данных сети интернет).</w:t>
      </w:r>
    </w:p>
    <w:p w:rsidR="00621A13" w:rsidRPr="00AF0D61" w:rsidRDefault="00621A13" w:rsidP="00621A13">
      <w:pPr>
        <w:jc w:val="center"/>
      </w:pPr>
    </w:p>
    <w:p w:rsidR="00621A13" w:rsidRPr="00AF0D61" w:rsidRDefault="00621A13" w:rsidP="00621A13">
      <w:pPr>
        <w:widowControl w:val="0"/>
        <w:autoSpaceDE w:val="0"/>
        <w:autoSpaceDN w:val="0"/>
        <w:ind w:firstLine="567"/>
        <w:jc w:val="both"/>
        <w:rPr>
          <w:rFonts w:eastAsia="Calibri"/>
          <w:b/>
        </w:rPr>
      </w:pPr>
      <w:r w:rsidRPr="00AF0D61">
        <w:rPr>
          <w:rFonts w:eastAsia="Calibri"/>
          <w:b/>
        </w:rPr>
        <w:t>Таким образом, содержательные издержки 1 субъекта составят 50 000 руб.</w:t>
      </w:r>
    </w:p>
    <w:p w:rsidR="001D33FE" w:rsidRPr="00AF0D61" w:rsidRDefault="001D33FE" w:rsidP="00621A13">
      <w:pPr>
        <w:widowControl w:val="0"/>
        <w:autoSpaceDE w:val="0"/>
        <w:autoSpaceDN w:val="0"/>
        <w:ind w:firstLine="567"/>
        <w:jc w:val="both"/>
        <w:rPr>
          <w:rFonts w:eastAsia="Calibri"/>
          <w:b/>
        </w:rPr>
      </w:pPr>
    </w:p>
    <w:p w:rsidR="00621A13" w:rsidRPr="00AF0D61" w:rsidRDefault="00621A13" w:rsidP="00621A13">
      <w:pPr>
        <w:widowControl w:val="0"/>
        <w:autoSpaceDE w:val="0"/>
        <w:autoSpaceDN w:val="0"/>
        <w:ind w:firstLine="567"/>
        <w:jc w:val="both"/>
        <w:rPr>
          <w:rFonts w:eastAsia="Calibri"/>
          <w:b/>
        </w:rPr>
      </w:pPr>
      <w:r w:rsidRPr="00AF0D61">
        <w:rPr>
          <w:rFonts w:eastAsia="Calibri"/>
          <w:b/>
        </w:rPr>
        <w:t xml:space="preserve">Расходы на одного субъекта в год составят: </w:t>
      </w:r>
    </w:p>
    <w:p w:rsidR="005D6E52" w:rsidRPr="00BC4193" w:rsidRDefault="00C85635" w:rsidP="001D33FE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F0D61">
        <w:rPr>
          <w:b/>
        </w:rPr>
        <w:t xml:space="preserve">15 578,57 </w:t>
      </w:r>
      <w:r w:rsidR="00621A13" w:rsidRPr="00AF0D61">
        <w:rPr>
          <w:rFonts w:eastAsia="Calibri"/>
          <w:b/>
        </w:rPr>
        <w:t>+ 50 000,00</w:t>
      </w:r>
      <w:r w:rsidR="00F1227F" w:rsidRPr="00AF0D61">
        <w:rPr>
          <w:rFonts w:eastAsia="Calibri"/>
          <w:b/>
        </w:rPr>
        <w:t xml:space="preserve"> = </w:t>
      </w:r>
      <w:r w:rsidR="00CB06A7" w:rsidRPr="00AF0D61">
        <w:rPr>
          <w:rFonts w:eastAsia="Calibri"/>
          <w:b/>
        </w:rPr>
        <w:t>6</w:t>
      </w:r>
      <w:r w:rsidRPr="00AF0D61">
        <w:rPr>
          <w:rFonts w:eastAsia="Calibri"/>
          <w:b/>
        </w:rPr>
        <w:t>5</w:t>
      </w:r>
      <w:r w:rsidR="00CB06A7" w:rsidRPr="00AF0D61">
        <w:rPr>
          <w:rFonts w:eastAsia="Calibri"/>
          <w:b/>
        </w:rPr>
        <w:t xml:space="preserve"> 5</w:t>
      </w:r>
      <w:r w:rsidRPr="00AF0D61">
        <w:rPr>
          <w:rFonts w:eastAsia="Calibri"/>
          <w:b/>
        </w:rPr>
        <w:t>78</w:t>
      </w:r>
      <w:r w:rsidR="00F1227F" w:rsidRPr="00AF0D61">
        <w:rPr>
          <w:rFonts w:eastAsia="Calibri"/>
          <w:b/>
        </w:rPr>
        <w:t xml:space="preserve">, </w:t>
      </w:r>
      <w:r w:rsidRPr="00AF0D61">
        <w:rPr>
          <w:rFonts w:eastAsia="Calibri"/>
          <w:b/>
        </w:rPr>
        <w:t>57</w:t>
      </w:r>
      <w:r w:rsidR="00364646" w:rsidRPr="00AF0D61">
        <w:rPr>
          <w:rFonts w:eastAsia="Calibri"/>
          <w:b/>
        </w:rPr>
        <w:t xml:space="preserve"> </w:t>
      </w:r>
      <w:r w:rsidR="00364646" w:rsidRPr="00AF0D61">
        <w:rPr>
          <w:b/>
        </w:rPr>
        <w:t>руб.</w:t>
      </w:r>
    </w:p>
    <w:sectPr w:rsidR="005D6E52" w:rsidRPr="00BC4193" w:rsidSect="00627060">
      <w:pgSz w:w="11906" w:h="16838" w:code="9"/>
      <w:pgMar w:top="851" w:right="707" w:bottom="709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7" w:rsidRDefault="00D64547" w:rsidP="00920526">
      <w:r>
        <w:separator/>
      </w:r>
    </w:p>
  </w:endnote>
  <w:endnote w:type="continuationSeparator" w:id="0">
    <w:p w:rsidR="00D64547" w:rsidRDefault="00D6454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7" w:rsidRDefault="00D64547" w:rsidP="00920526">
      <w:r>
        <w:separator/>
      </w:r>
    </w:p>
  </w:footnote>
  <w:footnote w:type="continuationSeparator" w:id="0">
    <w:p w:rsidR="00D64547" w:rsidRDefault="00D6454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2A2"/>
    <w:rsid w:val="00006F89"/>
    <w:rsid w:val="0003109D"/>
    <w:rsid w:val="00032B5B"/>
    <w:rsid w:val="0004413C"/>
    <w:rsid w:val="00054967"/>
    <w:rsid w:val="00061D29"/>
    <w:rsid w:val="0006685C"/>
    <w:rsid w:val="000807CF"/>
    <w:rsid w:val="000D2CD9"/>
    <w:rsid w:val="000F7F9A"/>
    <w:rsid w:val="00133549"/>
    <w:rsid w:val="001375D8"/>
    <w:rsid w:val="00137DB0"/>
    <w:rsid w:val="001664B0"/>
    <w:rsid w:val="001701BB"/>
    <w:rsid w:val="0017134B"/>
    <w:rsid w:val="0017283C"/>
    <w:rsid w:val="00176964"/>
    <w:rsid w:val="00191422"/>
    <w:rsid w:val="001A6B0B"/>
    <w:rsid w:val="001B4718"/>
    <w:rsid w:val="001D33FE"/>
    <w:rsid w:val="0020654D"/>
    <w:rsid w:val="0022113D"/>
    <w:rsid w:val="00227F58"/>
    <w:rsid w:val="002312AA"/>
    <w:rsid w:val="00252819"/>
    <w:rsid w:val="002637D6"/>
    <w:rsid w:val="00283092"/>
    <w:rsid w:val="00292BE7"/>
    <w:rsid w:val="002A5CCD"/>
    <w:rsid w:val="002F0E4F"/>
    <w:rsid w:val="0031445C"/>
    <w:rsid w:val="00337E21"/>
    <w:rsid w:val="00351E7D"/>
    <w:rsid w:val="003619F1"/>
    <w:rsid w:val="00364646"/>
    <w:rsid w:val="00391B9F"/>
    <w:rsid w:val="00394E47"/>
    <w:rsid w:val="00397000"/>
    <w:rsid w:val="003B200C"/>
    <w:rsid w:val="003D24A7"/>
    <w:rsid w:val="003E6B03"/>
    <w:rsid w:val="00401A91"/>
    <w:rsid w:val="00413F23"/>
    <w:rsid w:val="004220D8"/>
    <w:rsid w:val="00422965"/>
    <w:rsid w:val="00424FD7"/>
    <w:rsid w:val="00434CD1"/>
    <w:rsid w:val="00446402"/>
    <w:rsid w:val="00463B19"/>
    <w:rsid w:val="004702EB"/>
    <w:rsid w:val="00486377"/>
    <w:rsid w:val="004938B8"/>
    <w:rsid w:val="004B2693"/>
    <w:rsid w:val="004B6B03"/>
    <w:rsid w:val="004C114B"/>
    <w:rsid w:val="004D6B9A"/>
    <w:rsid w:val="004E2AE1"/>
    <w:rsid w:val="004E72A7"/>
    <w:rsid w:val="00526965"/>
    <w:rsid w:val="0056389E"/>
    <w:rsid w:val="005674C1"/>
    <w:rsid w:val="005846AB"/>
    <w:rsid w:val="00592820"/>
    <w:rsid w:val="005B41CD"/>
    <w:rsid w:val="005D6E52"/>
    <w:rsid w:val="005E38D0"/>
    <w:rsid w:val="005E66B4"/>
    <w:rsid w:val="005F3A52"/>
    <w:rsid w:val="005F4CEE"/>
    <w:rsid w:val="005F61D5"/>
    <w:rsid w:val="006012E6"/>
    <w:rsid w:val="00605045"/>
    <w:rsid w:val="00610E1B"/>
    <w:rsid w:val="0061600E"/>
    <w:rsid w:val="00621A13"/>
    <w:rsid w:val="00627060"/>
    <w:rsid w:val="0067768B"/>
    <w:rsid w:val="006C4397"/>
    <w:rsid w:val="00703AE4"/>
    <w:rsid w:val="00722C45"/>
    <w:rsid w:val="007701B5"/>
    <w:rsid w:val="00785F08"/>
    <w:rsid w:val="007A7752"/>
    <w:rsid w:val="007C158F"/>
    <w:rsid w:val="008052F1"/>
    <w:rsid w:val="00816DE4"/>
    <w:rsid w:val="008566DE"/>
    <w:rsid w:val="00865A50"/>
    <w:rsid w:val="008724DE"/>
    <w:rsid w:val="00872FA2"/>
    <w:rsid w:val="00892FEF"/>
    <w:rsid w:val="0089361D"/>
    <w:rsid w:val="008940C5"/>
    <w:rsid w:val="008B1380"/>
    <w:rsid w:val="008C2448"/>
    <w:rsid w:val="008E7657"/>
    <w:rsid w:val="00920526"/>
    <w:rsid w:val="009215D5"/>
    <w:rsid w:val="00954C87"/>
    <w:rsid w:val="00973171"/>
    <w:rsid w:val="009948EC"/>
    <w:rsid w:val="009B5B5D"/>
    <w:rsid w:val="009C166D"/>
    <w:rsid w:val="009C3F5B"/>
    <w:rsid w:val="009D0961"/>
    <w:rsid w:val="009D7DAB"/>
    <w:rsid w:val="009E198E"/>
    <w:rsid w:val="009F133B"/>
    <w:rsid w:val="00A27F8D"/>
    <w:rsid w:val="00A332A2"/>
    <w:rsid w:val="00A35D70"/>
    <w:rsid w:val="00A37C70"/>
    <w:rsid w:val="00A53FB6"/>
    <w:rsid w:val="00A643EF"/>
    <w:rsid w:val="00A9160C"/>
    <w:rsid w:val="00AB10C9"/>
    <w:rsid w:val="00AD2596"/>
    <w:rsid w:val="00AE1525"/>
    <w:rsid w:val="00AE1CD2"/>
    <w:rsid w:val="00AE59E5"/>
    <w:rsid w:val="00AF0D61"/>
    <w:rsid w:val="00B11CFC"/>
    <w:rsid w:val="00B14BBB"/>
    <w:rsid w:val="00B23AAA"/>
    <w:rsid w:val="00B269E0"/>
    <w:rsid w:val="00B5372B"/>
    <w:rsid w:val="00B74AF1"/>
    <w:rsid w:val="00B80C5E"/>
    <w:rsid w:val="00B836E8"/>
    <w:rsid w:val="00B841B1"/>
    <w:rsid w:val="00B93E39"/>
    <w:rsid w:val="00B9636D"/>
    <w:rsid w:val="00BA3E66"/>
    <w:rsid w:val="00BB2293"/>
    <w:rsid w:val="00BC4193"/>
    <w:rsid w:val="00BF5451"/>
    <w:rsid w:val="00C01CF0"/>
    <w:rsid w:val="00C06AA6"/>
    <w:rsid w:val="00C421E6"/>
    <w:rsid w:val="00C51215"/>
    <w:rsid w:val="00C55710"/>
    <w:rsid w:val="00C64BC1"/>
    <w:rsid w:val="00C67205"/>
    <w:rsid w:val="00C77141"/>
    <w:rsid w:val="00C825E1"/>
    <w:rsid w:val="00C85635"/>
    <w:rsid w:val="00C902DF"/>
    <w:rsid w:val="00C96A55"/>
    <w:rsid w:val="00CB06A7"/>
    <w:rsid w:val="00CE6834"/>
    <w:rsid w:val="00D371CE"/>
    <w:rsid w:val="00D42AA4"/>
    <w:rsid w:val="00D561AC"/>
    <w:rsid w:val="00D5688D"/>
    <w:rsid w:val="00D64547"/>
    <w:rsid w:val="00D71243"/>
    <w:rsid w:val="00D82E52"/>
    <w:rsid w:val="00D87DED"/>
    <w:rsid w:val="00D87F32"/>
    <w:rsid w:val="00DA0D49"/>
    <w:rsid w:val="00DD5816"/>
    <w:rsid w:val="00DE386F"/>
    <w:rsid w:val="00E170DF"/>
    <w:rsid w:val="00E20A53"/>
    <w:rsid w:val="00E858F4"/>
    <w:rsid w:val="00EA0146"/>
    <w:rsid w:val="00EB40FE"/>
    <w:rsid w:val="00EC3DBF"/>
    <w:rsid w:val="00F0204D"/>
    <w:rsid w:val="00F1227F"/>
    <w:rsid w:val="00F85855"/>
    <w:rsid w:val="00F90D4F"/>
    <w:rsid w:val="00FE1B94"/>
    <w:rsid w:val="00FE4C55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rmal (Web)"/>
    <w:basedOn w:val="a"/>
    <w:uiPriority w:val="99"/>
    <w:unhideWhenUsed/>
    <w:rsid w:val="005D6E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6">
    <w:name w:val="Абзац списка Знак"/>
    <w:link w:val="afff5"/>
    <w:uiPriority w:val="34"/>
    <w:locked/>
    <w:rsid w:val="005D6E5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1106/Perechen-upravlyayuschih-organizaciy-osuschestvlyayuschih-na-territorii-goroda-Surguta-deyatelnost-po-upravleniyu-mnogokvartirnymi-dom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522E-5787-4C03-93B4-ED8FD75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2023-01-27T07:42:00Z</cp:lastPrinted>
  <dcterms:created xsi:type="dcterms:W3CDTF">2024-03-13T07:16:00Z</dcterms:created>
  <dcterms:modified xsi:type="dcterms:W3CDTF">2024-03-13T07:16:00Z</dcterms:modified>
</cp:coreProperties>
</file>