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FA" w:rsidRPr="007730FA" w:rsidRDefault="007730FA" w:rsidP="0077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bookmarkStart w:id="0" w:name="_GoBack"/>
      <w:r w:rsidRPr="007730F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Основные условия микрозаймов </w:t>
      </w:r>
    </w:p>
    <w:bookmarkEnd w:id="0"/>
    <w:p w:rsidR="007730FA" w:rsidRPr="007730FA" w:rsidRDefault="007730FA" w:rsidP="007730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730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Фонда «Югорская региональная микрокредитная компания» </w:t>
      </w:r>
    </w:p>
    <w:p w:rsidR="007730FA" w:rsidRPr="007730FA" w:rsidRDefault="007730FA" w:rsidP="0077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730F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для социально-ориентированных некоммерческих организаций</w:t>
      </w:r>
    </w:p>
    <w:p w:rsidR="007730FA" w:rsidRPr="007730FA" w:rsidRDefault="007730FA" w:rsidP="007730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6231"/>
      </w:tblGrid>
      <w:tr w:rsidR="007730FA" w:rsidRPr="007730FA" w:rsidTr="00247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730FA" w:rsidRPr="007730FA" w:rsidRDefault="007730FA" w:rsidP="007730FA">
            <w:pPr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Максимальная сумма микрозайма</w:t>
            </w:r>
          </w:p>
          <w:p w:rsidR="007730FA" w:rsidRPr="007730FA" w:rsidRDefault="007730FA" w:rsidP="007730FA">
            <w:pPr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730FA" w:rsidRPr="007730FA" w:rsidRDefault="007730FA" w:rsidP="007730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7730FA" w:rsidRPr="007730FA" w:rsidRDefault="007730FA" w:rsidP="007730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Один миллион рублей</w:t>
            </w:r>
          </w:p>
        </w:tc>
      </w:tr>
      <w:tr w:rsidR="007730FA" w:rsidRPr="007730FA" w:rsidTr="0024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730FA" w:rsidRPr="007730FA" w:rsidRDefault="007730FA" w:rsidP="007730FA">
            <w:pPr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Максимальный срок микрозайма</w:t>
            </w:r>
          </w:p>
          <w:p w:rsidR="007730FA" w:rsidRPr="007730FA" w:rsidRDefault="007730FA" w:rsidP="007730FA">
            <w:pPr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730FA" w:rsidRPr="007730FA" w:rsidRDefault="007730FA" w:rsidP="00773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7730FA" w:rsidRPr="007730FA" w:rsidRDefault="007730FA" w:rsidP="007730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Три года</w:t>
            </w:r>
          </w:p>
        </w:tc>
      </w:tr>
      <w:tr w:rsidR="007730FA" w:rsidRPr="007730FA" w:rsidTr="00247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730FA" w:rsidRPr="007730FA" w:rsidRDefault="007730FA" w:rsidP="007730FA">
            <w:pPr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Процентная ставка</w:t>
            </w:r>
          </w:p>
          <w:p w:rsidR="007730FA" w:rsidRPr="007730FA" w:rsidRDefault="007730FA" w:rsidP="007730FA">
            <w:pPr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(процентов годовых)</w:t>
            </w:r>
          </w:p>
          <w:p w:rsidR="007730FA" w:rsidRPr="007730FA" w:rsidRDefault="007730FA" w:rsidP="007730FA">
            <w:pPr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730FA" w:rsidRPr="007730FA" w:rsidRDefault="007730FA" w:rsidP="00773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7730FA" w:rsidRPr="007730FA" w:rsidRDefault="007730FA" w:rsidP="007730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 xml:space="preserve">6,5 </w:t>
            </w:r>
          </w:p>
        </w:tc>
      </w:tr>
      <w:tr w:rsidR="007730FA" w:rsidRPr="007730FA" w:rsidTr="0024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730FA" w:rsidRPr="007730FA" w:rsidRDefault="007730FA" w:rsidP="007730FA">
            <w:pPr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Целевой характер</w:t>
            </w:r>
          </w:p>
        </w:tc>
        <w:tc>
          <w:tcPr>
            <w:tcW w:w="284" w:type="dxa"/>
          </w:tcPr>
          <w:p w:rsidR="007730FA" w:rsidRPr="007730FA" w:rsidRDefault="007730FA" w:rsidP="00773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7730FA" w:rsidRPr="007730FA" w:rsidRDefault="007730FA" w:rsidP="007730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документальное подтверждение использования микрозайма в соответствии его целями</w:t>
            </w:r>
          </w:p>
        </w:tc>
      </w:tr>
      <w:tr w:rsidR="007730FA" w:rsidRPr="007730FA" w:rsidTr="00247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730FA" w:rsidRPr="007730FA" w:rsidRDefault="007730FA" w:rsidP="007730FA">
            <w:pPr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Цели микрозайма</w:t>
            </w:r>
          </w:p>
        </w:tc>
        <w:tc>
          <w:tcPr>
            <w:tcW w:w="284" w:type="dxa"/>
          </w:tcPr>
          <w:p w:rsidR="007730FA" w:rsidRPr="007730FA" w:rsidRDefault="007730FA" w:rsidP="00773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7730FA" w:rsidRPr="007730FA" w:rsidRDefault="007730FA" w:rsidP="007730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приобретение основных средств, пополнение оборотных средств, оплата товаров, работ, услуг и иные цели, соответствующие целям деятельности юридического лица, за исключением целей выплаты заработной платы, уплаты налоговых и иных обязательных платежей и иные цели, не связанные с осуществлением Заемщиком деятельности</w:t>
            </w:r>
          </w:p>
        </w:tc>
      </w:tr>
      <w:tr w:rsidR="007730FA" w:rsidRPr="007730FA" w:rsidTr="0024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730FA" w:rsidRPr="007730FA" w:rsidRDefault="007730FA" w:rsidP="007730FA">
            <w:pPr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Требования к заемщику</w:t>
            </w:r>
          </w:p>
        </w:tc>
        <w:tc>
          <w:tcPr>
            <w:tcW w:w="284" w:type="dxa"/>
          </w:tcPr>
          <w:p w:rsidR="007730FA" w:rsidRPr="007730FA" w:rsidRDefault="007730FA" w:rsidP="00773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7730FA" w:rsidRPr="007730FA" w:rsidRDefault="007730FA" w:rsidP="007730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- постановка на налоговый учет и осуществление деятельности в Ханты-Мансийском автономном округе – Югре;</w:t>
            </w:r>
          </w:p>
          <w:p w:rsidR="007730FA" w:rsidRPr="007730FA" w:rsidRDefault="007730FA" w:rsidP="007730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 xml:space="preserve">- отсутствие задолженности по уплате налогов и взносов в бюджеты всех уровней и государственные внебюджетные фонды;  </w:t>
            </w:r>
          </w:p>
          <w:p w:rsidR="007730FA" w:rsidRPr="007730FA" w:rsidRDefault="007730FA" w:rsidP="007730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 xml:space="preserve"> -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 (для региональных социально ориентированных некоммерческих организаций). </w:t>
            </w:r>
          </w:p>
          <w:p w:rsidR="007730FA" w:rsidRPr="007730FA" w:rsidRDefault="007730FA" w:rsidP="007730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lastRenderedPageBreak/>
              <w:t xml:space="preserve">- наличие финансовых средств (в </w:t>
            </w:r>
            <w:proofErr w:type="spellStart"/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т.ч</w:t>
            </w:r>
            <w:proofErr w:type="spellEnd"/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 xml:space="preserve">. чистой прибыли), достаточных для внесения платежей по </w:t>
            </w:r>
            <w:proofErr w:type="spellStart"/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микрозайму</w:t>
            </w:r>
            <w:proofErr w:type="spellEnd"/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 xml:space="preserve">; </w:t>
            </w:r>
          </w:p>
          <w:p w:rsidR="007730FA" w:rsidRPr="007730FA" w:rsidRDefault="007730FA" w:rsidP="007730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 xml:space="preserve">- отсутствие фактов не исполнения Заемщиком, его учредителем (участником), либо руководителем в добровольном порядке судебного акта, принятого в связи с нарушением условий предоставления поддержки, полученной ранее в Фонде; </w:t>
            </w:r>
          </w:p>
          <w:p w:rsidR="007730FA" w:rsidRPr="007730FA" w:rsidRDefault="007730FA" w:rsidP="007730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 xml:space="preserve">- отсутствие обеспечения исполнения обязательств по </w:t>
            </w:r>
            <w:proofErr w:type="spellStart"/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микрозайму</w:t>
            </w:r>
            <w:proofErr w:type="spellEnd"/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 xml:space="preserve">; </w:t>
            </w:r>
          </w:p>
          <w:p w:rsidR="007730FA" w:rsidRPr="007730FA" w:rsidRDefault="007730FA" w:rsidP="007730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 xml:space="preserve">- отсутствие у Заемщика, учредителей (участников) Заемщика просроченной задолженности по кредитным договорам, договорам займа, договорам лизинга, превышающей срок 30 дней за 6 месяцев, предшествующих месяцу обращения в Фонд; </w:t>
            </w:r>
          </w:p>
          <w:p w:rsidR="007730FA" w:rsidRPr="007730FA" w:rsidRDefault="007730FA" w:rsidP="007730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 xml:space="preserve">- отсутствие возбужденных в отношении Заемщика, либо учредителей (участников) Заемщика исполнительных производств на общую сумму более 10 тысяч рублей. </w:t>
            </w:r>
          </w:p>
          <w:p w:rsidR="007730FA" w:rsidRPr="007730FA" w:rsidRDefault="007730FA" w:rsidP="007730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Обязательства по возврату микрозайма могут быть обеспечены:</w:t>
            </w:r>
          </w:p>
          <w:p w:rsidR="007730FA" w:rsidRPr="007730FA" w:rsidRDefault="007730FA" w:rsidP="007730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- поручительством граждан, имеющих постоянное место работы;</w:t>
            </w:r>
          </w:p>
          <w:p w:rsidR="007730FA" w:rsidRPr="007730FA" w:rsidRDefault="007730FA" w:rsidP="007730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 xml:space="preserve">- залогом имущества (в </w:t>
            </w:r>
            <w:proofErr w:type="spellStart"/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т.ч</w:t>
            </w:r>
            <w:proofErr w:type="spellEnd"/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 xml:space="preserve">. имущества третьих лиц); </w:t>
            </w:r>
          </w:p>
          <w:p w:rsidR="007730FA" w:rsidRPr="007730FA" w:rsidRDefault="007730FA" w:rsidP="007730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730FA" w:rsidRPr="007730FA" w:rsidTr="00247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730FA" w:rsidRPr="007730FA" w:rsidRDefault="007730FA" w:rsidP="007730FA">
            <w:pPr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lastRenderedPageBreak/>
              <w:t>Обеспечение обязательств</w:t>
            </w:r>
          </w:p>
          <w:p w:rsidR="007730FA" w:rsidRPr="007730FA" w:rsidRDefault="007730FA" w:rsidP="007730FA">
            <w:pPr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(возможно сочетание)</w:t>
            </w:r>
          </w:p>
        </w:tc>
        <w:tc>
          <w:tcPr>
            <w:tcW w:w="284" w:type="dxa"/>
          </w:tcPr>
          <w:p w:rsidR="007730FA" w:rsidRPr="007730FA" w:rsidRDefault="007730FA" w:rsidP="00773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7730FA" w:rsidRPr="007730FA" w:rsidRDefault="007730FA" w:rsidP="007730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- поручительство граждан, имеющих постоянное место работы;</w:t>
            </w:r>
          </w:p>
          <w:p w:rsidR="007730FA" w:rsidRPr="007730FA" w:rsidRDefault="007730FA" w:rsidP="007730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 xml:space="preserve">- залог имущества, в </w:t>
            </w:r>
            <w:proofErr w:type="spellStart"/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т.ч</w:t>
            </w:r>
            <w:proofErr w:type="spellEnd"/>
            <w:r w:rsidRPr="007730FA">
              <w:rPr>
                <w:rFonts w:eastAsia="Times New Roman"/>
                <w:color w:val="0D0D0D"/>
                <w:sz w:val="28"/>
                <w:szCs w:val="28"/>
                <w:lang w:eastAsia="ru-RU"/>
              </w:rPr>
              <w:t>. имущества третьих лиц (за исключением жилого имущества);</w:t>
            </w:r>
          </w:p>
          <w:p w:rsidR="007730FA" w:rsidRPr="007730FA" w:rsidRDefault="007730FA" w:rsidP="007730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730FA" w:rsidRPr="007730FA" w:rsidTr="0024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730FA" w:rsidRPr="007730FA" w:rsidRDefault="007730FA" w:rsidP="007730F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sz w:val="28"/>
                <w:szCs w:val="28"/>
                <w:lang w:eastAsia="ru-RU"/>
              </w:rPr>
              <w:t>Подробные условия</w:t>
            </w:r>
          </w:p>
        </w:tc>
        <w:tc>
          <w:tcPr>
            <w:tcW w:w="284" w:type="dxa"/>
          </w:tcPr>
          <w:p w:rsidR="007730FA" w:rsidRPr="007730FA" w:rsidRDefault="007730FA" w:rsidP="00773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7730FA" w:rsidRPr="007730FA" w:rsidRDefault="007730FA" w:rsidP="007730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  <w:lang w:eastAsia="ru-RU"/>
              </w:rPr>
            </w:pPr>
            <w:r w:rsidRPr="007730FA">
              <w:rPr>
                <w:rFonts w:eastAsia="Times New Roman"/>
                <w:sz w:val="28"/>
                <w:szCs w:val="28"/>
                <w:lang w:eastAsia="ru-RU"/>
              </w:rPr>
              <w:t xml:space="preserve">на сайте Фонда «Югорская региональная микрокредитная компания в сети интернет </w:t>
            </w:r>
            <w:hyperlink r:id="rId4" w:history="1">
              <w:r w:rsidRPr="007730FA">
                <w:rPr>
                  <w:rFonts w:eastAsia="Times New Roman"/>
                  <w:color w:val="0000FF"/>
                  <w:sz w:val="28"/>
                  <w:szCs w:val="28"/>
                  <w:u w:val="single"/>
                  <w:lang w:eastAsia="ru-RU"/>
                </w:rPr>
                <w:t>www.fundmicro86.ru</w:t>
              </w:r>
            </w:hyperlink>
          </w:p>
        </w:tc>
      </w:tr>
    </w:tbl>
    <w:p w:rsidR="00574F1E" w:rsidRPr="007730FA" w:rsidRDefault="00574F1E">
      <w:pPr>
        <w:rPr>
          <w:rFonts w:ascii="Times New Roman" w:hAnsi="Times New Roman" w:cs="Times New Roman"/>
          <w:sz w:val="28"/>
          <w:szCs w:val="28"/>
        </w:rPr>
      </w:pPr>
    </w:p>
    <w:sectPr w:rsidR="00574F1E" w:rsidRPr="0077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8"/>
    <w:rsid w:val="00574F1E"/>
    <w:rsid w:val="00705888"/>
    <w:rsid w:val="0077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76864-7A21-4D8D-9096-42FFB067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Таблица простая 21"/>
    <w:basedOn w:val="a1"/>
    <w:next w:val="2"/>
    <w:uiPriority w:val="42"/>
    <w:rsid w:val="007730FA"/>
    <w:pPr>
      <w:spacing w:before="120"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2">
    <w:name w:val="Plain Table 2"/>
    <w:basedOn w:val="a1"/>
    <w:uiPriority w:val="42"/>
    <w:rsid w:val="007730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dmicro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Тимиреев Антон Рустемович</cp:lastModifiedBy>
  <cp:revision>2</cp:revision>
  <dcterms:created xsi:type="dcterms:W3CDTF">2019-09-12T06:42:00Z</dcterms:created>
  <dcterms:modified xsi:type="dcterms:W3CDTF">2019-09-12T06:43:00Z</dcterms:modified>
</cp:coreProperties>
</file>