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530B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55AA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.01.2020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55AA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530B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55A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46242A">
        <w:trPr>
          <w:trHeight w:val="3595"/>
        </w:trPr>
        <w:tc>
          <w:tcPr>
            <w:tcW w:w="9640" w:type="dxa"/>
          </w:tcPr>
          <w:p w:rsidR="00A9251F" w:rsidRPr="007D0B0C" w:rsidRDefault="00A9251F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15BE" w:rsidRPr="007D0B0C" w:rsidRDefault="0046242A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313D2D" wp14:editId="536C858E">
                  <wp:extent cx="544830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2A1C" w:rsidRDefault="00652A1C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</w:t>
            </w:r>
            <w:r w:rsidR="00AD529C">
              <w:rPr>
                <w:rFonts w:ascii="Times New Roman" w:hAnsi="Times New Roman" w:cs="Times New Roman"/>
                <w:lang w:val="ru-RU"/>
              </w:rPr>
              <w:t>телей по предварительной записи,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4D7D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738</w:t>
            </w:r>
            <w:r w:rsidR="004D7D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8 659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</w:t>
            </w:r>
            <w:r w:rsidR="00655AA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468</w:t>
            </w:r>
            <w:r w:rsidR="003C406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11,5 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611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,5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D7D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5 0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69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2 939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58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656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55A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526</w:t>
            </w:r>
            <w:r w:rsidR="00013E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 w:rsidR="00A3089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</w:t>
            </w:r>
            <w:r w:rsidR="00797469">
              <w:rPr>
                <w:rFonts w:ascii="Times New Roman" w:hAnsi="Times New Roman" w:cs="Times New Roman"/>
                <w:lang w:val="ru-RU"/>
              </w:rPr>
              <w:t>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  <w:bookmarkStart w:id="0" w:name="_GoBack"/>
        <w:bookmarkEnd w:id="0"/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27.01.2020-02.02.2020.xlsx]Данные'!$A$3:$A$14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27.01.2020-02.02.2020.xlsx]Данные'!$H$3:$H$14</c:f>
              <c:numCache>
                <c:formatCode>#,##0</c:formatCode>
                <c:ptCount val="12"/>
                <c:pt idx="0">
                  <c:v>143.19999999999999</c:v>
                </c:pt>
                <c:pt idx="1">
                  <c:v>179.8</c:v>
                </c:pt>
                <c:pt idx="2">
                  <c:v>176.54285714285714</c:v>
                </c:pt>
                <c:pt idx="3">
                  <c:v>181.11428571428573</c:v>
                </c:pt>
                <c:pt idx="4">
                  <c:v>177.48571428571427</c:v>
                </c:pt>
                <c:pt idx="5">
                  <c:v>174.14285714285714</c:v>
                </c:pt>
                <c:pt idx="6">
                  <c:v>206.23333333333335</c:v>
                </c:pt>
                <c:pt idx="7">
                  <c:v>198.76666666666668</c:v>
                </c:pt>
                <c:pt idx="8">
                  <c:v>175.26666666666665</c:v>
                </c:pt>
                <c:pt idx="9">
                  <c:v>157.73333333333332</c:v>
                </c:pt>
                <c:pt idx="10">
                  <c:v>171</c:v>
                </c:pt>
                <c:pt idx="11">
                  <c:v>98.333333333333343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4923648"/>
        <c:axId val="314924208"/>
      </c:barChart>
      <c:catAx>
        <c:axId val="3149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924208"/>
        <c:crosses val="autoZero"/>
        <c:auto val="1"/>
        <c:lblAlgn val="ctr"/>
        <c:lblOffset val="100"/>
        <c:noMultiLvlLbl val="0"/>
      </c:catAx>
      <c:valAx>
        <c:axId val="31492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92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28</cp:revision>
  <cp:lastPrinted>2020-01-28T13:06:00Z</cp:lastPrinted>
  <dcterms:created xsi:type="dcterms:W3CDTF">2019-11-20T06:14:00Z</dcterms:created>
  <dcterms:modified xsi:type="dcterms:W3CDTF">2020-02-04T06:32:00Z</dcterms:modified>
</cp:coreProperties>
</file>