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5E" w:rsidRPr="005649E4" w:rsidRDefault="00D5615E" w:rsidP="00363C68">
      <w:pPr>
        <w:spacing w:line="120" w:lineRule="atLeast"/>
        <w:jc w:val="center"/>
        <w:rPr>
          <w:sz w:val="18"/>
          <w:szCs w:val="24"/>
        </w:rPr>
      </w:pPr>
    </w:p>
    <w:p w:rsidR="00915D8A" w:rsidRDefault="00915D8A" w:rsidP="00915D8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center"/>
        <w:rPr>
          <w:szCs w:val="28"/>
        </w:rPr>
      </w:pPr>
      <w:r w:rsidRPr="00915D8A">
        <w:rPr>
          <w:szCs w:val="28"/>
        </w:rPr>
        <w:t xml:space="preserve">Постановление Администрации города от 25.02.2019 № 1288 </w:t>
      </w:r>
    </w:p>
    <w:p w:rsidR="00915D8A" w:rsidRDefault="00915D8A" w:rsidP="00915D8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center"/>
        <w:rPr>
          <w:szCs w:val="28"/>
        </w:rPr>
      </w:pPr>
      <w:r w:rsidRPr="00915D8A">
        <w:rPr>
          <w:szCs w:val="28"/>
        </w:rPr>
        <w:t xml:space="preserve">«Об утверждении бюджетного прогноза городского округа </w:t>
      </w:r>
    </w:p>
    <w:p w:rsidR="00915D8A" w:rsidRDefault="00915D8A" w:rsidP="00915D8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center"/>
        <w:rPr>
          <w:szCs w:val="28"/>
        </w:rPr>
      </w:pPr>
      <w:r w:rsidRPr="00915D8A">
        <w:rPr>
          <w:szCs w:val="28"/>
        </w:rPr>
        <w:t>город Сургут на долгосрочный период до 2030 года»</w:t>
      </w:r>
    </w:p>
    <w:p w:rsidR="00915D8A" w:rsidRPr="00915D8A" w:rsidRDefault="00915D8A" w:rsidP="00915D8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(с изменениями от 13.12.2019 № 9383)</w:t>
      </w:r>
    </w:p>
    <w:p w:rsidR="00915D8A" w:rsidRPr="00C8448F" w:rsidRDefault="00915D8A" w:rsidP="00915D8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szCs w:val="28"/>
        </w:rPr>
      </w:pPr>
    </w:p>
    <w:p w:rsidR="00D5615E" w:rsidRPr="00C8448F" w:rsidRDefault="00D5615E" w:rsidP="00D5615E">
      <w:pPr>
        <w:ind w:firstLine="709"/>
        <w:jc w:val="both"/>
        <w:rPr>
          <w:rFonts w:eastAsia="Calibri"/>
          <w:szCs w:val="28"/>
        </w:rPr>
      </w:pPr>
      <w:r w:rsidRPr="00C8448F">
        <w:rPr>
          <w:rFonts w:eastAsia="Calibri"/>
          <w:szCs w:val="28"/>
        </w:rPr>
        <w:t xml:space="preserve">В соответствии со ст.170.1 Бюджетного кодекса Российской Федерации, </w:t>
      </w:r>
      <w:r>
        <w:rPr>
          <w:rFonts w:eastAsia="Calibri"/>
          <w:szCs w:val="28"/>
        </w:rPr>
        <w:t xml:space="preserve"> </w:t>
      </w:r>
      <w:r w:rsidRPr="00C8448F">
        <w:rPr>
          <w:rFonts w:eastAsia="Calibri"/>
          <w:szCs w:val="28"/>
        </w:rPr>
        <w:t>Федеральным законом от 28.06.2014 № 172-ФЗ «О стратегическом планировании в Российской Федерации», решением Думы города от 18.02.2015 №</w:t>
      </w:r>
      <w:r>
        <w:rPr>
          <w:rFonts w:eastAsia="Calibri"/>
          <w:szCs w:val="28"/>
        </w:rPr>
        <w:t xml:space="preserve"> </w:t>
      </w:r>
      <w:r w:rsidRPr="00C8448F">
        <w:rPr>
          <w:rFonts w:eastAsia="Calibri"/>
          <w:szCs w:val="28"/>
        </w:rPr>
        <w:t>652-V</w:t>
      </w:r>
      <w:r>
        <w:rPr>
          <w:rFonts w:eastAsia="Calibri"/>
          <w:szCs w:val="28"/>
        </w:rPr>
        <w:t xml:space="preserve"> </w:t>
      </w:r>
      <w:r w:rsidRPr="00C8448F">
        <w:rPr>
          <w:rFonts w:eastAsia="Calibri"/>
          <w:szCs w:val="28"/>
        </w:rPr>
        <w:t>ДГ</w:t>
      </w:r>
      <w:r>
        <w:rPr>
          <w:rFonts w:eastAsia="Calibri"/>
          <w:szCs w:val="28"/>
        </w:rPr>
        <w:t xml:space="preserve"> </w:t>
      </w:r>
      <w:r w:rsidRPr="00C8448F">
        <w:rPr>
          <w:rFonts w:eastAsia="Calibri"/>
          <w:szCs w:val="28"/>
        </w:rPr>
        <w:t>«Об определении последовательности и порядка разработки документов стратегического планирования и их содержания», постановлением Администрации</w:t>
      </w:r>
      <w:r w:rsidR="00915D8A">
        <w:rPr>
          <w:rFonts w:eastAsia="Calibri"/>
          <w:szCs w:val="28"/>
        </w:rPr>
        <w:t xml:space="preserve"> </w:t>
      </w:r>
      <w:r w:rsidRPr="00C8448F">
        <w:rPr>
          <w:rFonts w:eastAsia="Calibri"/>
          <w:szCs w:val="28"/>
        </w:rPr>
        <w:t>города</w:t>
      </w:r>
      <w:r w:rsidRPr="00C8448F">
        <w:rPr>
          <w:rFonts w:ascii="Arial" w:hAnsi="Arial" w:cs="Arial"/>
          <w:sz w:val="24"/>
          <w:szCs w:val="24"/>
        </w:rPr>
        <w:t xml:space="preserve"> </w:t>
      </w:r>
      <w:r w:rsidRPr="00C8448F">
        <w:rPr>
          <w:rFonts w:eastAsia="Calibri"/>
          <w:szCs w:val="28"/>
        </w:rPr>
        <w:t xml:space="preserve">от 25.05.2016 № 3933 «Об утверждении порядка разработки бюджетного прогноза муниципального образования городской округ город Сургут»,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C8448F">
        <w:rPr>
          <w:rFonts w:eastAsia="Calibri"/>
          <w:szCs w:val="28"/>
        </w:rPr>
        <w:t>:</w:t>
      </w:r>
    </w:p>
    <w:p w:rsidR="00D5615E" w:rsidRPr="00C8448F" w:rsidRDefault="00D5615E" w:rsidP="00D5615E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</w:rPr>
      </w:pPr>
      <w:r w:rsidRPr="00C8448F">
        <w:rPr>
          <w:rFonts w:eastAsia="Calibri"/>
          <w:szCs w:val="28"/>
        </w:rPr>
        <w:t>1. Утвердить</w:t>
      </w:r>
      <w:r w:rsidRPr="00C8448F">
        <w:rPr>
          <w:rFonts w:ascii="Arial" w:hAnsi="Arial" w:cs="Arial"/>
          <w:sz w:val="24"/>
          <w:szCs w:val="24"/>
        </w:rPr>
        <w:t xml:space="preserve"> </w:t>
      </w:r>
      <w:r w:rsidRPr="00C8448F">
        <w:rPr>
          <w:rFonts w:eastAsia="Calibri"/>
          <w:szCs w:val="28"/>
        </w:rPr>
        <w:t xml:space="preserve">бюджетный прогноз городского округа город Сургут </w:t>
      </w:r>
      <w:r>
        <w:rPr>
          <w:rFonts w:eastAsia="Calibri"/>
          <w:szCs w:val="28"/>
        </w:rPr>
        <w:t xml:space="preserve">                         </w:t>
      </w:r>
      <w:r w:rsidRPr="00C8448F">
        <w:rPr>
          <w:rFonts w:eastAsia="Calibri"/>
          <w:szCs w:val="28"/>
        </w:rPr>
        <w:t>на долгосрочный период до 2030 года согласно приложению</w:t>
      </w:r>
      <w:r w:rsidRPr="00C8448F">
        <w:rPr>
          <w:rFonts w:eastAsia="Calibri"/>
          <w:spacing w:val="-6"/>
          <w:szCs w:val="28"/>
        </w:rPr>
        <w:t>.</w:t>
      </w:r>
    </w:p>
    <w:p w:rsidR="00D5615E" w:rsidRPr="00C8448F" w:rsidRDefault="00D5615E" w:rsidP="00D561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</w:rPr>
      </w:pPr>
      <w:r w:rsidRPr="00C8448F">
        <w:rPr>
          <w:rFonts w:eastAsia="Calibri"/>
          <w:spacing w:val="-6"/>
          <w:szCs w:val="28"/>
        </w:rPr>
        <w:t>2.</w:t>
      </w:r>
      <w:r>
        <w:rPr>
          <w:rFonts w:eastAsia="Calibri"/>
          <w:spacing w:val="-6"/>
          <w:szCs w:val="28"/>
        </w:rPr>
        <w:t xml:space="preserve"> </w:t>
      </w:r>
      <w:r w:rsidRPr="00C8448F">
        <w:rPr>
          <w:rFonts w:eastAsia="Calibri"/>
          <w:spacing w:val="-6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5615E" w:rsidRPr="00C8448F" w:rsidRDefault="00D5615E" w:rsidP="00D561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</w:rPr>
      </w:pPr>
      <w:r w:rsidRPr="00C8448F">
        <w:rPr>
          <w:rFonts w:eastAsia="Calibri"/>
          <w:spacing w:val="-6"/>
          <w:szCs w:val="28"/>
        </w:rPr>
        <w:t>3. Департаменту финансов направить бюджетный прогноз</w:t>
      </w:r>
      <w:r w:rsidRPr="00C8448F">
        <w:rPr>
          <w:rFonts w:ascii="Arial" w:hAnsi="Arial" w:cs="Arial"/>
          <w:sz w:val="24"/>
          <w:szCs w:val="24"/>
        </w:rPr>
        <w:t xml:space="preserve"> </w:t>
      </w:r>
      <w:r w:rsidRPr="00C8448F">
        <w:rPr>
          <w:rFonts w:eastAsia="Calibri"/>
          <w:spacing w:val="-6"/>
          <w:szCs w:val="28"/>
        </w:rPr>
        <w:t xml:space="preserve">городского округа город Сургут на долгосрочный период до 2030 года для государственной </w:t>
      </w:r>
      <w:proofErr w:type="spellStart"/>
      <w:r w:rsidRPr="00C8448F">
        <w:rPr>
          <w:rFonts w:eastAsia="Calibri"/>
          <w:spacing w:val="-6"/>
          <w:szCs w:val="28"/>
        </w:rPr>
        <w:t>реги</w:t>
      </w:r>
      <w:proofErr w:type="spellEnd"/>
      <w:r>
        <w:rPr>
          <w:rFonts w:eastAsia="Calibri"/>
          <w:spacing w:val="-6"/>
          <w:szCs w:val="28"/>
        </w:rPr>
        <w:t xml:space="preserve">-                </w:t>
      </w:r>
      <w:proofErr w:type="spellStart"/>
      <w:r w:rsidRPr="00C8448F">
        <w:rPr>
          <w:rFonts w:eastAsia="Calibri"/>
          <w:spacing w:val="-6"/>
          <w:szCs w:val="28"/>
        </w:rPr>
        <w:t>страции</w:t>
      </w:r>
      <w:proofErr w:type="spellEnd"/>
      <w:r w:rsidRPr="00C8448F">
        <w:rPr>
          <w:rFonts w:eastAsia="Calibri"/>
          <w:spacing w:val="-6"/>
          <w:szCs w:val="28"/>
        </w:rPr>
        <w:t xml:space="preserve"> в федеральном государственном реестре документов стратегического </w:t>
      </w:r>
      <w:r>
        <w:rPr>
          <w:rFonts w:eastAsia="Calibri"/>
          <w:spacing w:val="-6"/>
          <w:szCs w:val="28"/>
        </w:rPr>
        <w:t xml:space="preserve">                     </w:t>
      </w:r>
      <w:r w:rsidRPr="00C8448F">
        <w:rPr>
          <w:rFonts w:eastAsia="Calibri"/>
          <w:spacing w:val="-6"/>
          <w:szCs w:val="28"/>
        </w:rPr>
        <w:t>планирования в порядке, установленном Правительством Российской Федерации.</w:t>
      </w:r>
    </w:p>
    <w:p w:rsidR="00D5615E" w:rsidRPr="00C8448F" w:rsidRDefault="00D5615E" w:rsidP="00D561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48F">
        <w:rPr>
          <w:szCs w:val="28"/>
        </w:rPr>
        <w:t>4.</w:t>
      </w:r>
      <w:r>
        <w:rPr>
          <w:szCs w:val="28"/>
        </w:rPr>
        <w:t xml:space="preserve"> </w:t>
      </w:r>
      <w:r w:rsidRPr="00C8448F">
        <w:rPr>
          <w:szCs w:val="28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C8448F">
        <w:rPr>
          <w:szCs w:val="28"/>
        </w:rPr>
        <w:t>Шерстневу</w:t>
      </w:r>
      <w:proofErr w:type="spellEnd"/>
      <w:r w:rsidRPr="00C8448F">
        <w:rPr>
          <w:szCs w:val="28"/>
        </w:rPr>
        <w:t xml:space="preserve"> А.Ю.</w:t>
      </w:r>
    </w:p>
    <w:p w:rsidR="00D5615E" w:rsidRPr="00C8448F" w:rsidRDefault="00D5615E" w:rsidP="00D561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615E" w:rsidRDefault="00D5615E" w:rsidP="00D561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615E" w:rsidRPr="00C8448F" w:rsidRDefault="00D5615E" w:rsidP="00D561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615E" w:rsidRDefault="00D5615E" w:rsidP="00D561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D5615E">
        <w:rPr>
          <w:szCs w:val="28"/>
        </w:rPr>
        <w:t>И.о</w:t>
      </w:r>
      <w:proofErr w:type="spellEnd"/>
      <w:r w:rsidRPr="00D5615E">
        <w:rPr>
          <w:szCs w:val="28"/>
        </w:rPr>
        <w:t xml:space="preserve">. главы Администрации города                                                        </w:t>
      </w:r>
      <w:r>
        <w:rPr>
          <w:szCs w:val="28"/>
        </w:rPr>
        <w:t xml:space="preserve">    </w:t>
      </w:r>
      <w:r w:rsidRPr="00D5615E">
        <w:rPr>
          <w:szCs w:val="28"/>
        </w:rPr>
        <w:t xml:space="preserve">А.А. </w:t>
      </w:r>
      <w:proofErr w:type="spellStart"/>
      <w:r w:rsidRPr="00D5615E">
        <w:rPr>
          <w:szCs w:val="28"/>
        </w:rPr>
        <w:t>Жердев</w:t>
      </w:r>
      <w:proofErr w:type="spellEnd"/>
    </w:p>
    <w:p w:rsidR="00D5615E" w:rsidRDefault="00D5615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5615E" w:rsidRDefault="00D5615E" w:rsidP="00D5615E">
      <w:pPr>
        <w:ind w:left="567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Приложение </w:t>
      </w:r>
    </w:p>
    <w:p w:rsidR="00D5615E" w:rsidRDefault="00D5615E" w:rsidP="00D5615E">
      <w:pPr>
        <w:ind w:left="567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постановлению </w:t>
      </w:r>
    </w:p>
    <w:p w:rsidR="00D5615E" w:rsidRDefault="00D5615E" w:rsidP="00D5615E">
      <w:pPr>
        <w:ind w:left="567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Администрации города</w:t>
      </w:r>
    </w:p>
    <w:p w:rsidR="00D5615E" w:rsidRDefault="00D5615E" w:rsidP="00D5615E">
      <w:pPr>
        <w:ind w:left="567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="00915D8A">
        <w:rPr>
          <w:color w:val="000000" w:themeColor="text1"/>
          <w:szCs w:val="28"/>
        </w:rPr>
        <w:t>25.02.2019</w:t>
      </w:r>
      <w:r>
        <w:rPr>
          <w:color w:val="000000" w:themeColor="text1"/>
          <w:szCs w:val="28"/>
        </w:rPr>
        <w:t xml:space="preserve"> № </w:t>
      </w:r>
      <w:r w:rsidR="00915D8A">
        <w:rPr>
          <w:color w:val="000000" w:themeColor="text1"/>
          <w:szCs w:val="28"/>
        </w:rPr>
        <w:t>1288</w:t>
      </w:r>
    </w:p>
    <w:p w:rsidR="00915D8A" w:rsidRPr="00915D8A" w:rsidRDefault="00915D8A" w:rsidP="00915D8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5670"/>
        <w:rPr>
          <w:sz w:val="24"/>
          <w:szCs w:val="24"/>
        </w:rPr>
      </w:pPr>
      <w:r w:rsidRPr="00915D8A">
        <w:rPr>
          <w:sz w:val="24"/>
          <w:szCs w:val="24"/>
        </w:rPr>
        <w:t>(с изменениями от 13.12.2019 № 9383)</w:t>
      </w:r>
    </w:p>
    <w:p w:rsidR="00D5615E" w:rsidRDefault="00D5615E" w:rsidP="00D5615E">
      <w:pPr>
        <w:ind w:left="6480"/>
        <w:rPr>
          <w:color w:val="000000" w:themeColor="text1"/>
          <w:szCs w:val="28"/>
        </w:rPr>
      </w:pPr>
    </w:p>
    <w:p w:rsidR="00D5615E" w:rsidRDefault="00D5615E" w:rsidP="00D5615E">
      <w:pPr>
        <w:rPr>
          <w:color w:val="000000" w:themeColor="text1"/>
          <w:szCs w:val="28"/>
        </w:rPr>
      </w:pPr>
    </w:p>
    <w:p w:rsidR="00D5615E" w:rsidRDefault="00D5615E" w:rsidP="00D5615E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Бюджетный прогноз </w:t>
      </w:r>
    </w:p>
    <w:p w:rsidR="00D5615E" w:rsidRDefault="00D5615E" w:rsidP="00D5615E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городского округа город Сургут на долгосрочный период </w:t>
      </w:r>
    </w:p>
    <w:p w:rsidR="00D5615E" w:rsidRDefault="00D5615E" w:rsidP="00D5615E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 2030 года</w:t>
      </w:r>
    </w:p>
    <w:p w:rsidR="00D5615E" w:rsidRDefault="00D5615E" w:rsidP="00D5615E">
      <w:pPr>
        <w:jc w:val="center"/>
        <w:rPr>
          <w:color w:val="000000" w:themeColor="text1"/>
          <w:szCs w:val="28"/>
        </w:rPr>
      </w:pPr>
    </w:p>
    <w:p w:rsidR="00D5615E" w:rsidRDefault="00D5615E" w:rsidP="00D5615E">
      <w:pPr>
        <w:pStyle w:val="a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Общие положения</w:t>
      </w:r>
    </w:p>
    <w:p w:rsidR="00D5615E" w:rsidRPr="00DA66CD" w:rsidRDefault="00D5615E" w:rsidP="00D5615E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1. </w:t>
      </w:r>
      <w:r w:rsidRPr="00DA66CD">
        <w:rPr>
          <w:rFonts w:eastAsia="Calibri"/>
          <w:color w:val="000000" w:themeColor="text1"/>
          <w:szCs w:val="28"/>
        </w:rPr>
        <w:t>Бюджетный прогноз городского округа город Сургут на долгосрочный период до 2030 года (далее – бюджетный прогноз) подготовлен в соответствии со стать</w:t>
      </w:r>
      <w:r>
        <w:rPr>
          <w:rFonts w:eastAsia="Calibri"/>
          <w:color w:val="000000" w:themeColor="text1"/>
          <w:szCs w:val="28"/>
        </w:rPr>
        <w:t>е</w:t>
      </w:r>
      <w:r w:rsidRPr="00DA66CD">
        <w:rPr>
          <w:rFonts w:eastAsia="Calibri"/>
          <w:color w:val="000000" w:themeColor="text1"/>
          <w:szCs w:val="28"/>
        </w:rPr>
        <w:t>й 170.1 Бюджетного кодекса Российской Федерации, стать</w:t>
      </w:r>
      <w:r>
        <w:rPr>
          <w:rFonts w:eastAsia="Calibri"/>
          <w:color w:val="000000" w:themeColor="text1"/>
          <w:szCs w:val="28"/>
        </w:rPr>
        <w:t>е</w:t>
      </w:r>
      <w:r w:rsidRPr="00DA66CD">
        <w:rPr>
          <w:rFonts w:eastAsia="Calibri"/>
          <w:color w:val="000000" w:themeColor="text1"/>
          <w:szCs w:val="28"/>
        </w:rPr>
        <w:t>й 8 Поло</w:t>
      </w:r>
      <w:r>
        <w:rPr>
          <w:rFonts w:eastAsia="Calibri"/>
          <w:color w:val="000000" w:themeColor="text1"/>
          <w:szCs w:val="28"/>
        </w:rPr>
        <w:t xml:space="preserve">- </w:t>
      </w:r>
      <w:proofErr w:type="spellStart"/>
      <w:r w:rsidRPr="00DA66CD">
        <w:rPr>
          <w:rFonts w:eastAsia="Calibri"/>
          <w:color w:val="000000" w:themeColor="text1"/>
          <w:szCs w:val="28"/>
        </w:rPr>
        <w:t>жения</w:t>
      </w:r>
      <w:proofErr w:type="spellEnd"/>
      <w:r w:rsidRPr="00DA66CD">
        <w:rPr>
          <w:rFonts w:eastAsia="Calibri"/>
          <w:color w:val="000000" w:themeColor="text1"/>
          <w:szCs w:val="28"/>
        </w:rPr>
        <w:t xml:space="preserve"> о бюджетном процессе в городском округе город Сургут,</w:t>
      </w:r>
      <w:r>
        <w:rPr>
          <w:rFonts w:eastAsia="Calibri"/>
          <w:color w:val="000000" w:themeColor="text1"/>
          <w:szCs w:val="28"/>
        </w:rPr>
        <w:t xml:space="preserve"> утвержденного решением Думы города от 28.03.2008 №358-</w:t>
      </w:r>
      <w:r>
        <w:rPr>
          <w:rFonts w:eastAsia="Calibri"/>
          <w:color w:val="000000" w:themeColor="text1"/>
          <w:szCs w:val="28"/>
          <w:lang w:val="en-US"/>
        </w:rPr>
        <w:t>IV</w:t>
      </w:r>
      <w:r w:rsidRPr="006C1EF7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ДГ</w:t>
      </w:r>
      <w:r w:rsidRPr="006C1EF7">
        <w:t xml:space="preserve"> </w:t>
      </w:r>
      <w:r>
        <w:rPr>
          <w:rFonts w:eastAsia="Calibri"/>
          <w:color w:val="000000" w:themeColor="text1"/>
          <w:szCs w:val="28"/>
        </w:rPr>
        <w:t>«</w:t>
      </w:r>
      <w:r w:rsidRPr="006C1EF7">
        <w:rPr>
          <w:rFonts w:eastAsia="Calibri"/>
          <w:color w:val="000000" w:themeColor="text1"/>
          <w:szCs w:val="28"/>
        </w:rPr>
        <w:t xml:space="preserve">О Положении о бюджетном процессе </w:t>
      </w:r>
      <w:r>
        <w:rPr>
          <w:rFonts w:eastAsia="Calibri"/>
          <w:color w:val="000000" w:themeColor="text1"/>
          <w:szCs w:val="28"/>
        </w:rPr>
        <w:t>в городском округе город Сургут»,</w:t>
      </w:r>
      <w:r w:rsidRPr="00DA66CD">
        <w:rPr>
          <w:rFonts w:eastAsia="Calibri"/>
          <w:color w:val="000000" w:themeColor="text1"/>
          <w:szCs w:val="28"/>
        </w:rPr>
        <w:t xml:space="preserve"> с уч</w:t>
      </w:r>
      <w:r>
        <w:rPr>
          <w:rFonts w:eastAsia="Calibri"/>
          <w:color w:val="000000" w:themeColor="text1"/>
          <w:szCs w:val="28"/>
        </w:rPr>
        <w:t>е</w:t>
      </w:r>
      <w:r w:rsidRPr="00DA66CD">
        <w:rPr>
          <w:rFonts w:eastAsia="Calibri"/>
          <w:color w:val="000000" w:themeColor="text1"/>
          <w:szCs w:val="28"/>
        </w:rPr>
        <w:t xml:space="preserve">том </w:t>
      </w:r>
      <w:r w:rsidRPr="00830F30">
        <w:rPr>
          <w:rFonts w:eastAsia="Calibri"/>
          <w:color w:val="000000" w:themeColor="text1"/>
          <w:szCs w:val="28"/>
        </w:rPr>
        <w:t xml:space="preserve">стратегических целей, сформулированных в </w:t>
      </w:r>
      <w:r>
        <w:rPr>
          <w:rFonts w:eastAsia="Calibri"/>
          <w:color w:val="000000" w:themeColor="text1"/>
          <w:szCs w:val="28"/>
        </w:rPr>
        <w:t>У</w:t>
      </w:r>
      <w:r w:rsidRPr="00830F30">
        <w:rPr>
          <w:rFonts w:eastAsia="Calibri"/>
          <w:color w:val="000000" w:themeColor="text1"/>
          <w:szCs w:val="28"/>
        </w:rPr>
        <w:t>казах Президента Российской</w:t>
      </w:r>
      <w:r w:rsidRPr="00DA66CD">
        <w:rPr>
          <w:rFonts w:eastAsia="Calibri"/>
          <w:color w:val="000000" w:themeColor="text1"/>
          <w:szCs w:val="28"/>
        </w:rPr>
        <w:t xml:space="preserve"> Федерации от 7 мая </w:t>
      </w:r>
      <w:r>
        <w:rPr>
          <w:rFonts w:eastAsia="Calibri"/>
          <w:color w:val="000000" w:themeColor="text1"/>
          <w:szCs w:val="28"/>
        </w:rPr>
        <w:t xml:space="preserve">                   </w:t>
      </w:r>
      <w:r w:rsidRPr="00DA66CD">
        <w:rPr>
          <w:rFonts w:eastAsia="Calibri"/>
          <w:color w:val="000000" w:themeColor="text1"/>
          <w:szCs w:val="28"/>
        </w:rPr>
        <w:t xml:space="preserve">2018 года № 204 «О национальных целях и стратегических задачах развития </w:t>
      </w:r>
      <w:r>
        <w:rPr>
          <w:rFonts w:eastAsia="Calibri"/>
          <w:color w:val="000000" w:themeColor="text1"/>
          <w:szCs w:val="28"/>
        </w:rPr>
        <w:t xml:space="preserve">                    </w:t>
      </w:r>
      <w:r w:rsidRPr="00DA66CD">
        <w:rPr>
          <w:rFonts w:eastAsia="Calibri"/>
          <w:color w:val="000000" w:themeColor="text1"/>
          <w:szCs w:val="28"/>
        </w:rPr>
        <w:t>Российской Федерации на перио</w:t>
      </w:r>
      <w:r>
        <w:rPr>
          <w:rFonts w:eastAsia="Calibri"/>
          <w:color w:val="000000" w:themeColor="text1"/>
          <w:szCs w:val="28"/>
        </w:rPr>
        <w:t xml:space="preserve">д до 2024 года» (далее – Указ № </w:t>
      </w:r>
      <w:r w:rsidRPr="00DA66CD">
        <w:rPr>
          <w:rFonts w:eastAsia="Calibri"/>
          <w:color w:val="000000" w:themeColor="text1"/>
          <w:szCs w:val="28"/>
        </w:rPr>
        <w:t>204), Стратегии социально-экономического разв</w:t>
      </w:r>
      <w:r>
        <w:rPr>
          <w:rFonts w:eastAsia="Calibri"/>
          <w:color w:val="000000" w:themeColor="text1"/>
          <w:szCs w:val="28"/>
        </w:rPr>
        <w:t xml:space="preserve">ития муниципального образования </w:t>
      </w:r>
      <w:r w:rsidRPr="00DA66CD">
        <w:rPr>
          <w:rFonts w:eastAsia="Calibri"/>
          <w:color w:val="000000" w:themeColor="text1"/>
          <w:szCs w:val="28"/>
        </w:rPr>
        <w:t>городской округ город Сургут на период до 2030 года, утвержденно</w:t>
      </w:r>
      <w:r>
        <w:rPr>
          <w:rFonts w:eastAsia="Calibri"/>
          <w:color w:val="000000" w:themeColor="text1"/>
          <w:szCs w:val="28"/>
        </w:rPr>
        <w:t>й</w:t>
      </w:r>
      <w:r w:rsidRPr="00DA66CD">
        <w:rPr>
          <w:rFonts w:eastAsia="Calibri"/>
          <w:color w:val="000000" w:themeColor="text1"/>
          <w:szCs w:val="28"/>
        </w:rPr>
        <w:t xml:space="preserve"> решением Думы </w:t>
      </w:r>
      <w:r>
        <w:rPr>
          <w:rFonts w:eastAsia="Calibri"/>
          <w:color w:val="000000" w:themeColor="text1"/>
          <w:szCs w:val="28"/>
        </w:rPr>
        <w:t xml:space="preserve">                   </w:t>
      </w:r>
      <w:r w:rsidRPr="00DA66CD">
        <w:rPr>
          <w:rFonts w:eastAsia="Calibri"/>
          <w:color w:val="000000" w:themeColor="text1"/>
          <w:szCs w:val="28"/>
        </w:rPr>
        <w:t>города</w:t>
      </w:r>
      <w:r>
        <w:rPr>
          <w:rFonts w:eastAsia="Calibri"/>
          <w:color w:val="000000" w:themeColor="text1"/>
          <w:szCs w:val="28"/>
        </w:rPr>
        <w:t xml:space="preserve"> </w:t>
      </w:r>
      <w:r w:rsidRPr="00DA66CD">
        <w:rPr>
          <w:rFonts w:eastAsia="Calibri"/>
          <w:color w:val="000000" w:themeColor="text1"/>
          <w:szCs w:val="28"/>
        </w:rPr>
        <w:t xml:space="preserve">от </w:t>
      </w:r>
      <w:r>
        <w:rPr>
          <w:rFonts w:eastAsia="Calibri"/>
          <w:color w:val="000000" w:themeColor="text1"/>
          <w:szCs w:val="28"/>
        </w:rPr>
        <w:t>0</w:t>
      </w:r>
      <w:r w:rsidRPr="00DA66CD">
        <w:rPr>
          <w:rFonts w:eastAsia="Calibri"/>
          <w:color w:val="000000" w:themeColor="text1"/>
          <w:szCs w:val="28"/>
        </w:rPr>
        <w:t>8</w:t>
      </w:r>
      <w:r>
        <w:rPr>
          <w:rFonts w:eastAsia="Calibri"/>
          <w:color w:val="000000" w:themeColor="text1"/>
          <w:szCs w:val="28"/>
        </w:rPr>
        <w:t>.06.2015 № 718-VДГ.</w:t>
      </w:r>
    </w:p>
    <w:p w:rsidR="00D5615E" w:rsidRPr="005D113C" w:rsidRDefault="00D5615E" w:rsidP="00D5615E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2. </w:t>
      </w:r>
      <w:r w:rsidRPr="007171C0">
        <w:rPr>
          <w:rFonts w:eastAsia="Calibri"/>
          <w:color w:val="000000" w:themeColor="text1"/>
          <w:szCs w:val="28"/>
        </w:rPr>
        <w:t xml:space="preserve">Бюджетный прогноз разработан на 12 лет (на 2019 – 2030 годы) </w:t>
      </w:r>
      <w:r>
        <w:rPr>
          <w:rFonts w:eastAsia="Calibri"/>
          <w:color w:val="000000" w:themeColor="text1"/>
          <w:szCs w:val="28"/>
        </w:rPr>
        <w:t xml:space="preserve">                           </w:t>
      </w:r>
      <w:r w:rsidRPr="007171C0">
        <w:rPr>
          <w:rFonts w:eastAsia="Calibri"/>
          <w:color w:val="000000" w:themeColor="text1"/>
          <w:szCs w:val="28"/>
        </w:rPr>
        <w:t xml:space="preserve">на основе прогноза социально-экономического развития муниципального образования </w:t>
      </w:r>
      <w:r w:rsidRPr="005D113C">
        <w:rPr>
          <w:rFonts w:eastAsia="Calibri"/>
          <w:color w:val="000000" w:themeColor="text1"/>
          <w:szCs w:val="28"/>
        </w:rPr>
        <w:t>городской округ город Сургут на период до 2030 года, утвержденного постановлением Администрации города от 10.09.2018 № 6918</w:t>
      </w:r>
      <w:r>
        <w:rPr>
          <w:rFonts w:eastAsia="Calibri"/>
          <w:color w:val="000000" w:themeColor="text1"/>
          <w:szCs w:val="28"/>
        </w:rPr>
        <w:t xml:space="preserve"> (далее – долгосрочный прогноз СЭР)</w:t>
      </w:r>
      <w:r w:rsidRPr="005D113C">
        <w:rPr>
          <w:rFonts w:eastAsia="Calibri"/>
          <w:color w:val="000000" w:themeColor="text1"/>
          <w:szCs w:val="28"/>
        </w:rPr>
        <w:t xml:space="preserve">, на основании постановления Администрации города </w:t>
      </w:r>
      <w:r>
        <w:rPr>
          <w:rFonts w:eastAsia="Calibri"/>
          <w:color w:val="000000" w:themeColor="text1"/>
          <w:szCs w:val="28"/>
        </w:rPr>
        <w:t xml:space="preserve">                </w:t>
      </w:r>
      <w:r w:rsidRPr="005D113C">
        <w:rPr>
          <w:rFonts w:eastAsia="Calibri"/>
          <w:color w:val="000000" w:themeColor="text1"/>
          <w:szCs w:val="28"/>
        </w:rPr>
        <w:t xml:space="preserve">от 25.05.2016 № 3933 «Об утверждении порядка разработки бюджетного </w:t>
      </w:r>
      <w:r>
        <w:rPr>
          <w:rFonts w:eastAsia="Calibri"/>
          <w:color w:val="000000" w:themeColor="text1"/>
          <w:szCs w:val="28"/>
        </w:rPr>
        <w:t xml:space="preserve">                    </w:t>
      </w:r>
      <w:r w:rsidRPr="005D113C">
        <w:rPr>
          <w:rFonts w:eastAsia="Calibri"/>
          <w:color w:val="000000" w:themeColor="text1"/>
          <w:szCs w:val="28"/>
        </w:rPr>
        <w:t>прогноза муниципального образования городской округ город Сургут на долгосрочный период».</w:t>
      </w:r>
    </w:p>
    <w:p w:rsidR="00D5615E" w:rsidRPr="002C66A0" w:rsidRDefault="00D5615E" w:rsidP="00D5615E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3. </w:t>
      </w:r>
      <w:r w:rsidRPr="002C66A0">
        <w:rPr>
          <w:rFonts w:eastAsia="Calibri"/>
          <w:color w:val="000000" w:themeColor="text1"/>
          <w:szCs w:val="28"/>
        </w:rPr>
        <w:t>Бюджетный прогноз содержит описание</w:t>
      </w:r>
      <w:r w:rsidRPr="002C66A0">
        <w:rPr>
          <w:color w:val="000000" w:themeColor="text1"/>
        </w:rPr>
        <w:t xml:space="preserve"> </w:t>
      </w:r>
      <w:r w:rsidRPr="002C66A0">
        <w:rPr>
          <w:rFonts w:eastAsia="Calibri"/>
          <w:color w:val="000000" w:themeColor="text1"/>
          <w:szCs w:val="28"/>
        </w:rPr>
        <w:t xml:space="preserve">обоснования выбора варианта долгосрочного прогноза </w:t>
      </w:r>
      <w:r>
        <w:rPr>
          <w:rFonts w:eastAsia="Calibri"/>
          <w:color w:val="000000" w:themeColor="text1"/>
          <w:szCs w:val="28"/>
        </w:rPr>
        <w:t xml:space="preserve">СЭР </w:t>
      </w:r>
      <w:r w:rsidRPr="002C66A0">
        <w:rPr>
          <w:rFonts w:eastAsia="Calibri"/>
          <w:color w:val="000000" w:themeColor="text1"/>
          <w:szCs w:val="28"/>
        </w:rPr>
        <w:t xml:space="preserve">в качестве базового для целей бюджетного </w:t>
      </w:r>
      <w:r>
        <w:rPr>
          <w:rFonts w:eastAsia="Calibri"/>
          <w:color w:val="000000" w:themeColor="text1"/>
          <w:szCs w:val="28"/>
        </w:rPr>
        <w:t xml:space="preserve">                      </w:t>
      </w:r>
      <w:r w:rsidRPr="002C66A0">
        <w:rPr>
          <w:rFonts w:eastAsia="Calibri"/>
          <w:color w:val="000000" w:themeColor="text1"/>
          <w:szCs w:val="28"/>
        </w:rPr>
        <w:t>прогноза, подходов к формированию бюджетной и налоговой политики города на долгосрочный период, основных характеристик бюджета города с уч</w:t>
      </w:r>
      <w:r>
        <w:rPr>
          <w:rFonts w:eastAsia="Calibri"/>
          <w:color w:val="000000" w:themeColor="text1"/>
          <w:szCs w:val="28"/>
        </w:rPr>
        <w:t>е</w:t>
      </w:r>
      <w:r w:rsidRPr="002C66A0">
        <w:rPr>
          <w:rFonts w:eastAsia="Calibri"/>
          <w:color w:val="000000" w:themeColor="text1"/>
          <w:szCs w:val="28"/>
        </w:rPr>
        <w:t xml:space="preserve">том </w:t>
      </w:r>
      <w:r>
        <w:rPr>
          <w:rFonts w:eastAsia="Calibri"/>
          <w:color w:val="000000" w:themeColor="text1"/>
          <w:szCs w:val="28"/>
        </w:rPr>
        <w:t xml:space="preserve">               </w:t>
      </w:r>
      <w:r w:rsidRPr="002C66A0">
        <w:rPr>
          <w:rFonts w:eastAsia="Calibri"/>
          <w:color w:val="000000" w:themeColor="text1"/>
          <w:szCs w:val="28"/>
        </w:rPr>
        <w:t>выбранного сценария, а также показателей объ</w:t>
      </w:r>
      <w:r>
        <w:rPr>
          <w:rFonts w:eastAsia="Calibri"/>
          <w:color w:val="000000" w:themeColor="text1"/>
          <w:szCs w:val="28"/>
        </w:rPr>
        <w:t>е</w:t>
      </w:r>
      <w:r w:rsidRPr="002C66A0">
        <w:rPr>
          <w:rFonts w:eastAsia="Calibri"/>
          <w:color w:val="000000" w:themeColor="text1"/>
          <w:szCs w:val="28"/>
        </w:rPr>
        <w:t xml:space="preserve">ма муниципального долга; определяет предельные расходы на финансовое обеспечение реализации муниципальных программ города на период их действия, а также прогноз расходов </w:t>
      </w:r>
      <w:r>
        <w:rPr>
          <w:rFonts w:eastAsia="Calibri"/>
          <w:color w:val="000000" w:themeColor="text1"/>
          <w:szCs w:val="28"/>
        </w:rPr>
        <w:t xml:space="preserve">                   </w:t>
      </w:r>
      <w:r w:rsidRPr="002C66A0">
        <w:rPr>
          <w:rFonts w:eastAsia="Calibri"/>
          <w:color w:val="000000" w:themeColor="text1"/>
          <w:szCs w:val="28"/>
        </w:rPr>
        <w:t>на осуществление непрограммных направлений деятельности.</w:t>
      </w:r>
    </w:p>
    <w:p w:rsidR="00D5615E" w:rsidRDefault="00D5615E" w:rsidP="00D5615E">
      <w:pPr>
        <w:jc w:val="center"/>
        <w:rPr>
          <w:color w:val="000000" w:themeColor="text1"/>
          <w:szCs w:val="28"/>
        </w:rPr>
      </w:pPr>
    </w:p>
    <w:p w:rsidR="00D5615E" w:rsidRPr="000B020D" w:rsidRDefault="00D5615E" w:rsidP="00D5615E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Раздел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>. Основные условия формирования бюджетного прогноза</w:t>
      </w:r>
    </w:p>
    <w:p w:rsidR="00D5615E" w:rsidRDefault="00D5615E" w:rsidP="00D561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1. </w:t>
      </w:r>
      <w:r w:rsidRPr="00A531B4">
        <w:rPr>
          <w:color w:val="000000"/>
          <w:szCs w:val="28"/>
          <w:lang w:eastAsia="ar-SA"/>
        </w:rPr>
        <w:t>Бюджетная деятельность муниципального образования в 2017 году</w:t>
      </w:r>
      <w:r>
        <w:rPr>
          <w:color w:val="000000"/>
          <w:szCs w:val="28"/>
          <w:lang w:eastAsia="ar-SA"/>
        </w:rPr>
        <w:t xml:space="preserve">                      и первом полугодии 2018 года</w:t>
      </w:r>
      <w:r w:rsidRPr="00A531B4">
        <w:rPr>
          <w:color w:val="000000"/>
          <w:szCs w:val="28"/>
          <w:lang w:eastAsia="ar-SA"/>
        </w:rPr>
        <w:t xml:space="preserve"> осуществлялась в условиях </w:t>
      </w:r>
      <w:r>
        <w:rPr>
          <w:color w:val="000000"/>
          <w:szCs w:val="28"/>
          <w:lang w:eastAsia="ar-SA"/>
        </w:rPr>
        <w:t>сохранения средних</w:t>
      </w:r>
      <w:r w:rsidRPr="00A531B4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lastRenderedPageBreak/>
        <w:t xml:space="preserve">темпов </w:t>
      </w:r>
      <w:r w:rsidRPr="00A531B4">
        <w:rPr>
          <w:color w:val="000000"/>
          <w:szCs w:val="28"/>
          <w:lang w:eastAsia="ar-SA"/>
        </w:rPr>
        <w:t xml:space="preserve">социально-экономического развития, </w:t>
      </w:r>
      <w:r>
        <w:rPr>
          <w:color w:val="000000"/>
          <w:szCs w:val="28"/>
          <w:lang w:eastAsia="ar-SA"/>
        </w:rPr>
        <w:t>характерных для экономики страны.</w:t>
      </w:r>
    </w:p>
    <w:p w:rsidR="00D5615E" w:rsidRDefault="00D5615E" w:rsidP="00D561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 Основные итоги реализации бюджетной и налоговой политики города изложены в основных</w:t>
      </w:r>
      <w:r w:rsidRPr="00441913">
        <w:rPr>
          <w:color w:val="000000"/>
          <w:szCs w:val="28"/>
          <w:lang w:eastAsia="ar-SA"/>
        </w:rPr>
        <w:t xml:space="preserve"> направлени</w:t>
      </w:r>
      <w:r>
        <w:rPr>
          <w:color w:val="000000"/>
          <w:szCs w:val="28"/>
          <w:lang w:eastAsia="ar-SA"/>
        </w:rPr>
        <w:t>ях</w:t>
      </w:r>
      <w:r w:rsidRPr="00441913">
        <w:t xml:space="preserve"> </w:t>
      </w:r>
      <w:r w:rsidRPr="00441913">
        <w:rPr>
          <w:color w:val="000000"/>
          <w:szCs w:val="28"/>
          <w:lang w:eastAsia="ar-SA"/>
        </w:rPr>
        <w:t xml:space="preserve">бюджетной и налоговой политики </w:t>
      </w:r>
      <w:r>
        <w:rPr>
          <w:color w:val="000000"/>
          <w:szCs w:val="28"/>
          <w:lang w:eastAsia="ar-SA"/>
        </w:rPr>
        <w:t>города</w:t>
      </w:r>
      <w:r w:rsidRPr="00441913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                 </w:t>
      </w:r>
      <w:r w:rsidRPr="00441913">
        <w:rPr>
          <w:color w:val="000000"/>
          <w:szCs w:val="28"/>
          <w:lang w:eastAsia="ar-SA"/>
        </w:rPr>
        <w:t>на 2019 год и плановый период 2020 – 2021 годов</w:t>
      </w:r>
      <w:r>
        <w:rPr>
          <w:color w:val="000000"/>
          <w:szCs w:val="28"/>
          <w:lang w:eastAsia="ar-SA"/>
        </w:rPr>
        <w:t>, утвержд</w:t>
      </w:r>
      <w:r w:rsidR="00B15220">
        <w:rPr>
          <w:color w:val="000000"/>
          <w:szCs w:val="28"/>
          <w:lang w:eastAsia="ar-SA"/>
        </w:rPr>
        <w:t>е</w:t>
      </w:r>
      <w:r>
        <w:rPr>
          <w:color w:val="000000"/>
          <w:szCs w:val="28"/>
          <w:lang w:eastAsia="ar-SA"/>
        </w:rPr>
        <w:t>нных постановлением Администрации города от 12.10.2018 № 7743.</w:t>
      </w:r>
    </w:p>
    <w:p w:rsidR="00D5615E" w:rsidRDefault="00D5615E" w:rsidP="00D561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ar-SA"/>
        </w:rPr>
      </w:pPr>
      <w:r>
        <w:rPr>
          <w:szCs w:val="28"/>
        </w:rPr>
        <w:t>К</w:t>
      </w:r>
      <w:r w:rsidRPr="00A531B4">
        <w:rPr>
          <w:szCs w:val="28"/>
        </w:rPr>
        <w:t xml:space="preserve">лючевым ориентиром </w:t>
      </w:r>
      <w:r>
        <w:rPr>
          <w:szCs w:val="28"/>
        </w:rPr>
        <w:t xml:space="preserve">для формирования </w:t>
      </w:r>
      <w:r w:rsidRPr="00A531B4">
        <w:rPr>
          <w:szCs w:val="28"/>
        </w:rPr>
        <w:t xml:space="preserve">бюджетной и налоговой политики </w:t>
      </w:r>
      <w:r>
        <w:rPr>
          <w:szCs w:val="28"/>
        </w:rPr>
        <w:t>города на долгосрочный период является</w:t>
      </w:r>
      <w:r w:rsidRPr="00A531B4">
        <w:rPr>
          <w:szCs w:val="28"/>
        </w:rPr>
        <w:t xml:space="preserve"> обеспечение долгосрочной </w:t>
      </w:r>
      <w:r>
        <w:rPr>
          <w:szCs w:val="28"/>
        </w:rPr>
        <w:t xml:space="preserve">                  </w:t>
      </w:r>
      <w:r w:rsidRPr="00A531B4">
        <w:rPr>
          <w:szCs w:val="28"/>
        </w:rPr>
        <w:t>сбалансированности и стабильности бюджет</w:t>
      </w:r>
      <w:r>
        <w:rPr>
          <w:szCs w:val="28"/>
        </w:rPr>
        <w:t>а.</w:t>
      </w:r>
    </w:p>
    <w:p w:rsidR="00D5615E" w:rsidRDefault="00D5615E" w:rsidP="00D561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Параметры</w:t>
      </w:r>
      <w:r w:rsidRPr="00812F7D">
        <w:rPr>
          <w:color w:val="000000" w:themeColor="text1"/>
          <w:szCs w:val="28"/>
        </w:rPr>
        <w:t xml:space="preserve"> долгосрочного прогноза </w:t>
      </w:r>
      <w:r>
        <w:rPr>
          <w:color w:val="000000" w:themeColor="text1"/>
          <w:szCs w:val="28"/>
        </w:rPr>
        <w:t xml:space="preserve">СЭР разработаны </w:t>
      </w:r>
      <w:r w:rsidRPr="00812F7D">
        <w:rPr>
          <w:color w:val="000000" w:themeColor="text1"/>
          <w:szCs w:val="28"/>
        </w:rPr>
        <w:t>в тр</w:t>
      </w:r>
      <w:r>
        <w:rPr>
          <w:color w:val="000000" w:themeColor="text1"/>
          <w:szCs w:val="28"/>
        </w:rPr>
        <w:t>е</w:t>
      </w:r>
      <w:r w:rsidRPr="00812F7D">
        <w:rPr>
          <w:color w:val="000000" w:themeColor="text1"/>
          <w:szCs w:val="28"/>
        </w:rPr>
        <w:t>х вариантах: консервативном, базовом и целевом. Варианты прогноза отличаются оценками основных макроэкономических факторов и тенденций.</w:t>
      </w:r>
    </w:p>
    <w:p w:rsidR="00D5615E" w:rsidRPr="00211A39" w:rsidRDefault="00D5615E" w:rsidP="00D561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ar-SA"/>
        </w:rPr>
      </w:pPr>
      <w:r w:rsidRPr="00812F7D">
        <w:rPr>
          <w:color w:val="000000" w:themeColor="text1"/>
          <w:szCs w:val="28"/>
        </w:rPr>
        <w:t>Консервативный вариант</w:t>
      </w:r>
      <w:r>
        <w:rPr>
          <w:color w:val="000000" w:themeColor="text1"/>
          <w:szCs w:val="28"/>
        </w:rPr>
        <w:t xml:space="preserve"> (1 вариант)</w:t>
      </w:r>
      <w:r w:rsidRPr="00812F7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разработан</w:t>
      </w:r>
      <w:r w:rsidRPr="00812F7D">
        <w:rPr>
          <w:color w:val="000000" w:themeColor="text1"/>
          <w:szCs w:val="28"/>
        </w:rPr>
        <w:t xml:space="preserve"> на основе </w:t>
      </w:r>
      <w:proofErr w:type="spellStart"/>
      <w:r w:rsidRPr="00812F7D">
        <w:rPr>
          <w:color w:val="000000" w:themeColor="text1"/>
          <w:szCs w:val="28"/>
        </w:rPr>
        <w:t>консерва</w:t>
      </w:r>
      <w:proofErr w:type="spellEnd"/>
      <w:r>
        <w:rPr>
          <w:color w:val="000000" w:themeColor="text1"/>
          <w:szCs w:val="28"/>
        </w:rPr>
        <w:t xml:space="preserve">-                </w:t>
      </w:r>
      <w:proofErr w:type="spellStart"/>
      <w:r w:rsidRPr="00812F7D">
        <w:rPr>
          <w:color w:val="000000" w:themeColor="text1"/>
          <w:szCs w:val="28"/>
        </w:rPr>
        <w:t>тивных</w:t>
      </w:r>
      <w:proofErr w:type="spellEnd"/>
      <w:r w:rsidRPr="00812F7D">
        <w:rPr>
          <w:color w:val="000000" w:themeColor="text1"/>
          <w:szCs w:val="28"/>
        </w:rPr>
        <w:t xml:space="preserve"> оценок темпов экономического роста с уч</w:t>
      </w:r>
      <w:r>
        <w:rPr>
          <w:color w:val="000000" w:themeColor="text1"/>
          <w:szCs w:val="28"/>
        </w:rPr>
        <w:t>е</w:t>
      </w:r>
      <w:r w:rsidRPr="00812F7D">
        <w:rPr>
          <w:color w:val="000000" w:themeColor="text1"/>
          <w:szCs w:val="28"/>
        </w:rPr>
        <w:t>том активного влияния негативных демографических и внешнеэкономических факторов.</w:t>
      </w:r>
    </w:p>
    <w:p w:rsidR="00D5615E" w:rsidRPr="00812F7D" w:rsidRDefault="00D5615E" w:rsidP="00D5615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F7D">
        <w:rPr>
          <w:rFonts w:ascii="Times New Roman" w:hAnsi="Times New Roman"/>
          <w:color w:val="000000" w:themeColor="text1"/>
          <w:sz w:val="28"/>
          <w:szCs w:val="28"/>
        </w:rPr>
        <w:t xml:space="preserve">Базовый вариант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(2 вариант) </w:t>
      </w:r>
      <w:r w:rsidRPr="00812F7D">
        <w:rPr>
          <w:rFonts w:ascii="Times New Roman" w:hAnsi="Times New Roman"/>
          <w:color w:val="000000" w:themeColor="text1"/>
          <w:sz w:val="28"/>
          <w:szCs w:val="28"/>
        </w:rPr>
        <w:t xml:space="preserve">характеризует основные тенденции и параметры развития экономики города в условиях прогнозируемого изменения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812F7D">
        <w:rPr>
          <w:rFonts w:ascii="Times New Roman" w:hAnsi="Times New Roman"/>
          <w:color w:val="000000" w:themeColor="text1"/>
          <w:sz w:val="28"/>
          <w:szCs w:val="28"/>
        </w:rPr>
        <w:t xml:space="preserve">внешних и внутренних факторов при сохранении основных тенденций </w:t>
      </w:r>
      <w:proofErr w:type="spellStart"/>
      <w:r w:rsidRPr="00812F7D">
        <w:rPr>
          <w:rFonts w:ascii="Times New Roman" w:hAnsi="Times New Roman"/>
          <w:color w:val="000000" w:themeColor="text1"/>
          <w:sz w:val="28"/>
          <w:szCs w:val="28"/>
        </w:rPr>
        <w:t>изме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-               </w:t>
      </w:r>
      <w:r w:rsidRPr="00812F7D">
        <w:rPr>
          <w:rFonts w:ascii="Times New Roman" w:hAnsi="Times New Roman"/>
          <w:color w:val="000000" w:themeColor="text1"/>
          <w:sz w:val="28"/>
          <w:szCs w:val="28"/>
        </w:rPr>
        <w:t>нения эффективности использования ресурсов.</w:t>
      </w:r>
    </w:p>
    <w:p w:rsidR="00D5615E" w:rsidRPr="00812F7D" w:rsidRDefault="00D5615E" w:rsidP="00D5615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F7D">
        <w:rPr>
          <w:rFonts w:ascii="Times New Roman" w:hAnsi="Times New Roman"/>
          <w:color w:val="000000" w:themeColor="text1"/>
          <w:sz w:val="28"/>
          <w:szCs w:val="28"/>
        </w:rPr>
        <w:t>Целевой вариант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(3 вариант)</w:t>
      </w:r>
      <w:r w:rsidRPr="00812F7D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характеризует основные тенденции и параметры развития экономики города при условии усиления ее инновационной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812F7D">
        <w:rPr>
          <w:rFonts w:ascii="Times New Roman" w:hAnsi="Times New Roman"/>
          <w:color w:val="000000" w:themeColor="text1"/>
          <w:sz w:val="28"/>
          <w:szCs w:val="28"/>
        </w:rPr>
        <w:t>и инвестиционной направленности с учетом достижения генеральной стратегической цели.</w:t>
      </w:r>
    </w:p>
    <w:p w:rsidR="00D5615E" w:rsidRPr="00C861A9" w:rsidRDefault="00D5615E" w:rsidP="00D5615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F7D">
        <w:rPr>
          <w:rFonts w:ascii="Times New Roman" w:hAnsi="Times New Roman"/>
          <w:color w:val="000000" w:themeColor="text1"/>
          <w:sz w:val="28"/>
          <w:szCs w:val="28"/>
        </w:rPr>
        <w:t>Параметры отдельных показателей долгосрочного прогноза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СЭР</w:t>
      </w:r>
      <w:r w:rsidRPr="00812F7D">
        <w:rPr>
          <w:rFonts w:ascii="Times New Roman" w:hAnsi="Times New Roman"/>
          <w:color w:val="000000" w:themeColor="text1"/>
          <w:sz w:val="28"/>
          <w:szCs w:val="28"/>
        </w:rPr>
        <w:t>, используемые при формировании бюджетного прогноза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 разрезе вариантов </w:t>
      </w:r>
      <w:r w:rsidRPr="00C861A9">
        <w:rPr>
          <w:rFonts w:ascii="Times New Roman" w:hAnsi="Times New Roman"/>
          <w:color w:val="000000" w:themeColor="text1"/>
          <w:sz w:val="28"/>
          <w:szCs w:val="28"/>
        </w:rPr>
        <w:t>долгосрочного прогноза СЭР представлены ниже в таблице.</w:t>
      </w:r>
    </w:p>
    <w:p w:rsidR="00D5615E" w:rsidRPr="00CA30F8" w:rsidRDefault="00D5615E" w:rsidP="00D5615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61A9">
        <w:rPr>
          <w:rFonts w:ascii="Times New Roman" w:hAnsi="Times New Roman"/>
          <w:color w:val="000000" w:themeColor="text1"/>
          <w:sz w:val="28"/>
          <w:szCs w:val="28"/>
        </w:rPr>
        <w:t>В условиях</w:t>
      </w:r>
      <w:r w:rsidRPr="00C861A9">
        <w:rPr>
          <w:color w:val="000000" w:themeColor="text1"/>
          <w:sz w:val="28"/>
          <w:szCs w:val="28"/>
        </w:rPr>
        <w:t xml:space="preserve"> </w:t>
      </w:r>
      <w:r w:rsidRPr="00C861A9">
        <w:rPr>
          <w:rFonts w:ascii="Times New Roman" w:hAnsi="Times New Roman"/>
          <w:color w:val="000000" w:themeColor="text1"/>
          <w:sz w:val="28"/>
          <w:szCs w:val="28"/>
        </w:rPr>
        <w:t>сохранения основных тенденций изменения показателей соци</w:t>
      </w:r>
      <w:r w:rsidRPr="00CA30F8">
        <w:rPr>
          <w:rFonts w:ascii="Times New Roman" w:hAnsi="Times New Roman"/>
          <w:sz w:val="28"/>
          <w:szCs w:val="28"/>
        </w:rPr>
        <w:t>ально-экономического развития, для целей бюджетного прогноза выбран базовый вариант долгосрочного прогноза СЭР.</w:t>
      </w:r>
    </w:p>
    <w:p w:rsidR="00D5615E" w:rsidRPr="00CA30F8" w:rsidRDefault="00D5615E" w:rsidP="00D5615E">
      <w:pPr>
        <w:ind w:firstLine="709"/>
        <w:jc w:val="both"/>
        <w:rPr>
          <w:szCs w:val="28"/>
        </w:rPr>
      </w:pPr>
      <w:r w:rsidRPr="00CA30F8">
        <w:rPr>
          <w:szCs w:val="28"/>
        </w:rPr>
        <w:t xml:space="preserve">Базовый вариант прогноза характеризуется средними темпами роста </w:t>
      </w:r>
      <w:r>
        <w:rPr>
          <w:szCs w:val="28"/>
        </w:rPr>
        <w:t xml:space="preserve">                   </w:t>
      </w:r>
      <w:r w:rsidRPr="00CA30F8">
        <w:rPr>
          <w:szCs w:val="28"/>
        </w:rPr>
        <w:t xml:space="preserve">экономики. Сохранятся факторы и ограничения роста экономики из-за внешней конъюнктуры, однако спрос на нефтегазовые ресурсы будет расти. Данная </w:t>
      </w:r>
      <w:r>
        <w:rPr>
          <w:szCs w:val="28"/>
        </w:rPr>
        <w:t xml:space="preserve">                  </w:t>
      </w:r>
      <w:r w:rsidRPr="00CA30F8">
        <w:rPr>
          <w:szCs w:val="28"/>
        </w:rPr>
        <w:t xml:space="preserve">модель позволит реализовать концепцию устойчивого развития экономики </w:t>
      </w:r>
      <w:r>
        <w:rPr>
          <w:szCs w:val="28"/>
        </w:rPr>
        <w:t xml:space="preserve">                       </w:t>
      </w:r>
      <w:r w:rsidRPr="00CA30F8">
        <w:rPr>
          <w:szCs w:val="28"/>
        </w:rPr>
        <w:t>и социальной сферы за счет сложившихся источников инвестиций. При этом:</w:t>
      </w:r>
    </w:p>
    <w:p w:rsidR="00D5615E" w:rsidRPr="00CA30F8" w:rsidRDefault="00D5615E" w:rsidP="00D5615E">
      <w:pPr>
        <w:ind w:firstLine="709"/>
        <w:jc w:val="both"/>
        <w:rPr>
          <w:szCs w:val="28"/>
        </w:rPr>
      </w:pPr>
      <w:r w:rsidRPr="00CA30F8">
        <w:rPr>
          <w:szCs w:val="28"/>
        </w:rPr>
        <w:t>- продолжится модернизация социальной сферы, активное создание новых объектов социальной инфраструктуры как за счет средств бюджетов разных уровней, так и за счет привлечения частных инвесторов;</w:t>
      </w:r>
    </w:p>
    <w:p w:rsidR="00D5615E" w:rsidRPr="00CA30F8" w:rsidRDefault="00D5615E" w:rsidP="00D5615E">
      <w:pPr>
        <w:ind w:firstLine="709"/>
        <w:jc w:val="both"/>
        <w:rPr>
          <w:szCs w:val="28"/>
        </w:rPr>
      </w:pPr>
      <w:r w:rsidRPr="00CA30F8">
        <w:rPr>
          <w:szCs w:val="28"/>
        </w:rPr>
        <w:t>- усилится инновационная составляющая экономики, в основном в нефтегазовой отрасли;</w:t>
      </w:r>
    </w:p>
    <w:p w:rsidR="00D5615E" w:rsidRPr="00CA30F8" w:rsidRDefault="00D5615E" w:rsidP="00D5615E">
      <w:pPr>
        <w:ind w:firstLine="709"/>
        <w:jc w:val="both"/>
        <w:rPr>
          <w:szCs w:val="28"/>
        </w:rPr>
      </w:pPr>
      <w:r w:rsidRPr="00CA30F8">
        <w:rPr>
          <w:szCs w:val="28"/>
        </w:rPr>
        <w:t xml:space="preserve">- реализуются начатые инвестиционные проекты в экономике и </w:t>
      </w:r>
      <w:proofErr w:type="spellStart"/>
      <w:r w:rsidRPr="00CA30F8">
        <w:rPr>
          <w:szCs w:val="28"/>
        </w:rPr>
        <w:t>плани</w:t>
      </w:r>
      <w:proofErr w:type="spellEnd"/>
      <w:r>
        <w:rPr>
          <w:szCs w:val="28"/>
        </w:rPr>
        <w:t xml:space="preserve">-               </w:t>
      </w:r>
      <w:proofErr w:type="spellStart"/>
      <w:r w:rsidRPr="00CA30F8">
        <w:rPr>
          <w:szCs w:val="28"/>
        </w:rPr>
        <w:t>руемые</w:t>
      </w:r>
      <w:proofErr w:type="spellEnd"/>
      <w:r w:rsidRPr="00CA30F8">
        <w:rPr>
          <w:szCs w:val="28"/>
        </w:rPr>
        <w:t xml:space="preserve"> проекты в социальной сфере;</w:t>
      </w:r>
    </w:p>
    <w:p w:rsidR="00D5615E" w:rsidRPr="00CA30F8" w:rsidRDefault="00D5615E" w:rsidP="00D5615E">
      <w:pPr>
        <w:ind w:firstLine="709"/>
        <w:jc w:val="both"/>
        <w:rPr>
          <w:szCs w:val="28"/>
        </w:rPr>
      </w:pPr>
      <w:r w:rsidRPr="00CA30F8">
        <w:rPr>
          <w:szCs w:val="28"/>
        </w:rPr>
        <w:t>- усилится устойчивость связи «образование-наука-инновации» (в первую очередь за счет внутренних ресурсов;</w:t>
      </w:r>
    </w:p>
    <w:p w:rsidR="00D5615E" w:rsidRPr="00CA30F8" w:rsidRDefault="00D5615E" w:rsidP="00D5615E">
      <w:pPr>
        <w:ind w:firstLine="709"/>
        <w:jc w:val="both"/>
        <w:rPr>
          <w:szCs w:val="28"/>
        </w:rPr>
      </w:pPr>
      <w:r w:rsidRPr="00CA30F8">
        <w:rPr>
          <w:szCs w:val="28"/>
        </w:rPr>
        <w:lastRenderedPageBreak/>
        <w:t>- продолжится дальнейшее усиление позиции города как одного из транспортных центров региона.</w:t>
      </w:r>
    </w:p>
    <w:p w:rsidR="00D5615E" w:rsidRDefault="00D5615E" w:rsidP="00D5615E">
      <w:pPr>
        <w:pStyle w:val="a8"/>
        <w:jc w:val="both"/>
        <w:rPr>
          <w:rFonts w:ascii="Times New Roman" w:hAnsi="Times New Roman"/>
          <w:sz w:val="28"/>
          <w:szCs w:val="28"/>
        </w:rPr>
        <w:sectPr w:rsidR="00D5615E" w:rsidSect="00D5615E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5615E" w:rsidRPr="00B15220" w:rsidRDefault="00D5615E" w:rsidP="00D5615E">
      <w:pPr>
        <w:jc w:val="right"/>
        <w:rPr>
          <w:sz w:val="26"/>
          <w:szCs w:val="26"/>
        </w:rPr>
      </w:pPr>
      <w:r w:rsidRPr="00B15220">
        <w:rPr>
          <w:sz w:val="26"/>
          <w:szCs w:val="26"/>
        </w:rPr>
        <w:lastRenderedPageBreak/>
        <w:t>Таблица</w:t>
      </w:r>
    </w:p>
    <w:p w:rsidR="00B15220" w:rsidRDefault="00D5615E" w:rsidP="00D5615E">
      <w:pPr>
        <w:jc w:val="center"/>
        <w:rPr>
          <w:sz w:val="26"/>
          <w:szCs w:val="26"/>
        </w:rPr>
      </w:pPr>
      <w:r w:rsidRPr="00B15220">
        <w:rPr>
          <w:sz w:val="26"/>
          <w:szCs w:val="26"/>
        </w:rPr>
        <w:t xml:space="preserve">Параметры отдельных показателей долгосрочного прогноза СЭР, </w:t>
      </w:r>
    </w:p>
    <w:p w:rsidR="00D5615E" w:rsidRPr="00B15220" w:rsidRDefault="00D5615E" w:rsidP="00D5615E">
      <w:pPr>
        <w:jc w:val="center"/>
        <w:rPr>
          <w:sz w:val="26"/>
          <w:szCs w:val="26"/>
        </w:rPr>
      </w:pPr>
      <w:r w:rsidRPr="00B15220">
        <w:rPr>
          <w:sz w:val="26"/>
          <w:szCs w:val="26"/>
        </w:rPr>
        <w:t>используемые при формировании бюджетного прогноза до 2030 года</w:t>
      </w:r>
    </w:p>
    <w:p w:rsidR="00D5615E" w:rsidRPr="005C0E5D" w:rsidRDefault="00B15220" w:rsidP="00D5615E">
      <w: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1067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850"/>
        <w:gridCol w:w="851"/>
      </w:tblGrid>
      <w:tr w:rsidR="00D5615E" w:rsidRPr="00B15220" w:rsidTr="00B15220">
        <w:trPr>
          <w:trHeight w:val="20"/>
          <w:tblHeader/>
        </w:trPr>
        <w:tc>
          <w:tcPr>
            <w:tcW w:w="5024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7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eastAsia="Calibri" w:cs="Times New Roman"/>
                <w:sz w:val="24"/>
                <w:szCs w:val="24"/>
              </w:rPr>
              <w:t>Вари</w:t>
            </w:r>
            <w:r w:rsidR="00B1522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eastAsia="Calibri" w:cs="Times New Roman"/>
                <w:sz w:val="24"/>
                <w:szCs w:val="24"/>
              </w:rPr>
              <w:t>анты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2030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 w:val="restart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Индекс потребительских цен (к декабрю предыдущего года), %</w:t>
            </w: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102,9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102,2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101,8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103,0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102,6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101,8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103,6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 w:val="restart"/>
            <w:shd w:val="clear" w:color="auto" w:fill="auto"/>
          </w:tcPr>
          <w:p w:rsid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 xml:space="preserve">Индекс потребительских цен (в среднем </w:t>
            </w:r>
          </w:p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за год), %</w:t>
            </w: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102,9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102,6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102,1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103,8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103,6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 w:val="restart"/>
            <w:shd w:val="clear" w:color="auto" w:fill="auto"/>
          </w:tcPr>
          <w:p w:rsidR="00D5615E" w:rsidRPr="00B15220" w:rsidRDefault="00D5615E" w:rsidP="00B15220">
            <w:pPr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eastAsia="Calibri" w:cs="Times New Roman"/>
                <w:sz w:val="24"/>
                <w:szCs w:val="24"/>
              </w:rPr>
              <w:t>Темп роста фонда заработной платы (фонда оплаты труда)*, %</w:t>
            </w:r>
          </w:p>
        </w:tc>
        <w:tc>
          <w:tcPr>
            <w:tcW w:w="1067" w:type="dxa"/>
          </w:tcPr>
          <w:p w:rsidR="00D5615E" w:rsidRPr="00B15220" w:rsidRDefault="00D5615E" w:rsidP="00363C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104,3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104,5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104,8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104,9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104,7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104,7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104,6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104,7</w:t>
            </w:r>
          </w:p>
        </w:tc>
        <w:tc>
          <w:tcPr>
            <w:tcW w:w="850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104,8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104,7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5615E" w:rsidRPr="00B15220" w:rsidRDefault="00D5615E" w:rsidP="00363C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104,4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104,8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105,7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105,6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105,6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850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105,3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5615E" w:rsidRPr="00B15220" w:rsidRDefault="00D5615E" w:rsidP="00363C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105,7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106,1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106,3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106,7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106,8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106,8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106,1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106,1</w:t>
            </w:r>
          </w:p>
        </w:tc>
      </w:tr>
      <w:tr w:rsidR="00D5615E" w:rsidRPr="00B15220" w:rsidTr="00B15220">
        <w:trPr>
          <w:trHeight w:val="20"/>
        </w:trPr>
        <w:tc>
          <w:tcPr>
            <w:tcW w:w="15022" w:type="dxa"/>
            <w:gridSpan w:val="14"/>
          </w:tcPr>
          <w:p w:rsidR="00D5615E" w:rsidRPr="00B15220" w:rsidRDefault="00D5615E" w:rsidP="00363C68">
            <w:pPr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Производство сельскохозяйственной продукции в ценах соответствующих лет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 w:val="restart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Индекс физического объема, %</w:t>
            </w:r>
          </w:p>
        </w:tc>
        <w:tc>
          <w:tcPr>
            <w:tcW w:w="1067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100,6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100,6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100,5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100,4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100,4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100,3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100,1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101,8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101,6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101,4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101,4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101,4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850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8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102,2</w:t>
            </w:r>
          </w:p>
        </w:tc>
        <w:tc>
          <w:tcPr>
            <w:tcW w:w="709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1" w:type="dxa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 w:val="restart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Индекс цен, %</w:t>
            </w: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103,0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103,0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101,8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101,8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101,8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101,8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101,9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101,3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101,1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103,7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102,9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</w:tr>
      <w:tr w:rsidR="00D5615E" w:rsidRPr="00B15220" w:rsidTr="00B15220">
        <w:trPr>
          <w:trHeight w:val="20"/>
        </w:trPr>
        <w:tc>
          <w:tcPr>
            <w:tcW w:w="15022" w:type="dxa"/>
            <w:gridSpan w:val="14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Оборот малого бизнеса (в ценах соответствующих лет)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 w:val="restart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Индекс физического объема, %</w:t>
            </w: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101,3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102,1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101,6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101,5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101,5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101,6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103,7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102,2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 w:val="restart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Индекс цен, %</w:t>
            </w: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103,6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102,7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</w:tr>
      <w:tr w:rsidR="00D5615E" w:rsidRPr="00B15220" w:rsidTr="00B15220">
        <w:trPr>
          <w:trHeight w:val="20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102,9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102,6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102,1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102,0</w:t>
            </w:r>
          </w:p>
        </w:tc>
      </w:tr>
      <w:tr w:rsidR="00D5615E" w:rsidRPr="00B15220" w:rsidTr="00B15220">
        <w:trPr>
          <w:trHeight w:val="159"/>
        </w:trPr>
        <w:tc>
          <w:tcPr>
            <w:tcW w:w="5024" w:type="dxa"/>
            <w:vMerge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D5615E" w:rsidRPr="00B15220" w:rsidRDefault="00D5615E" w:rsidP="00363C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104,2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103,6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103,5</w:t>
            </w:r>
          </w:p>
        </w:tc>
        <w:tc>
          <w:tcPr>
            <w:tcW w:w="708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103,4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103,3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709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102,9</w:t>
            </w:r>
          </w:p>
        </w:tc>
        <w:tc>
          <w:tcPr>
            <w:tcW w:w="850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  <w:tc>
          <w:tcPr>
            <w:tcW w:w="851" w:type="dxa"/>
            <w:shd w:val="clear" w:color="auto" w:fill="auto"/>
          </w:tcPr>
          <w:p w:rsidR="00D5615E" w:rsidRPr="00B15220" w:rsidRDefault="00D5615E" w:rsidP="0036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220">
              <w:rPr>
                <w:rFonts w:cs="Times New Roman"/>
                <w:sz w:val="24"/>
                <w:szCs w:val="24"/>
              </w:rPr>
              <w:t>102,8</w:t>
            </w:r>
          </w:p>
        </w:tc>
      </w:tr>
    </w:tbl>
    <w:p w:rsidR="00B15220" w:rsidRDefault="00B15220" w:rsidP="00D5615E">
      <w:pPr>
        <w:rPr>
          <w:sz w:val="22"/>
        </w:rPr>
      </w:pPr>
    </w:p>
    <w:p w:rsidR="00226A5C" w:rsidRPr="00B15220" w:rsidRDefault="00D5615E" w:rsidP="00D5615E">
      <w:pPr>
        <w:rPr>
          <w:sz w:val="26"/>
          <w:szCs w:val="26"/>
        </w:rPr>
      </w:pPr>
      <w:r w:rsidRPr="00B15220">
        <w:rPr>
          <w:sz w:val="26"/>
          <w:szCs w:val="26"/>
        </w:rPr>
        <w:t>Примечание: * по крупным и средним организациям.</w:t>
      </w:r>
    </w:p>
    <w:p w:rsidR="00D5615E" w:rsidRDefault="00D5615E" w:rsidP="00D5615E">
      <w:pPr>
        <w:rPr>
          <w:sz w:val="22"/>
        </w:rPr>
      </w:pPr>
    </w:p>
    <w:p w:rsidR="00D5615E" w:rsidRDefault="00D5615E" w:rsidP="00D5615E">
      <w:pPr>
        <w:rPr>
          <w:sz w:val="22"/>
        </w:rPr>
      </w:pPr>
    </w:p>
    <w:p w:rsidR="00D5615E" w:rsidRDefault="00D5615E" w:rsidP="00D5615E">
      <w:pPr>
        <w:rPr>
          <w:sz w:val="22"/>
        </w:rPr>
        <w:sectPr w:rsidR="00D5615E" w:rsidSect="00B152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5615E" w:rsidRDefault="00D5615E" w:rsidP="00B1522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4. Формирование о</w:t>
      </w:r>
      <w:r w:rsidRPr="005D7903">
        <w:rPr>
          <w:rFonts w:ascii="Times New Roman" w:hAnsi="Times New Roman"/>
          <w:color w:val="000000" w:themeColor="text1"/>
          <w:sz w:val="28"/>
          <w:szCs w:val="28"/>
        </w:rPr>
        <w:t>сновны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характеристик бюджетного прогноза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89517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осуществлялось исходя из действующих норм бюджетного и налогового законодательства Российской Федерации, автономного округа и городского округа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 Сургут. </w:t>
      </w:r>
    </w:p>
    <w:p w:rsidR="00D5615E" w:rsidRDefault="00D5615E" w:rsidP="00B1522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Прогноз доходов, расходов и источников</w:t>
      </w:r>
      <w:r w:rsidRPr="007E57C2">
        <w:rPr>
          <w:rFonts w:ascii="Times New Roman" w:hAnsi="Times New Roman"/>
          <w:color w:val="000000" w:themeColor="text1"/>
          <w:sz w:val="28"/>
          <w:szCs w:val="28"/>
        </w:rPr>
        <w:t xml:space="preserve"> финанси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рования дефицита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бюджета города на 2019 – 2021 годы соответствует параметрам утвержденного бюджета города на 2019 год и плановый период 2020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2021 годов.</w:t>
      </w:r>
    </w:p>
    <w:p w:rsidR="00D5615E" w:rsidRPr="00900855" w:rsidRDefault="00D5615E" w:rsidP="00B1522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Основные характеристики бюджетного прогноза на 2022 – 2030 годы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спрогнозированы с учетом следующих подходов:</w:t>
      </w:r>
    </w:p>
    <w:p w:rsidR="00D5615E" w:rsidRDefault="00D5615E" w:rsidP="00B1522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расч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т налоговых и неналоговых доходов осуществл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н с применением положений соответствующих методик прогнозирования доходов и отдельных показателей долгосрочного прогноза СЭР (т</w:t>
      </w:r>
      <w:r w:rsidRPr="00AD34BC">
        <w:rPr>
          <w:rFonts w:ascii="Times New Roman" w:hAnsi="Times New Roman"/>
          <w:color w:val="000000" w:themeColor="text1"/>
          <w:sz w:val="28"/>
          <w:szCs w:val="28"/>
        </w:rPr>
        <w:t>емп роста фонда заработной платы</w:t>
      </w:r>
      <w:r>
        <w:rPr>
          <w:rFonts w:ascii="Times New Roman" w:hAnsi="Times New Roman"/>
          <w:color w:val="000000" w:themeColor="text1"/>
          <w:sz w:val="28"/>
          <w:szCs w:val="28"/>
        </w:rPr>
        <w:t>, и</w:t>
      </w:r>
      <w:r w:rsidRPr="00AD34BC">
        <w:rPr>
          <w:rFonts w:ascii="Times New Roman" w:hAnsi="Times New Roman"/>
          <w:color w:val="000000" w:themeColor="text1"/>
          <w:sz w:val="28"/>
          <w:szCs w:val="28"/>
        </w:rPr>
        <w:t>ндекс потребительских це</w:t>
      </w:r>
      <w:r>
        <w:rPr>
          <w:rFonts w:ascii="Times New Roman" w:hAnsi="Times New Roman"/>
          <w:color w:val="000000" w:themeColor="text1"/>
          <w:sz w:val="28"/>
          <w:szCs w:val="28"/>
        </w:rPr>
        <w:t>н, и</w:t>
      </w:r>
      <w:r w:rsidRPr="00AD34BC">
        <w:rPr>
          <w:rFonts w:ascii="Times New Roman" w:hAnsi="Times New Roman"/>
          <w:color w:val="000000" w:themeColor="text1"/>
          <w:sz w:val="28"/>
          <w:szCs w:val="28"/>
        </w:rPr>
        <w:t>ндекс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D34BC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объема, индексы цен).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617C41">
        <w:rPr>
          <w:rFonts w:ascii="Times New Roman" w:hAnsi="Times New Roman"/>
          <w:color w:val="000000" w:themeColor="text1"/>
          <w:sz w:val="28"/>
          <w:szCs w:val="28"/>
        </w:rPr>
        <w:t xml:space="preserve">Безвозмездные поступления на долгосрочную перспективу сформированы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617C4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уровне объемов</w:t>
      </w:r>
      <w:r w:rsidRPr="00617C41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доведенных автономным округом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2021 год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>по состоянию на 05.09.2018 года;</w:t>
      </w:r>
    </w:p>
    <w:p w:rsidR="00D5615E" w:rsidRPr="00A929D2" w:rsidRDefault="00D5615E" w:rsidP="00B1522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9D2">
        <w:rPr>
          <w:rFonts w:ascii="Times New Roman" w:hAnsi="Times New Roman"/>
          <w:color w:val="000000" w:themeColor="text1"/>
          <w:sz w:val="28"/>
          <w:szCs w:val="28"/>
        </w:rPr>
        <w:t xml:space="preserve">- источники финансирования дефицита бюджета города спрогнозированы исходя из условий муниципальных заимствований, обязательств по </w:t>
      </w:r>
      <w:proofErr w:type="spellStart"/>
      <w:proofErr w:type="gramStart"/>
      <w:r w:rsidRPr="00A929D2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929D2">
        <w:rPr>
          <w:rFonts w:ascii="Times New Roman" w:hAnsi="Times New Roman"/>
          <w:color w:val="000000" w:themeColor="text1"/>
          <w:sz w:val="28"/>
          <w:szCs w:val="28"/>
        </w:rPr>
        <w:t>пальной</w:t>
      </w:r>
      <w:proofErr w:type="spellEnd"/>
      <w:proofErr w:type="gramEnd"/>
      <w:r w:rsidRPr="00A929D2">
        <w:rPr>
          <w:rFonts w:ascii="Times New Roman" w:hAnsi="Times New Roman"/>
          <w:color w:val="000000" w:themeColor="text1"/>
          <w:sz w:val="28"/>
          <w:szCs w:val="28"/>
        </w:rPr>
        <w:t xml:space="preserve"> гарантии, поступлений от продажи акций, находящихся в собственности муниципального образования и запланированных к продаже в прогнозном плане приватизации муниципального имущества, возврата бюджетных кредитов, ранее предоставленных из бюджета города, в соответствии с графиками их погашения.</w:t>
      </w:r>
    </w:p>
    <w:p w:rsidR="00D5615E" w:rsidRPr="00A929D2" w:rsidRDefault="00D5615E" w:rsidP="00B1522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9D2">
        <w:rPr>
          <w:rFonts w:ascii="Times New Roman" w:hAnsi="Times New Roman"/>
          <w:color w:val="000000" w:themeColor="text1"/>
          <w:sz w:val="28"/>
          <w:szCs w:val="28"/>
        </w:rPr>
        <w:t>Прогноз объ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929D2">
        <w:rPr>
          <w:rFonts w:ascii="Times New Roman" w:hAnsi="Times New Roman"/>
          <w:color w:val="000000" w:themeColor="text1"/>
          <w:sz w:val="28"/>
          <w:szCs w:val="28"/>
        </w:rPr>
        <w:t xml:space="preserve">ма муниципального долга осуществлён исходя из сложившихся прогнозных параметров объема доходов и расходов, а также исходя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A929D2">
        <w:rPr>
          <w:rFonts w:ascii="Times New Roman" w:hAnsi="Times New Roman"/>
          <w:color w:val="000000" w:themeColor="text1"/>
          <w:sz w:val="28"/>
          <w:szCs w:val="28"/>
        </w:rPr>
        <w:t xml:space="preserve">из определения потенциала долговой ёмкости бюджета города Сургута, и экономически безопасного уровня муниципального долга и муниципальных заимствований, способных гарантировать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>решение задач развития города.</w:t>
      </w:r>
    </w:p>
    <w:p w:rsidR="00D5615E" w:rsidRPr="00617C41" w:rsidRDefault="00D5615E" w:rsidP="00B1522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9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заимствования будут осуществляться в рамках ежегодно утверждаемой программы муниципальных заимствований городского округа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929D2">
        <w:rPr>
          <w:rFonts w:ascii="Times New Roman" w:hAnsi="Times New Roman"/>
          <w:color w:val="000000" w:themeColor="text1"/>
          <w:sz w:val="28"/>
          <w:szCs w:val="28"/>
        </w:rPr>
        <w:t xml:space="preserve">город Сургут, формируемой исходя из объёма дефицита (профицита) бюджета 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929D2">
        <w:rPr>
          <w:rFonts w:ascii="Times New Roman" w:hAnsi="Times New Roman"/>
          <w:color w:val="000000" w:themeColor="text1"/>
          <w:sz w:val="28"/>
          <w:szCs w:val="28"/>
        </w:rPr>
        <w:t>и объ</w:t>
      </w:r>
      <w:r w:rsidR="00B152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929D2">
        <w:rPr>
          <w:rFonts w:ascii="Times New Roman" w:hAnsi="Times New Roman"/>
          <w:color w:val="000000" w:themeColor="text1"/>
          <w:sz w:val="28"/>
          <w:szCs w:val="28"/>
        </w:rPr>
        <w:t>мов погашения долговых обязательств, складывающихся исходя из заключенных и планируемых к заключению муниципальных контрактов по долговым обязательствам.</w:t>
      </w:r>
    </w:p>
    <w:p w:rsidR="00D5615E" w:rsidRPr="00B15220" w:rsidRDefault="00D5615E" w:rsidP="00B1522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/>
          <w:spacing w:val="-4"/>
          <w:szCs w:val="28"/>
        </w:rPr>
      </w:pPr>
      <w:r w:rsidRPr="00B15220">
        <w:rPr>
          <w:rFonts w:eastAsia="Calibri"/>
          <w:spacing w:val="-4"/>
          <w:szCs w:val="28"/>
        </w:rPr>
        <w:t xml:space="preserve">- в качестве базы для определения предельных расходов на осуществление непрограммных направлений деятельности (расходов Думы города и Контрольно-счетной палаты города на финансовое обеспечение выполнения возложенных </w:t>
      </w:r>
      <w:r w:rsidR="00B15220">
        <w:rPr>
          <w:rFonts w:eastAsia="Calibri"/>
          <w:spacing w:val="-4"/>
          <w:szCs w:val="28"/>
        </w:rPr>
        <w:t xml:space="preserve">                    </w:t>
      </w:r>
      <w:r w:rsidRPr="00B15220">
        <w:rPr>
          <w:rFonts w:eastAsia="Calibri"/>
          <w:spacing w:val="-4"/>
          <w:szCs w:val="28"/>
        </w:rPr>
        <w:t>на них функций) были использованы утвержденные параметры последнего года планового периода, скорректированны</w:t>
      </w:r>
      <w:r w:rsidR="00B15220">
        <w:rPr>
          <w:rFonts w:eastAsia="Calibri"/>
          <w:spacing w:val="-4"/>
          <w:szCs w:val="28"/>
        </w:rPr>
        <w:t>е на индекс потребительских цен;</w:t>
      </w:r>
    </w:p>
    <w:p w:rsidR="00D5615E" w:rsidRPr="00A929D2" w:rsidRDefault="00D5615E" w:rsidP="00B1522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</w:rPr>
      </w:pPr>
      <w:r>
        <w:rPr>
          <w:rFonts w:eastAsia="Calibri"/>
          <w:szCs w:val="28"/>
        </w:rPr>
        <w:t>- в</w:t>
      </w:r>
      <w:r w:rsidRPr="00630A34">
        <w:rPr>
          <w:rFonts w:eastAsia="Calibri"/>
          <w:szCs w:val="28"/>
        </w:rPr>
        <w:t xml:space="preserve"> качестве базы для определения предельных расходов на финансовое обеспечение реализации муниципальных программ были использованы параметры утвержденных муниципальных программ на 2022</w:t>
      </w:r>
      <w:r w:rsidR="00B15220">
        <w:rPr>
          <w:rFonts w:eastAsia="Calibri"/>
          <w:szCs w:val="28"/>
        </w:rPr>
        <w:t xml:space="preserve"> – </w:t>
      </w:r>
      <w:r w:rsidRPr="00630A34">
        <w:rPr>
          <w:rFonts w:eastAsia="Calibri"/>
          <w:szCs w:val="28"/>
        </w:rPr>
        <w:t>2030 годы. При этом, расходы текущего характера были скорректированы на индекс потребительских цен.</w:t>
      </w:r>
      <w:r>
        <w:rPr>
          <w:rFonts w:eastAsia="Calibri"/>
          <w:szCs w:val="28"/>
        </w:rPr>
        <w:t xml:space="preserve"> Кроме того, была учтена д</w:t>
      </w:r>
      <w:r w:rsidRPr="00617C41">
        <w:rPr>
          <w:rFonts w:eastAsia="Calibri"/>
          <w:szCs w:val="28"/>
        </w:rPr>
        <w:t xml:space="preserve">ополнительная потребность главных распорядителей бюджетных средств на осуществление расходов капитального характера, </w:t>
      </w:r>
      <w:r w:rsidRPr="00617C41">
        <w:rPr>
          <w:rFonts w:eastAsia="Calibri"/>
          <w:szCs w:val="28"/>
        </w:rPr>
        <w:lastRenderedPageBreak/>
        <w:t xml:space="preserve">утвержденная в составе </w:t>
      </w:r>
      <w:r>
        <w:rPr>
          <w:rFonts w:eastAsia="Calibri"/>
          <w:szCs w:val="28"/>
        </w:rPr>
        <w:t xml:space="preserve">действующих муниципальных программ. Для </w:t>
      </w:r>
      <w:proofErr w:type="spellStart"/>
      <w:r>
        <w:rPr>
          <w:rFonts w:eastAsia="Calibri"/>
          <w:szCs w:val="28"/>
        </w:rPr>
        <w:t>обеспе</w:t>
      </w:r>
      <w:proofErr w:type="spellEnd"/>
      <w:r>
        <w:rPr>
          <w:rFonts w:eastAsia="Calibri"/>
          <w:szCs w:val="28"/>
        </w:rPr>
        <w:t xml:space="preserve">-   </w:t>
      </w:r>
      <w:proofErr w:type="spellStart"/>
      <w:r>
        <w:rPr>
          <w:rFonts w:eastAsia="Calibri"/>
          <w:szCs w:val="28"/>
        </w:rPr>
        <w:t>чения</w:t>
      </w:r>
      <w:proofErr w:type="spellEnd"/>
      <w:r>
        <w:rPr>
          <w:rFonts w:eastAsia="Calibri"/>
          <w:szCs w:val="28"/>
        </w:rPr>
        <w:t xml:space="preserve"> равномерности расходов и оптимальной долговой нагрузки на бюджет               города, указанная потребность была распределена по 12</w:t>
      </w:r>
      <w:r w:rsidR="00B15220">
        <w:rPr>
          <w:rFonts w:eastAsia="Calibri"/>
          <w:szCs w:val="28"/>
        </w:rPr>
        <w:t>-и</w:t>
      </w:r>
      <w:r>
        <w:rPr>
          <w:rFonts w:eastAsia="Calibri"/>
          <w:szCs w:val="28"/>
        </w:rPr>
        <w:t xml:space="preserve"> годам прогнозируемого периода с учетом прогнозируемого объема поступлений доходов и</w:t>
      </w:r>
      <w:r w:rsidRPr="00157E30">
        <w:rPr>
          <w:color w:val="44546A" w:themeColor="text2"/>
          <w:szCs w:val="28"/>
        </w:rPr>
        <w:t xml:space="preserve"> </w:t>
      </w:r>
      <w:r w:rsidRPr="00A929D2">
        <w:rPr>
          <w:szCs w:val="28"/>
        </w:rPr>
        <w:t xml:space="preserve">источников финансирования дефицита бюджета. </w:t>
      </w:r>
    </w:p>
    <w:p w:rsidR="00D5615E" w:rsidRPr="00D5615E" w:rsidRDefault="00D5615E" w:rsidP="00B1522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20A3B">
        <w:rPr>
          <w:szCs w:val="28"/>
        </w:rPr>
        <w:t xml:space="preserve">Прогноз основных характеристик бюджета </w:t>
      </w:r>
      <w:r>
        <w:rPr>
          <w:szCs w:val="28"/>
        </w:rPr>
        <w:t>городского округа город                 Сургут</w:t>
      </w:r>
      <w:r w:rsidRPr="00E20A3B">
        <w:rPr>
          <w:szCs w:val="28"/>
        </w:rPr>
        <w:t xml:space="preserve"> на долгосрочный период до 2030 года представлен в приложении 1 </w:t>
      </w:r>
      <w:r>
        <w:rPr>
          <w:szCs w:val="28"/>
        </w:rPr>
        <w:t xml:space="preserve">                          </w:t>
      </w:r>
      <w:r w:rsidRPr="00E20A3B">
        <w:rPr>
          <w:szCs w:val="28"/>
        </w:rPr>
        <w:t>к бюд</w:t>
      </w:r>
      <w:r w:rsidRPr="00D5615E">
        <w:rPr>
          <w:szCs w:val="28"/>
        </w:rPr>
        <w:t>жетному прогнозу.</w:t>
      </w:r>
    </w:p>
    <w:p w:rsidR="00D5615E" w:rsidRDefault="00D5615E" w:rsidP="00B1522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</w:rPr>
      </w:pPr>
      <w:r w:rsidRPr="00D5615E">
        <w:rPr>
          <w:szCs w:val="28"/>
        </w:rPr>
        <w:t xml:space="preserve">6. Предельные расходы на финансовое обеспечение реализации муниципальных программ городского округа город Сургут, а также прогноз расходов </w:t>
      </w:r>
      <w:r>
        <w:rPr>
          <w:szCs w:val="28"/>
        </w:rPr>
        <w:t xml:space="preserve">                         </w:t>
      </w:r>
      <w:r w:rsidRPr="00D5615E">
        <w:rPr>
          <w:szCs w:val="28"/>
        </w:rPr>
        <w:t xml:space="preserve">на осуществление непрограммных направлений деятельности на период </w:t>
      </w:r>
      <w:r>
        <w:rPr>
          <w:szCs w:val="28"/>
        </w:rPr>
        <w:t xml:space="preserve">                           </w:t>
      </w:r>
      <w:r w:rsidRPr="00D5615E">
        <w:rPr>
          <w:szCs w:val="28"/>
        </w:rPr>
        <w:t>до 2030 года</w:t>
      </w:r>
      <w:r w:rsidRPr="00D5615E">
        <w:t xml:space="preserve"> </w:t>
      </w:r>
      <w:r w:rsidRPr="00D5615E">
        <w:rPr>
          <w:szCs w:val="28"/>
        </w:rPr>
        <w:t>представлены в приложении 2 к бюджетному прогнозу и позволяют обеспечить достижение целевых показателей</w:t>
      </w:r>
      <w:r w:rsidRPr="00D5615E">
        <w:t xml:space="preserve"> </w:t>
      </w:r>
      <w:r w:rsidRPr="00D5615E">
        <w:rPr>
          <w:szCs w:val="28"/>
        </w:rPr>
        <w:t xml:space="preserve">стратегии социально-экономического развития муниципального образования в части бюджетного </w:t>
      </w:r>
      <w:proofErr w:type="spellStart"/>
      <w:r w:rsidRPr="00D5615E">
        <w:rPr>
          <w:szCs w:val="28"/>
        </w:rPr>
        <w:t>финансиро</w:t>
      </w:r>
      <w:proofErr w:type="spellEnd"/>
      <w:r>
        <w:rPr>
          <w:szCs w:val="28"/>
        </w:rPr>
        <w:t xml:space="preserve">-       </w:t>
      </w:r>
      <w:proofErr w:type="spellStart"/>
      <w:r w:rsidRPr="00D5615E">
        <w:rPr>
          <w:szCs w:val="28"/>
        </w:rPr>
        <w:t>вания</w:t>
      </w:r>
      <w:proofErr w:type="spellEnd"/>
      <w:r w:rsidRPr="00D5615E">
        <w:rPr>
          <w:szCs w:val="28"/>
        </w:rPr>
        <w:t>.</w:t>
      </w:r>
    </w:p>
    <w:p w:rsidR="00E66317" w:rsidRDefault="00E66317" w:rsidP="00B1522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Pr="00E66317" w:rsidRDefault="00E66317" w:rsidP="00E66317">
      <w:pPr>
        <w:rPr>
          <w:szCs w:val="28"/>
        </w:rPr>
      </w:pPr>
    </w:p>
    <w:p w:rsidR="00E66317" w:rsidRDefault="00E66317" w:rsidP="00E66317">
      <w:pPr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tabs>
          <w:tab w:val="left" w:pos="3697"/>
        </w:tabs>
        <w:rPr>
          <w:szCs w:val="28"/>
        </w:rPr>
      </w:pPr>
    </w:p>
    <w:p w:rsidR="00E66317" w:rsidRDefault="00E66317" w:rsidP="00E66317">
      <w:pPr>
        <w:ind w:left="5670"/>
        <w:rPr>
          <w:color w:val="000000" w:themeColor="text1"/>
          <w:szCs w:val="28"/>
        </w:rPr>
        <w:sectPr w:rsidR="00E66317" w:rsidSect="00363C68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Приложение № 1 </w:t>
      </w:r>
    </w:p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постановлению </w:t>
      </w:r>
    </w:p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Администрации города</w:t>
      </w:r>
    </w:p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25.02.2019 № 1288</w:t>
      </w:r>
    </w:p>
    <w:p w:rsidR="00E66317" w:rsidRDefault="00E66317" w:rsidP="00E66317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5670"/>
        <w:jc w:val="right"/>
        <w:rPr>
          <w:sz w:val="24"/>
          <w:szCs w:val="24"/>
        </w:rPr>
      </w:pPr>
      <w:r w:rsidRPr="00915D8A">
        <w:rPr>
          <w:sz w:val="24"/>
          <w:szCs w:val="24"/>
        </w:rPr>
        <w:t>(с изменениями от 13.12.2019 № 9383)</w:t>
      </w:r>
    </w:p>
    <w:p w:rsidR="00E66317" w:rsidRPr="00915D8A" w:rsidRDefault="00E66317" w:rsidP="00E66317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5670"/>
        <w:rPr>
          <w:sz w:val="24"/>
          <w:szCs w:val="24"/>
        </w:rPr>
      </w:pPr>
    </w:p>
    <w:p w:rsidR="00E66317" w:rsidRDefault="00E66317" w:rsidP="00E66317">
      <w:pPr>
        <w:tabs>
          <w:tab w:val="left" w:pos="3697"/>
        </w:tabs>
        <w:jc w:val="center"/>
        <w:rPr>
          <w:szCs w:val="28"/>
        </w:rPr>
      </w:pPr>
      <w:r w:rsidRPr="00E66317">
        <w:rPr>
          <w:szCs w:val="28"/>
        </w:rPr>
        <w:t>Прогноз основных характеристик бюджета городского округа город Сургут на долгосрочный период до 2030 года</w:t>
      </w:r>
    </w:p>
    <w:tbl>
      <w:tblPr>
        <w:tblpPr w:leftFromText="180" w:rightFromText="180" w:vertAnchor="text" w:horzAnchor="margin" w:tblpY="528"/>
        <w:tblW w:w="20837" w:type="dxa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E66317" w:rsidRPr="00363C68" w:rsidTr="00E66317">
        <w:trPr>
          <w:trHeight w:val="48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7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Основные характеристики бюджета по годам</w:t>
            </w:r>
          </w:p>
        </w:tc>
      </w:tr>
      <w:tr w:rsidR="00E66317" w:rsidRPr="00363C68" w:rsidTr="00E66317">
        <w:trPr>
          <w:trHeight w:val="52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2029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2030 год</w:t>
            </w:r>
          </w:p>
        </w:tc>
      </w:tr>
      <w:tr w:rsidR="00E66317" w:rsidRPr="00363C68" w:rsidTr="00E66317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1. Доходы,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26 395,31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27 704,69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26 313,13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26 374,73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27 009,09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27 709,43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28 359,45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29 013,51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29 677,61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30 368,52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31 081,46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31 827,92</w:t>
            </w:r>
          </w:p>
        </w:tc>
      </w:tr>
      <w:tr w:rsidR="00E66317" w:rsidRPr="00363C68" w:rsidTr="00E66317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1.1. Собственные 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11 864,12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12 134,62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12 693,89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12 903,12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13 537,48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14 237,82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14 887,84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15 541,90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16 206,00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16 896,91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17 609,85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18 356,31</w:t>
            </w:r>
          </w:p>
        </w:tc>
      </w:tr>
      <w:tr w:rsidR="00E66317" w:rsidRPr="00363C68" w:rsidTr="00E6631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1.2. Безвозмездные поступления из бюджетов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14 531,19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15 570,07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13 619,24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</w:tr>
      <w:tr w:rsidR="00E66317" w:rsidRPr="00363C68" w:rsidTr="00E66317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2. Расходы,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26 827,50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28 120,05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26 172,12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26 374,73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27 009,09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27 709,43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28 359,45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29 013,51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29 677,61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30 368,52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31 081,46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31 827,92</w:t>
            </w:r>
          </w:p>
        </w:tc>
      </w:tr>
      <w:tr w:rsidR="00E66317" w:rsidRPr="00363C68" w:rsidTr="00E6631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2.1. За счет средств местного бюджета,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12 296,31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12 549,98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12 552,88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12 903,12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13 537,48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14 237,82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14 887,84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15 541,90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16 206,00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16 896,91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17 609,85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18 356,31</w:t>
            </w:r>
          </w:p>
        </w:tc>
      </w:tr>
      <w:tr w:rsidR="00E66317" w:rsidRPr="00363C68" w:rsidTr="00E6631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2.1.1. на реализацию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12 073,10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10 574,96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10 594,02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10 697,86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11 276,00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11 891,04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12 501,73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13 094,46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13 747,14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14 394,51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14 997,21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15 546,89</w:t>
            </w:r>
          </w:p>
        </w:tc>
      </w:tr>
      <w:tr w:rsidR="00E66317" w:rsidRPr="00363C68" w:rsidTr="00E6631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2.1.2. на осуществление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1 975,02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1 958,86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2 205,26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2 261,48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2 346,78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2 386,11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2 447,44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2 458,86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2 502,40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2 612,64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2 809,42</w:t>
            </w:r>
          </w:p>
        </w:tc>
      </w:tr>
      <w:tr w:rsidR="00E66317" w:rsidRPr="00363C68" w:rsidTr="00E6631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2.2. За счет безвозмездных поступлений из бюджетов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14 531,19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15 570,07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13 619,24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13 471,61</w:t>
            </w:r>
          </w:p>
        </w:tc>
      </w:tr>
      <w:tr w:rsidR="00E66317" w:rsidRPr="00363C68" w:rsidTr="00E6631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2.2.1. на реализацию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14 531,19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15 313,89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13 362,76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13 242,47</w:t>
            </w:r>
          </w:p>
        </w:tc>
      </w:tr>
      <w:tr w:rsidR="00E66317" w:rsidRPr="00363C68" w:rsidTr="00E6631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2.2.2. на осуществление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256,18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256,48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229,14</w:t>
            </w:r>
          </w:p>
        </w:tc>
      </w:tr>
      <w:tr w:rsidR="00E66317" w:rsidRPr="00363C68" w:rsidTr="00E66317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 xml:space="preserve">3. Дефицит/Профицит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-432,19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-415,36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141,01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E66317" w:rsidRPr="00363C68" w:rsidTr="00E66317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17" w:rsidRPr="00363C68" w:rsidRDefault="00E66317" w:rsidP="00E663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4. Источники финансирования  дефицита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432,19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415,36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-141,01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17" w:rsidRPr="00363C68" w:rsidRDefault="00E66317" w:rsidP="00E663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C68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</w:tbl>
    <w:p w:rsidR="00074644" w:rsidRDefault="00074644" w:rsidP="00074644">
      <w:pPr>
        <w:tabs>
          <w:tab w:val="left" w:pos="7136"/>
        </w:tabs>
        <w:ind w:firstLine="18428"/>
        <w:jc w:val="center"/>
        <w:rPr>
          <w:sz w:val="20"/>
          <w:szCs w:val="20"/>
        </w:rPr>
      </w:pPr>
    </w:p>
    <w:p w:rsidR="00074644" w:rsidRPr="00074644" w:rsidRDefault="00074644" w:rsidP="00074644">
      <w:pPr>
        <w:tabs>
          <w:tab w:val="left" w:pos="7136"/>
        </w:tabs>
        <w:ind w:firstLine="18853"/>
        <w:jc w:val="center"/>
        <w:rPr>
          <w:sz w:val="20"/>
          <w:szCs w:val="20"/>
        </w:rPr>
      </w:pPr>
      <w:r w:rsidRPr="00074644">
        <w:rPr>
          <w:sz w:val="20"/>
          <w:szCs w:val="20"/>
        </w:rPr>
        <w:t>(млн. рублей)</w:t>
      </w:r>
    </w:p>
    <w:p w:rsidR="00363C68" w:rsidRPr="00074644" w:rsidRDefault="00074644" w:rsidP="00074644">
      <w:pPr>
        <w:rPr>
          <w:szCs w:val="28"/>
        </w:rPr>
        <w:sectPr w:rsidR="00363C68" w:rsidRPr="00074644" w:rsidSect="00E66317">
          <w:pgSz w:w="23808" w:h="16840" w:orient="landscape" w:code="8"/>
          <w:pgMar w:top="567" w:right="1134" w:bottom="1701" w:left="1134" w:header="709" w:footer="709" w:gutter="0"/>
          <w:cols w:space="708"/>
          <w:titlePg/>
          <w:docGrid w:linePitch="381"/>
        </w:sectPr>
      </w:pPr>
      <w:bookmarkStart w:id="0" w:name="_GoBack"/>
      <w:r>
        <w:rPr>
          <w:szCs w:val="28"/>
        </w:rPr>
        <w:t xml:space="preserve">   </w:t>
      </w:r>
    </w:p>
    <w:bookmarkEnd w:id="0"/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Приложение № 2 </w:t>
      </w:r>
    </w:p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постановлению </w:t>
      </w:r>
    </w:p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Администрации города</w:t>
      </w:r>
    </w:p>
    <w:p w:rsidR="00E66317" w:rsidRDefault="00E66317" w:rsidP="00E66317">
      <w:pPr>
        <w:ind w:left="567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25.02.2019 № 1288</w:t>
      </w:r>
    </w:p>
    <w:p w:rsidR="00E66317" w:rsidRDefault="00E66317" w:rsidP="00E66317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5670"/>
        <w:jc w:val="right"/>
        <w:rPr>
          <w:sz w:val="24"/>
          <w:szCs w:val="24"/>
        </w:rPr>
      </w:pPr>
      <w:r w:rsidRPr="00915D8A">
        <w:rPr>
          <w:sz w:val="24"/>
          <w:szCs w:val="24"/>
        </w:rPr>
        <w:t>(с изменениями от 13.12.2019 № 9383)</w:t>
      </w:r>
    </w:p>
    <w:p w:rsidR="00363C68" w:rsidRDefault="00363C68" w:rsidP="00363C68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</w:p>
    <w:p w:rsidR="00E66317" w:rsidRPr="00E66317" w:rsidRDefault="00E66317" w:rsidP="00E66317">
      <w:pPr>
        <w:tabs>
          <w:tab w:val="left" w:pos="6435"/>
        </w:tabs>
        <w:jc w:val="center"/>
        <w:rPr>
          <w:rFonts w:eastAsia="Times New Roman" w:cs="Times New Roman"/>
          <w:szCs w:val="28"/>
          <w:lang w:eastAsia="ru-RU"/>
        </w:rPr>
      </w:pPr>
      <w:r w:rsidRPr="00E66317">
        <w:rPr>
          <w:rFonts w:eastAsia="Times New Roman" w:cs="Times New Roman"/>
          <w:szCs w:val="28"/>
          <w:lang w:eastAsia="ru-RU"/>
        </w:rPr>
        <w:t>Предельные расходы на финансовое обеспечение реализации муниципальных программ городского округа город Сургут,</w:t>
      </w:r>
    </w:p>
    <w:p w:rsidR="00E66317" w:rsidRDefault="00E66317" w:rsidP="00E66317">
      <w:pPr>
        <w:tabs>
          <w:tab w:val="left" w:pos="6435"/>
        </w:tabs>
        <w:jc w:val="center"/>
        <w:rPr>
          <w:rFonts w:eastAsia="Times New Roman" w:cs="Times New Roman"/>
          <w:szCs w:val="28"/>
          <w:lang w:eastAsia="ru-RU"/>
        </w:rPr>
      </w:pPr>
      <w:r w:rsidRPr="00E66317">
        <w:rPr>
          <w:rFonts w:eastAsia="Times New Roman" w:cs="Times New Roman"/>
          <w:szCs w:val="28"/>
          <w:lang w:eastAsia="ru-RU"/>
        </w:rPr>
        <w:t>а также прогноз расходов на осуществление непрограммных направлений деятельности на период до 2030 года</w:t>
      </w:r>
    </w:p>
    <w:p w:rsidR="006E5817" w:rsidRDefault="006E5817" w:rsidP="00E66317">
      <w:pPr>
        <w:tabs>
          <w:tab w:val="left" w:pos="8189"/>
        </w:tabs>
        <w:rPr>
          <w:rFonts w:eastAsia="Times New Roman" w:cs="Times New Roman"/>
          <w:szCs w:val="28"/>
          <w:lang w:eastAsia="ru-RU"/>
        </w:rPr>
      </w:pPr>
    </w:p>
    <w:tbl>
      <w:tblPr>
        <w:tblW w:w="223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7"/>
        <w:gridCol w:w="1161"/>
      </w:tblGrid>
      <w:tr w:rsidR="006E5817" w:rsidRPr="00A931E5" w:rsidTr="00211E95">
        <w:trPr>
          <w:trHeight w:val="4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2019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</w:tr>
      <w:tr w:rsidR="006E5817" w:rsidRPr="00A931E5" w:rsidTr="00211E95">
        <w:trPr>
          <w:trHeight w:val="10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</w:tr>
      <w:tr w:rsidR="006E5817" w:rsidRPr="00A931E5" w:rsidTr="00211E95">
        <w:trPr>
          <w:trHeight w:val="10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A931E5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5817" w:rsidRPr="00A931E5" w:rsidTr="00211E95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1. Всего расходов,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26 827,50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12 296,31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14 531,19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28 120,05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12 549,98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15 570,07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26 172,12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12 552,88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13 619,24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26 374,73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12 903,12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27 009,09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13 537,48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27 709,43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14 237,82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 Расходы на реализацию муниципальных программам, всего,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26 604,29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12 073,10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14 531,19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25 888,85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10 574,96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15 313,89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23 956,78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10 594,02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13 362,76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23 940,33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10 697,86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24 518,47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25 133,51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11 891,04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</w:tr>
      <w:tr w:rsidR="006E5817" w:rsidRPr="00A931E5" w:rsidTr="00211E95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2.1. Обеспечение деятельности Администрации города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1 574,69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1 242,94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2.2. Управление муниципальными финансами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328,25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1 569,90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1 064,42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505,48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1 116,19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1 361,01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1 326,14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</w:tr>
      <w:tr w:rsidR="006E5817" w:rsidRPr="00A931E5" w:rsidTr="00211E95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2.3. Развитие образования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15 621,24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2 882,82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12 738,42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16 362,30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2 851,75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13 510,55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15 294,01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2 810,73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15 564,37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3 042,47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15 632,62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3 110,72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15 940,94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3 419,04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2.4. Развитие культуры и туризма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1 417,62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1 281,17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1 277,20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1 317,33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1 349,92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1 387,68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1 382,49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 xml:space="preserve">2.5. Развитие физической культуры и спорта в </w:t>
            </w:r>
            <w:r w:rsidRPr="00A931E5">
              <w:rPr>
                <w:rFonts w:eastAsia="Times New Roman" w:cs="Times New Roman"/>
                <w:sz w:val="22"/>
                <w:lang w:eastAsia="ru-RU"/>
              </w:rPr>
              <w:lastRenderedPageBreak/>
              <w:t>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lastRenderedPageBreak/>
              <w:t>1 115,82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1 095,22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1 104,44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1 093,11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1 090,02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1 083,54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1 076,74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1 129,20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</w:tr>
      <w:tr w:rsidR="006E5817" w:rsidRPr="00A931E5" w:rsidTr="00211E95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2.6. Молодёжная политика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415,88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415,88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2.7. Развитие коммунального комплекса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40,52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16,68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</w:tr>
      <w:tr w:rsidR="006E5817" w:rsidRPr="00A931E5" w:rsidTr="00211E95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2.8. Управление муниципальным имуществом в сфере жилищно-коммунального хозяйства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119,85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119,85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10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2.9. Энергосбережение и повышение энергетической эффективности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17,81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17,81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2.10. Развитие транспортной системы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2 539,03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2 351,86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2 694,15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2 267,77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2 267,77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2.11. Улучшение жилищных условий населения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2.12. Комфортное проживание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83,21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82,04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</w:tr>
      <w:tr w:rsidR="006E5817" w:rsidRPr="00A931E5" w:rsidTr="00211E95">
        <w:trPr>
          <w:trHeight w:val="1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2.13. Обеспечение деятельности департамента городского хозяйства в сфере дорожно-</w:t>
            </w:r>
            <w:r w:rsidRPr="00A931E5">
              <w:rPr>
                <w:rFonts w:eastAsia="Times New Roman" w:cs="Times New Roman"/>
                <w:sz w:val="22"/>
                <w:lang w:eastAsia="ru-RU"/>
              </w:rPr>
              <w:lastRenderedPageBreak/>
              <w:t>транспортного и жилищно-коммунального комплекса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lastRenderedPageBreak/>
              <w:t>336,51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10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2.14. Организация ритуальных услуг и содержание объектов похоронного обслуживания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163,73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191,88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191,88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13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2.15. Защита населения и территории города Сургута от чрезвычайных ситуаций и совершенствование гражданской обороны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219,15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219,15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2.16. Профилактика правонарушений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54,46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</w:tr>
      <w:tr w:rsidR="006E5817" w:rsidRPr="00A931E5" w:rsidTr="00211E95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2.17. Обеспечение жильём отдельных категорий граждан, проживающих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2.18. Обеспечение деятельности департамента архитектуры и градостроительства на период до 2030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256,93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2.19. Управление муниципальным имуществом и земельными ресурсами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lastRenderedPageBreak/>
              <w:t>2.20. Развитие агропромышленного комплекса в городе Сургуте на период до 2030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</w:tr>
      <w:tr w:rsidR="006E5817" w:rsidRPr="00A931E5" w:rsidTr="00211E95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2.21. Реализация отдельных государственных полномочий в сфере опеки и попечительства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359,43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2.22. Развитие муниципальной службы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4,02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2.23. Развитие гражданского общества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142,37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142,37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13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2.24. Проектирование и строительство объектов инженерной инфраструктуры на территории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2.25. Развитие электронного муниципалитета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546,07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587,05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</w:tr>
      <w:tr w:rsidR="006E5817" w:rsidRPr="00A931E5" w:rsidTr="00211E95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2.26. Улучшение условий и охраны труда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21,07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11,76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</w:tr>
      <w:tr w:rsidR="006E5817" w:rsidRPr="00A931E5" w:rsidTr="00211E95">
        <w:trPr>
          <w:trHeight w:val="10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2.27. Развитие малого и среднего предпринимательства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</w:tr>
      <w:tr w:rsidR="006E5817" w:rsidRPr="00A931E5" w:rsidTr="00211E95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lastRenderedPageBreak/>
              <w:t>2.28. Формирование комфортной городской среды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354,09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67,42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361,51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358,35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</w:tr>
      <w:tr w:rsidR="006E5817" w:rsidRPr="00A931E5" w:rsidTr="00211E95">
        <w:trPr>
          <w:trHeight w:val="27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2.29.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A931E5" w:rsidTr="00211E95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2.30. Развитие жилищной сферы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891,27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404,68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442,44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175,47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519,03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768,14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422,81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</w:tr>
      <w:tr w:rsidR="006E5817" w:rsidRPr="00A931E5" w:rsidTr="00211E95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A931E5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3. Расходы на реализацию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1 975,02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1 958,86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256,48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2 434,40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2 261,48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2 575,92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2 346,78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A931E5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1E5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</w:tr>
    </w:tbl>
    <w:p w:rsidR="006E5817" w:rsidRPr="00E66317" w:rsidRDefault="006E5817" w:rsidP="00E66317">
      <w:pPr>
        <w:tabs>
          <w:tab w:val="left" w:pos="8189"/>
        </w:tabs>
        <w:rPr>
          <w:rFonts w:eastAsia="Times New Roman" w:cs="Times New Roman"/>
          <w:szCs w:val="28"/>
          <w:lang w:eastAsia="ru-RU"/>
        </w:rPr>
        <w:sectPr w:rsidR="006E5817" w:rsidRPr="00E66317" w:rsidSect="00363C68">
          <w:pgSz w:w="23808" w:h="16840" w:orient="landscape" w:code="8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6E5817" w:rsidRPr="00E66317" w:rsidRDefault="006E5817" w:rsidP="006E5817">
      <w:pPr>
        <w:jc w:val="center"/>
        <w:rPr>
          <w:rFonts w:eastAsia="Times New Roman" w:cs="Times New Roman"/>
          <w:szCs w:val="28"/>
          <w:lang w:eastAsia="ru-RU"/>
        </w:rPr>
      </w:pPr>
      <w:r w:rsidRPr="00E66317">
        <w:rPr>
          <w:rFonts w:eastAsia="Times New Roman" w:cs="Times New Roman"/>
          <w:szCs w:val="28"/>
          <w:lang w:eastAsia="ru-RU"/>
        </w:rPr>
        <w:lastRenderedPageBreak/>
        <w:t>Предельные расходы на финансовое обеспечение реализации муниципальных программ городского округа город Сургут,</w:t>
      </w:r>
    </w:p>
    <w:p w:rsidR="006E5817" w:rsidRDefault="006E5817" w:rsidP="006E5817">
      <w:pPr>
        <w:tabs>
          <w:tab w:val="left" w:pos="6435"/>
        </w:tabs>
        <w:jc w:val="center"/>
        <w:rPr>
          <w:rFonts w:eastAsia="Times New Roman" w:cs="Times New Roman"/>
          <w:szCs w:val="28"/>
          <w:lang w:eastAsia="ru-RU"/>
        </w:rPr>
      </w:pPr>
      <w:r w:rsidRPr="00E66317">
        <w:rPr>
          <w:rFonts w:eastAsia="Times New Roman" w:cs="Times New Roman"/>
          <w:szCs w:val="28"/>
          <w:lang w:eastAsia="ru-RU"/>
        </w:rPr>
        <w:t>а также прогноз расходов на осуществление непрограммных направлений деятельности на период до 2030 года</w:t>
      </w:r>
    </w:p>
    <w:p w:rsidR="006E5817" w:rsidRDefault="006E5817" w:rsidP="006E5817">
      <w:pPr>
        <w:tabs>
          <w:tab w:val="left" w:pos="6899"/>
        </w:tabs>
        <w:jc w:val="center"/>
        <w:rPr>
          <w:szCs w:val="28"/>
        </w:rPr>
      </w:pPr>
    </w:p>
    <w:p w:rsidR="00363C68" w:rsidRDefault="00363C68" w:rsidP="006E5817">
      <w:pPr>
        <w:tabs>
          <w:tab w:val="left" w:pos="6899"/>
        </w:tabs>
        <w:jc w:val="center"/>
        <w:rPr>
          <w:szCs w:val="28"/>
        </w:rPr>
      </w:pPr>
    </w:p>
    <w:p w:rsidR="006E5817" w:rsidRDefault="006E5817" w:rsidP="006E5817">
      <w:pPr>
        <w:tabs>
          <w:tab w:val="left" w:pos="6899"/>
        </w:tabs>
        <w:jc w:val="right"/>
        <w:rPr>
          <w:szCs w:val="28"/>
        </w:rPr>
      </w:pPr>
      <w:r>
        <w:rPr>
          <w:szCs w:val="28"/>
        </w:rPr>
        <w:t xml:space="preserve">  </w:t>
      </w:r>
      <w:r w:rsidRPr="006E5817">
        <w:rPr>
          <w:szCs w:val="28"/>
        </w:rPr>
        <w:t>(млн. рублей)</w:t>
      </w:r>
    </w:p>
    <w:tbl>
      <w:tblPr>
        <w:tblW w:w="21967" w:type="dxa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E5817" w:rsidRPr="00E66317" w:rsidTr="00211E95">
        <w:trPr>
          <w:trHeight w:val="4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ind w:right="-9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2026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2028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2029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2030 год</w:t>
            </w:r>
          </w:p>
        </w:tc>
      </w:tr>
      <w:tr w:rsidR="006E5817" w:rsidRPr="00E66317" w:rsidTr="00211E95">
        <w:trPr>
          <w:trHeight w:val="105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за счет безвозмездных поступлений из бюджетов других уровней</w:t>
            </w:r>
          </w:p>
        </w:tc>
      </w:tr>
      <w:tr w:rsidR="006E5817" w:rsidRPr="00E66317" w:rsidTr="00211E95">
        <w:trPr>
          <w:trHeight w:val="105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17" w:rsidRPr="00E66317" w:rsidRDefault="006E5817" w:rsidP="00211E9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5817" w:rsidRPr="00E66317" w:rsidTr="00211E95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1. Всего расходов,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28 359,45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14 887,84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29 013,51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15 541,90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29 677,61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16 206,00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30 368,52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16 896,91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31 081,46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17 609,85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31 827,92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18 356,31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13 471,61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 Расходы на реализацию муниципальных программам, всего,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25 744,20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12 501,73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26 336,93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13 094,46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26 989,61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13 747,14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27 636,98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14 394,51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28 239,68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14 997,21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28 789,36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15 546,89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13 242,47</w:t>
            </w:r>
          </w:p>
        </w:tc>
      </w:tr>
      <w:tr w:rsidR="006E5817" w:rsidRPr="00E66317" w:rsidTr="00211E95">
        <w:trPr>
          <w:trHeight w:val="9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2.1. Обеспечение деятельности Администрации города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9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2.2. Управление муниципальными финансами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1 510,74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1 475,87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1 524,23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2 014,82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1 979,95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3 462,54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3 427,67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34,87</w:t>
            </w:r>
          </w:p>
        </w:tc>
      </w:tr>
      <w:tr w:rsidR="006E5817" w:rsidRPr="00E66317" w:rsidTr="00211E95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2.3. Развитие образования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15 994,40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16 011,73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3 489,83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15 978,91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3 457,01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16 088,14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3 566,24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16 402,33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3 880,43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16 154,81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3 632,91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12 521,90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2.4. Развитие культуры и туризма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1 596,29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1 591,10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1 917,11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1 911,92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1 870,59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1 865,40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 xml:space="preserve">2.5. Развитие физической культуры и </w:t>
            </w: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спорта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1 159,93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1 153,13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1 182,94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1 176,14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1 204,10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1 223,43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1 216,63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1 449,88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1 443,08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1 580,77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1 573,97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6,80</w:t>
            </w:r>
          </w:p>
        </w:tc>
      </w:tr>
      <w:tr w:rsidR="006E5817" w:rsidRPr="00E66317" w:rsidTr="00211E95">
        <w:trPr>
          <w:trHeight w:val="5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2.6. Молодёжная политика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385,07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385,07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371,62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371,62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749,03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749,03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8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2.7. Развитие коммунального комплекса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23,84</w:t>
            </w:r>
          </w:p>
        </w:tc>
      </w:tr>
      <w:tr w:rsidR="006E5817" w:rsidRPr="00E66317" w:rsidTr="00211E95">
        <w:trPr>
          <w:trHeight w:val="9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2.8. Управление муниципальным имуществом в сфере жилищно-коммунального хозяйства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10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2.9. Энергосбережение и повышение энергетической эффективности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2.10. Развитие транспортной системы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2 464,77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2 464,77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3 245,95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3 245,95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3 849,81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3 849,81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4 123,83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4 123,83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2 905,38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2 905,38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2 662,34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2 662,34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2.11. Улучшение жилищных условий населения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2.12. Комфортное проживание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</w:tr>
      <w:tr w:rsidR="006E5817" w:rsidRPr="00E66317" w:rsidTr="00211E95">
        <w:trPr>
          <w:trHeight w:val="13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2.13. Обеспечение деятельности департамента городского хозяйства в сфере дорожно-транспортного и жилищно-коммунального комплекса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10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2.14. Организация ритуальных услуг и содержание объектов похоронного обслуживания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199,86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199,86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13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2.15. Защита населения и территории города Сургута от чрезвычайных ситуаций и совершенствование гражданской обороны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2.16. Профилактика правонарушений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47,89</w:t>
            </w:r>
          </w:p>
        </w:tc>
      </w:tr>
      <w:tr w:rsidR="006E5817" w:rsidRPr="00E66317" w:rsidTr="00211E95">
        <w:trPr>
          <w:trHeight w:val="9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2.17. Обеспечение жильём отдельных категорий граждан, проживающих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2.18. Обеспечение деятельности департамента архитектуры и градостроительства на период до 2030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2.19. Управление муниципальным имуществом и земельными ресурсами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9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2.20. Развитие агропромышленного комплекса в городе Сургуте на период до 2030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</w:tr>
      <w:tr w:rsidR="006E5817" w:rsidRPr="00E66317" w:rsidTr="00211E95">
        <w:trPr>
          <w:trHeight w:val="9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2.21. Реализация отдельных государственных полномочий в сфере опеки и попечительства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2.22. Развитие муниципальной службы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9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2.23. Развитие гражданского общества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13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 xml:space="preserve">2.24. Проектирование и строительство объектов инженерной </w:t>
            </w: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инфраструктуры на территории города Сургута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2.25. Развитие электронного муниципалитета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594,47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601,52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614,22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375,17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403,77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239,05</w:t>
            </w:r>
          </w:p>
        </w:tc>
      </w:tr>
      <w:tr w:rsidR="006E5817" w:rsidRPr="00E66317" w:rsidTr="00211E95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2.26. Улучшение условий и охраны труда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</w:tr>
      <w:tr w:rsidR="006E5817" w:rsidRPr="00E66317" w:rsidTr="00211E95">
        <w:trPr>
          <w:trHeight w:val="10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2.27. Развитие малого и среднего предпринимательства в городе Сургуте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</w:tr>
      <w:tr w:rsidR="006E5817" w:rsidRPr="00E66317" w:rsidTr="00211E95">
        <w:trPr>
          <w:trHeight w:val="8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2.28. Формирование комфортной городской среды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337,13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333,97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336,45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333,29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337,87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</w:tr>
      <w:tr w:rsidR="006E5817" w:rsidRPr="00E66317" w:rsidTr="00211E95">
        <w:trPr>
          <w:trHeight w:val="27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 xml:space="preserve">2.29.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</w:t>
            </w: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межнациональных (межэтнических) конфликтов, профилактика экстремизма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lastRenderedPageBreak/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E5817" w:rsidRPr="00E66317" w:rsidTr="00211E95">
        <w:trPr>
          <w:trHeight w:val="5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2.30. Развитие жилищной сферы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761,83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702,85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357,52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715,50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370,17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800,77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455,44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884,21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538,88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657,95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312,62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345,33</w:t>
            </w:r>
          </w:p>
        </w:tc>
      </w:tr>
      <w:tr w:rsidR="006E5817" w:rsidRPr="00E66317" w:rsidTr="00211E95">
        <w:trPr>
          <w:trHeight w:val="9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17" w:rsidRPr="00E66317" w:rsidRDefault="006E5817" w:rsidP="00211E9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3. Расходы на реализацию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2 615,25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2 386,11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2 676,58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2 447,44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2 458,86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2 731,54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2 841,78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2 612,64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3 038,56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2 809,42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17" w:rsidRPr="00E66317" w:rsidRDefault="006E5817" w:rsidP="00211E9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6317">
              <w:rPr>
                <w:rFonts w:eastAsia="Times New Roman" w:cs="Times New Roman"/>
                <w:sz w:val="22"/>
                <w:lang w:eastAsia="ru-RU"/>
              </w:rPr>
              <w:t>229,14</w:t>
            </w:r>
          </w:p>
        </w:tc>
      </w:tr>
    </w:tbl>
    <w:p w:rsidR="006E5817" w:rsidRPr="00237802" w:rsidRDefault="00237802" w:rsidP="00237802">
      <w:pPr>
        <w:tabs>
          <w:tab w:val="left" w:pos="7630"/>
        </w:tabs>
        <w:rPr>
          <w:szCs w:val="28"/>
        </w:rPr>
        <w:sectPr w:rsidR="006E5817" w:rsidRPr="00237802" w:rsidSect="00A931E5">
          <w:pgSz w:w="23808" w:h="16840" w:orient="landscape" w:code="8"/>
          <w:pgMar w:top="567" w:right="1134" w:bottom="1134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tab/>
      </w:r>
    </w:p>
    <w:p w:rsidR="00A931E5" w:rsidRPr="00D5615E" w:rsidRDefault="00A931E5" w:rsidP="007D3C0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jc w:val="both"/>
        <w:rPr>
          <w:szCs w:val="28"/>
        </w:rPr>
      </w:pPr>
    </w:p>
    <w:sectPr w:rsidR="00A931E5" w:rsidRPr="00D5615E" w:rsidSect="00363C68">
      <w:pgSz w:w="23808" w:h="16840" w:orient="landscape" w:code="8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AB" w:rsidRDefault="00E414AB">
      <w:r>
        <w:separator/>
      </w:r>
    </w:p>
  </w:endnote>
  <w:endnote w:type="continuationSeparator" w:id="0">
    <w:p w:rsidR="00E414AB" w:rsidRDefault="00E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AB" w:rsidRDefault="00E414AB">
      <w:r>
        <w:separator/>
      </w:r>
    </w:p>
  </w:footnote>
  <w:footnote w:type="continuationSeparator" w:id="0">
    <w:p w:rsidR="00E414AB" w:rsidRDefault="00E4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31E5" w:rsidRPr="001E6248" w:rsidRDefault="00A931E5" w:rsidP="00363C6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4644">
          <w:rPr>
            <w:rStyle w:val="a6"/>
            <w:noProof/>
            <w:sz w:val="20"/>
          </w:rPr>
          <w:instrText>21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464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464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4644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74644">
          <w:rPr>
            <w:sz w:val="20"/>
          </w:rPr>
          <w:fldChar w:fldCharType="separate"/>
        </w:r>
        <w:r w:rsidR="00074644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A931E5" w:rsidRDefault="00A931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5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31E5" w:rsidRPr="00B15220" w:rsidRDefault="00A931E5">
        <w:pPr>
          <w:pStyle w:val="a4"/>
          <w:jc w:val="center"/>
          <w:rPr>
            <w:sz w:val="20"/>
            <w:szCs w:val="20"/>
          </w:rPr>
        </w:pPr>
        <w:r w:rsidRPr="00B15220">
          <w:rPr>
            <w:sz w:val="20"/>
            <w:szCs w:val="20"/>
          </w:rPr>
          <w:fldChar w:fldCharType="begin"/>
        </w:r>
        <w:r w:rsidRPr="00B15220">
          <w:rPr>
            <w:sz w:val="20"/>
            <w:szCs w:val="20"/>
          </w:rPr>
          <w:instrText>PAGE   \* MERGEFORMAT</w:instrText>
        </w:r>
        <w:r w:rsidRPr="00B15220">
          <w:rPr>
            <w:sz w:val="20"/>
            <w:szCs w:val="20"/>
          </w:rPr>
          <w:fldChar w:fldCharType="separate"/>
        </w:r>
        <w:r w:rsidR="00074644">
          <w:rPr>
            <w:noProof/>
            <w:sz w:val="20"/>
            <w:szCs w:val="20"/>
          </w:rPr>
          <w:t>7</w:t>
        </w:r>
        <w:r w:rsidRPr="00B15220">
          <w:rPr>
            <w:sz w:val="20"/>
            <w:szCs w:val="20"/>
          </w:rPr>
          <w:fldChar w:fldCharType="end"/>
        </w:r>
      </w:p>
    </w:sdtContent>
  </w:sdt>
  <w:p w:rsidR="00E66317" w:rsidRDefault="00E663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E"/>
    <w:rsid w:val="00074644"/>
    <w:rsid w:val="00133344"/>
    <w:rsid w:val="001F2605"/>
    <w:rsid w:val="00226A5C"/>
    <w:rsid w:val="00237802"/>
    <w:rsid w:val="00243839"/>
    <w:rsid w:val="00363C68"/>
    <w:rsid w:val="005A2FF6"/>
    <w:rsid w:val="0069187A"/>
    <w:rsid w:val="006A7893"/>
    <w:rsid w:val="006E5817"/>
    <w:rsid w:val="007D3C0E"/>
    <w:rsid w:val="007F0FF5"/>
    <w:rsid w:val="008D38F2"/>
    <w:rsid w:val="00915D8A"/>
    <w:rsid w:val="00936A5E"/>
    <w:rsid w:val="00A931E5"/>
    <w:rsid w:val="00B15220"/>
    <w:rsid w:val="00C4086A"/>
    <w:rsid w:val="00CF1AC7"/>
    <w:rsid w:val="00D5615E"/>
    <w:rsid w:val="00E414AB"/>
    <w:rsid w:val="00E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3846"/>
  <w15:chartTrackingRefBased/>
  <w15:docId w15:val="{05C2E864-5A49-4432-8EC4-1BB2E93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15E"/>
    <w:rPr>
      <w:rFonts w:ascii="Times New Roman" w:hAnsi="Times New Roman"/>
      <w:sz w:val="28"/>
    </w:rPr>
  </w:style>
  <w:style w:type="character" w:styleId="a6">
    <w:name w:val="page number"/>
    <w:basedOn w:val="a0"/>
    <w:rsid w:val="00D5615E"/>
  </w:style>
  <w:style w:type="paragraph" w:styleId="a7">
    <w:name w:val="List Paragraph"/>
    <w:basedOn w:val="a"/>
    <w:uiPriority w:val="34"/>
    <w:qFormat/>
    <w:rsid w:val="00D5615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561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D561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152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2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Шабунина Дарья Владимировна</cp:lastModifiedBy>
  <cp:revision>9</cp:revision>
  <cp:lastPrinted>2019-02-25T10:00:00Z</cp:lastPrinted>
  <dcterms:created xsi:type="dcterms:W3CDTF">2019-02-28T04:52:00Z</dcterms:created>
  <dcterms:modified xsi:type="dcterms:W3CDTF">2020-01-31T10:18:00Z</dcterms:modified>
</cp:coreProperties>
</file>