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FE" w:rsidRPr="00EA7F5B" w:rsidRDefault="00F913FE" w:rsidP="00F913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7F5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913FE" w:rsidRPr="00EA7F5B" w:rsidRDefault="00F913FE" w:rsidP="00F91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о реализации вектора «Инновации» направления «Предпринимательство» </w:t>
      </w:r>
    </w:p>
    <w:p w:rsidR="00F913FE" w:rsidRPr="00EA7F5B" w:rsidRDefault="00F913FE" w:rsidP="00F91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</w:t>
      </w:r>
    </w:p>
    <w:p w:rsidR="00F913FE" w:rsidRPr="00EA7F5B" w:rsidRDefault="00F913FE" w:rsidP="00F91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7F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13FE" w:rsidRPr="00EA7F5B" w:rsidRDefault="00F913FE" w:rsidP="00F91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3FE" w:rsidRPr="00EA7F5B" w:rsidRDefault="00F913FE" w:rsidP="00F913F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F5B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A7F5B">
        <w:rPr>
          <w:rFonts w:ascii="Times New Roman" w:hAnsi="Times New Roman"/>
          <w:sz w:val="28"/>
          <w:szCs w:val="28"/>
        </w:rPr>
        <w:t>. Стратегическая цель и задачи вектора.</w:t>
      </w:r>
    </w:p>
    <w:p w:rsidR="00F913FE" w:rsidRPr="00EA7F5B" w:rsidRDefault="00F913FE" w:rsidP="00F913F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F5B">
        <w:rPr>
          <w:rFonts w:ascii="Times New Roman" w:hAnsi="Times New Roman"/>
          <w:sz w:val="28"/>
          <w:szCs w:val="28"/>
        </w:rPr>
        <w:t>Стратегическая цель вектора -  обеспечение роста</w:t>
      </w:r>
      <w:r w:rsidRPr="00EA7F5B">
        <w:rPr>
          <w:rFonts w:ascii="Times New Roman" w:hAnsi="Times New Roman"/>
          <w:sz w:val="28"/>
          <w:szCs w:val="28"/>
        </w:rPr>
        <w:br/>
        <w:t xml:space="preserve">научно-инновационного потенциала города, создание в Сургуте </w:t>
      </w:r>
      <w:r w:rsidRPr="00EA7F5B">
        <w:rPr>
          <w:rFonts w:ascii="Times New Roman" w:hAnsi="Times New Roman"/>
          <w:sz w:val="28"/>
          <w:szCs w:val="28"/>
        </w:rPr>
        <w:br/>
        <w:t>научно-инновационной среды.</w:t>
      </w:r>
    </w:p>
    <w:p w:rsidR="00F913FE" w:rsidRPr="00A41AD2" w:rsidRDefault="00F913FE" w:rsidP="00F913F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AD2">
        <w:rPr>
          <w:rFonts w:ascii="Times New Roman" w:hAnsi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F913FE" w:rsidRPr="00A41AD2" w:rsidRDefault="00F913FE" w:rsidP="00F913FE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1AD2">
        <w:rPr>
          <w:rFonts w:ascii="Times New Roman" w:eastAsia="Cambria" w:hAnsi="Times New Roman" w:cs="Times New Roman"/>
          <w:kern w:val="20"/>
          <w:sz w:val="28"/>
          <w:szCs w:val="28"/>
        </w:rPr>
        <w:t>обеспечение условий для инновационной активности;</w:t>
      </w:r>
    </w:p>
    <w:p w:rsidR="00F913FE" w:rsidRPr="00A41AD2" w:rsidRDefault="00F913FE" w:rsidP="00F913FE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1AD2">
        <w:rPr>
          <w:rFonts w:ascii="Times New Roman" w:eastAsia="Cambria" w:hAnsi="Times New Roman" w:cs="Times New Roman"/>
          <w:kern w:val="20"/>
          <w:sz w:val="28"/>
          <w:szCs w:val="28"/>
        </w:rPr>
        <w:t xml:space="preserve"> формирование системы выгодного комплексного финансирования инновационной деятельности;</w:t>
      </w:r>
    </w:p>
    <w:p w:rsidR="00F913FE" w:rsidRPr="00A41AD2" w:rsidRDefault="00F913FE" w:rsidP="00F913FE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1AD2">
        <w:rPr>
          <w:rFonts w:ascii="Times New Roman" w:eastAsia="Cambria" w:hAnsi="Times New Roman" w:cs="Times New Roman"/>
          <w:kern w:val="20"/>
          <w:sz w:val="28"/>
          <w:szCs w:val="28"/>
        </w:rPr>
        <w:t>обеспечение практической ориентированности инновационной деятельности;</w:t>
      </w:r>
    </w:p>
    <w:p w:rsidR="00F913FE" w:rsidRPr="00A41AD2" w:rsidRDefault="00F913FE" w:rsidP="00F913FE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1AD2">
        <w:rPr>
          <w:rFonts w:ascii="Times New Roman" w:eastAsia="Cambria" w:hAnsi="Times New Roman" w:cs="Times New Roman"/>
          <w:kern w:val="20"/>
          <w:sz w:val="28"/>
          <w:szCs w:val="28"/>
        </w:rPr>
        <w:t>формирование устойчивой системы долгосрочного партнёрства науки и бизнеса в инновационной сфере;</w:t>
      </w:r>
    </w:p>
    <w:p w:rsidR="00F913FE" w:rsidRPr="00A41AD2" w:rsidRDefault="00F913FE" w:rsidP="00F913FE">
      <w:pPr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eastAsia="Cambria" w:hAnsi="Times New Roman" w:cs="Times New Roman"/>
          <w:kern w:val="20"/>
          <w:sz w:val="28"/>
          <w:szCs w:val="28"/>
        </w:rPr>
      </w:pPr>
      <w:r w:rsidRPr="00A41AD2">
        <w:rPr>
          <w:rFonts w:ascii="Times New Roman" w:eastAsia="Cambria" w:hAnsi="Times New Roman" w:cs="Times New Roman"/>
          <w:kern w:val="20"/>
          <w:sz w:val="28"/>
          <w:szCs w:val="28"/>
        </w:rPr>
        <w:t>формирование условий для роста научно-образовательного потенциала и сбалансированности профессиональной структуры населения.</w:t>
      </w:r>
    </w:p>
    <w:p w:rsidR="00F913FE" w:rsidRDefault="00F913FE" w:rsidP="00F91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FE" w:rsidRPr="00EA7F5B" w:rsidRDefault="00F913FE" w:rsidP="00F91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F5B">
        <w:rPr>
          <w:rFonts w:ascii="Times New Roman" w:hAnsi="Times New Roman" w:cs="Times New Roman"/>
          <w:sz w:val="28"/>
          <w:szCs w:val="28"/>
        </w:rPr>
        <w:t xml:space="preserve">. </w:t>
      </w:r>
      <w:r w:rsidR="00E11DE0">
        <w:rPr>
          <w:rFonts w:ascii="Times New Roman" w:hAnsi="Times New Roman" w:cs="Times New Roman"/>
          <w:sz w:val="28"/>
          <w:szCs w:val="28"/>
        </w:rPr>
        <w:t>Оценка</w:t>
      </w:r>
      <w:r w:rsidRPr="00EA7F5B">
        <w:rPr>
          <w:rFonts w:ascii="Times New Roman" w:hAnsi="Times New Roman" w:cs="Times New Roman"/>
          <w:sz w:val="28"/>
          <w:szCs w:val="28"/>
        </w:rPr>
        <w:t xml:space="preserve"> достижения запланированных значений интегральных индексов и частных показателей.</w:t>
      </w:r>
    </w:p>
    <w:p w:rsidR="00F913FE" w:rsidRPr="00EA7F5B" w:rsidRDefault="00F913FE" w:rsidP="00F913F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отчету.</w:t>
      </w:r>
    </w:p>
    <w:p w:rsidR="00F913FE" w:rsidRDefault="00F913FE" w:rsidP="00F91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FE" w:rsidRPr="00EA7F5B" w:rsidRDefault="00F913FE" w:rsidP="00F91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DE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проектов (мероприятий),</w:t>
      </w:r>
      <w:r w:rsidRPr="00EA7F5B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Стратегии.</w:t>
      </w:r>
    </w:p>
    <w:p w:rsidR="00F913FE" w:rsidRPr="00EA7F5B" w:rsidRDefault="00F913FE" w:rsidP="00F913FE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A7F5B">
        <w:rPr>
          <w:rFonts w:ascii="Times New Roman" w:hAnsi="Times New Roman" w:cs="Times New Roman"/>
          <w:sz w:val="28"/>
          <w:szCs w:val="28"/>
        </w:rPr>
        <w:t xml:space="preserve">нализ реализации плана мероприятий по реализации Стратегии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7F5B">
        <w:rPr>
          <w:rFonts w:ascii="Times New Roman" w:hAnsi="Times New Roman" w:cs="Times New Roman"/>
          <w:sz w:val="28"/>
          <w:szCs w:val="28"/>
        </w:rPr>
        <w:t xml:space="preserve"> к отчету.</w:t>
      </w:r>
    </w:p>
    <w:p w:rsidR="00F913FE" w:rsidRDefault="00F913FE" w:rsidP="00F91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3FE" w:rsidRPr="00EA7F5B" w:rsidRDefault="00F913FE" w:rsidP="00F91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5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A7F5B">
        <w:rPr>
          <w:rFonts w:ascii="Times New Roman" w:hAnsi="Times New Roman" w:cs="Times New Roman"/>
          <w:sz w:val="28"/>
          <w:szCs w:val="28"/>
        </w:rPr>
        <w:t>. По результатам проведенной оценки можно сделать следующи</w:t>
      </w:r>
      <w:r w:rsidR="00E11DE0">
        <w:rPr>
          <w:rFonts w:ascii="Times New Roman" w:hAnsi="Times New Roman" w:cs="Times New Roman"/>
          <w:sz w:val="28"/>
          <w:szCs w:val="28"/>
        </w:rPr>
        <w:t>е</w:t>
      </w:r>
      <w:r w:rsidRPr="00EA7F5B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E11DE0">
        <w:rPr>
          <w:rFonts w:ascii="Times New Roman" w:hAnsi="Times New Roman" w:cs="Times New Roman"/>
          <w:sz w:val="28"/>
          <w:szCs w:val="28"/>
        </w:rPr>
        <w:t>ы</w:t>
      </w:r>
      <w:r w:rsidRPr="00EA7F5B">
        <w:rPr>
          <w:rFonts w:ascii="Times New Roman" w:hAnsi="Times New Roman" w:cs="Times New Roman"/>
          <w:sz w:val="28"/>
          <w:szCs w:val="28"/>
        </w:rPr>
        <w:t>:</w:t>
      </w:r>
    </w:p>
    <w:p w:rsidR="00F913FE" w:rsidRDefault="00363AD8" w:rsidP="00F913F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443">
        <w:rPr>
          <w:rFonts w:ascii="Times New Roman" w:hAnsi="Times New Roman"/>
          <w:sz w:val="28"/>
          <w:szCs w:val="28"/>
        </w:rPr>
        <w:t xml:space="preserve">Прирост </w:t>
      </w:r>
      <w:r w:rsidR="00E82443" w:rsidRPr="00E82443">
        <w:rPr>
          <w:rFonts w:ascii="Times New Roman" w:hAnsi="Times New Roman"/>
          <w:sz w:val="28"/>
          <w:szCs w:val="28"/>
        </w:rPr>
        <w:t>на 50</w:t>
      </w:r>
      <w:r w:rsidR="00F913FE" w:rsidRPr="00E82443">
        <w:rPr>
          <w:rFonts w:ascii="Times New Roman" w:hAnsi="Times New Roman"/>
          <w:sz w:val="28"/>
          <w:szCs w:val="28"/>
        </w:rPr>
        <w:t xml:space="preserve"> % </w:t>
      </w:r>
      <w:r w:rsidRPr="00E82443">
        <w:rPr>
          <w:rFonts w:ascii="Times New Roman" w:hAnsi="Times New Roman"/>
          <w:sz w:val="28"/>
          <w:szCs w:val="28"/>
        </w:rPr>
        <w:t>к фактическим данным 2017 года</w:t>
      </w:r>
      <w:r w:rsidR="00F913FE" w:rsidRPr="00E82443">
        <w:rPr>
          <w:rFonts w:ascii="Times New Roman" w:hAnsi="Times New Roman"/>
          <w:sz w:val="28"/>
          <w:szCs w:val="28"/>
        </w:rPr>
        <w:t xml:space="preserve"> зн</w:t>
      </w:r>
      <w:r w:rsidR="00F913FE" w:rsidRPr="00EA7F5B">
        <w:rPr>
          <w:rFonts w:ascii="Times New Roman" w:hAnsi="Times New Roman"/>
          <w:sz w:val="28"/>
          <w:szCs w:val="28"/>
        </w:rPr>
        <w:t>ачения общего индекса по вектору «Инновации» позволяет сделать выводы о промежуточном достижении стратегической цели вектора по обеспечению роста научно-инновационного потенциала города, созданию в Сургуте научно-инновационной среды с учетом продолжающейся работы по созданию кампуса, проводимых мероприятий инновационной направленности, являющихся эффективной коммуникационной площадкой для обмена опытом, реализации практически значимых проектов на территории города, мероприятий по развитию математических способностей, способностей к моделированию и проектированию детей школьного возраста.</w:t>
      </w:r>
    </w:p>
    <w:p w:rsidR="00440243" w:rsidRDefault="00F07995" w:rsidP="00F0799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40">
        <w:rPr>
          <w:rFonts w:ascii="Times New Roman" w:hAnsi="Times New Roman" w:cs="Times New Roman"/>
          <w:sz w:val="28"/>
          <w:szCs w:val="28"/>
        </w:rPr>
        <w:t>В июне</w:t>
      </w:r>
      <w:r w:rsidR="006141AD" w:rsidRPr="00A00D40">
        <w:rPr>
          <w:rFonts w:ascii="Times New Roman" w:hAnsi="Times New Roman" w:cs="Times New Roman"/>
          <w:sz w:val="28"/>
          <w:szCs w:val="28"/>
        </w:rPr>
        <w:t xml:space="preserve"> 2018 года открылся детский технопарк «Кванториум» на базе МАОУ ДО «Технополис», четвертый и самый крупный по занимаемой </w:t>
      </w:r>
      <w:r w:rsidR="006141AD" w:rsidRPr="00A00D40">
        <w:rPr>
          <w:rFonts w:ascii="Times New Roman" w:hAnsi="Times New Roman" w:cs="Times New Roman"/>
          <w:sz w:val="28"/>
          <w:szCs w:val="28"/>
        </w:rPr>
        <w:lastRenderedPageBreak/>
        <w:t>площади технопарк в Югре (площадь 2 376 кв.м.).  Образовательная система «Кванториум» основывается на реальных технологических кейсах и позволяет сформировать у обучающихся навыки прохождения процесса полного жизненного цикла создания инженерного продукта, сквозные изобретательские компетенции, способы изменения свойств объектов.</w:t>
      </w:r>
    </w:p>
    <w:p w:rsidR="006141AD" w:rsidRPr="00A00D40" w:rsidRDefault="00F07995" w:rsidP="00F0799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40">
        <w:rPr>
          <w:rFonts w:ascii="Times New Roman" w:hAnsi="Times New Roman" w:cs="Times New Roman"/>
          <w:sz w:val="28"/>
          <w:szCs w:val="28"/>
        </w:rPr>
        <w:t>О</w:t>
      </w:r>
      <w:r w:rsidR="006141AD" w:rsidRPr="00A00D40">
        <w:rPr>
          <w:rFonts w:ascii="Times New Roman" w:hAnsi="Times New Roman" w:cs="Times New Roman"/>
          <w:sz w:val="28"/>
          <w:szCs w:val="28"/>
        </w:rPr>
        <w:t xml:space="preserve">бучающимся предложено к освоению на базе технопарка с использованием высокотехнологичного оборудования 23 дополнительные общеобразовательные программы продвинутого уровня.  Партнерами при реализации инновационных дополнительных образовательных программ </w:t>
      </w:r>
      <w:r w:rsidRPr="00A00D40">
        <w:rPr>
          <w:rFonts w:ascii="Times New Roman" w:hAnsi="Times New Roman" w:cs="Times New Roman"/>
          <w:sz w:val="28"/>
          <w:szCs w:val="28"/>
        </w:rPr>
        <w:t>являются</w:t>
      </w:r>
      <w:r w:rsidR="006141AD" w:rsidRPr="00A00D40">
        <w:rPr>
          <w:rFonts w:ascii="Times New Roman" w:hAnsi="Times New Roman" w:cs="Times New Roman"/>
          <w:sz w:val="28"/>
          <w:szCs w:val="28"/>
        </w:rPr>
        <w:t>: БУ ВО Х</w:t>
      </w:r>
      <w:r w:rsidR="00877DA2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– Югры </w:t>
      </w:r>
      <w:r w:rsidR="006141AD" w:rsidRPr="00A00D40">
        <w:rPr>
          <w:rFonts w:ascii="Times New Roman" w:hAnsi="Times New Roman" w:cs="Times New Roman"/>
          <w:sz w:val="28"/>
          <w:szCs w:val="28"/>
        </w:rPr>
        <w:t>МАО – Югры «Сургутский государственный университет», АУ Х</w:t>
      </w:r>
      <w:r w:rsidR="00877DA2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="006141AD" w:rsidRPr="00A00D40">
        <w:rPr>
          <w:rFonts w:ascii="Times New Roman" w:hAnsi="Times New Roman" w:cs="Times New Roman"/>
          <w:sz w:val="28"/>
          <w:szCs w:val="28"/>
        </w:rPr>
        <w:t>– Югры «Технопарк высоких технологий», ООО «Центр инновационных технологий», АНО ДПО «Институт развития компетенций».</w:t>
      </w:r>
    </w:p>
    <w:p w:rsidR="00F913FE" w:rsidRPr="00A00D40" w:rsidRDefault="00F913FE" w:rsidP="00F913F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40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детей, молодежи                                и субъектов малого и среднего предпринимательства в научно-технической, инновационной, производственной и креативной деятельности, с использованием постоянно совершенствующейся материально-технической, экономической, информационной базы на территории города Сургута </w:t>
      </w:r>
      <w:r w:rsidR="00F07995" w:rsidRPr="00A00D40">
        <w:rPr>
          <w:rFonts w:ascii="Times New Roman" w:hAnsi="Times New Roman" w:cs="Times New Roman"/>
          <w:sz w:val="28"/>
          <w:szCs w:val="28"/>
        </w:rPr>
        <w:t>продолжает действовать</w:t>
      </w:r>
      <w:r w:rsidRPr="00A00D40">
        <w:rPr>
          <w:rFonts w:ascii="Times New Roman" w:hAnsi="Times New Roman" w:cs="Times New Roman"/>
          <w:sz w:val="28"/>
          <w:szCs w:val="28"/>
        </w:rPr>
        <w:t xml:space="preserve"> центр молодежного инновационного творчества. </w:t>
      </w:r>
    </w:p>
    <w:p w:rsidR="00F913FE" w:rsidRPr="00F07995" w:rsidRDefault="00F913FE" w:rsidP="00357FE9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D40">
        <w:rPr>
          <w:rFonts w:ascii="Times New Roman" w:hAnsi="Times New Roman" w:cs="Times New Roman"/>
          <w:sz w:val="28"/>
          <w:szCs w:val="28"/>
        </w:rPr>
        <w:t>Созданный центр молодежного инновационного творчества на базе</w:t>
      </w:r>
      <w:r w:rsidR="00357FE9">
        <w:rPr>
          <w:rFonts w:ascii="Times New Roman" w:hAnsi="Times New Roman" w:cs="Times New Roman"/>
          <w:sz w:val="28"/>
          <w:szCs w:val="28"/>
        </w:rPr>
        <w:br/>
      </w:r>
      <w:r w:rsidR="00F22CB4" w:rsidRPr="00F22CB4">
        <w:rPr>
          <w:rFonts w:ascii="Times New Roman" w:hAnsi="Times New Roman" w:cs="Times New Roman"/>
          <w:sz w:val="28"/>
          <w:szCs w:val="28"/>
        </w:rPr>
        <w:t>ООО «Центр инновационных технологий»</w:t>
      </w:r>
      <w:r w:rsidRPr="00A00D40">
        <w:rPr>
          <w:rFonts w:ascii="Times New Roman" w:hAnsi="Times New Roman" w:cs="Times New Roman"/>
          <w:sz w:val="28"/>
          <w:szCs w:val="28"/>
        </w:rPr>
        <w:t xml:space="preserve"> позволяет повысить уровень доступности обмена накопленными знаниями и профессиональным опытом между всеми участниками образовательного кластера региона в различных отраслях науки.</w:t>
      </w:r>
      <w:r w:rsidRPr="00F0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12" w:rsidRDefault="00EA1412" w:rsidP="00EA1412">
      <w:pPr>
        <w:tabs>
          <w:tab w:val="left" w:pos="284"/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центр </w:t>
      </w:r>
      <w:r w:rsidRPr="00F22CB4">
        <w:rPr>
          <w:rFonts w:ascii="Times New Roman" w:hAnsi="Times New Roman" w:cs="Times New Roman"/>
          <w:sz w:val="28"/>
          <w:szCs w:val="28"/>
        </w:rPr>
        <w:t>ООО «Центр инновационных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получил финансовую поддержку в форме субсидии из средств окружного и местного бюджетов в размере 945 тыс. рублей п</w:t>
      </w:r>
      <w:r w:rsidRPr="00FA6E41">
        <w:rPr>
          <w:rFonts w:ascii="Times New Roman" w:hAnsi="Times New Roman" w:cs="Times New Roman"/>
          <w:sz w:val="28"/>
          <w:szCs w:val="28"/>
        </w:rPr>
        <w:t>о направлению «создание и /или обеспечение деятельности центров молодежного инновационного творчества(ЦМИТ)».</w:t>
      </w:r>
    </w:p>
    <w:p w:rsidR="00EA1412" w:rsidRDefault="00EA1412" w:rsidP="00C7006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  <w:sectPr w:rsidR="00EA1412" w:rsidSect="00877DA2">
          <w:headerReference w:type="default" r:id="rId8"/>
          <w:footerReference w:type="default" r:id="rId9"/>
          <w:pgSz w:w="11906" w:h="16838" w:code="9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397101" w:rsidRPr="00397101" w:rsidRDefault="00397101" w:rsidP="00397101">
      <w:pPr>
        <w:ind w:left="1119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397101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«Инновации» направления «Предпринимательство»</w:t>
      </w:r>
    </w:p>
    <w:p w:rsidR="00397101" w:rsidRPr="00397101" w:rsidRDefault="00397101" w:rsidP="00397101">
      <w:pPr>
        <w:ind w:left="11199"/>
        <w:rPr>
          <w:rFonts w:ascii="Times New Roman" w:hAnsi="Times New Roman" w:cs="Times New Roman"/>
          <w:sz w:val="28"/>
          <w:szCs w:val="28"/>
        </w:rPr>
      </w:pPr>
      <w:r w:rsidRPr="00397101">
        <w:rPr>
          <w:rFonts w:ascii="Times New Roman" w:hAnsi="Times New Roman" w:cs="Times New Roman"/>
          <w:sz w:val="28"/>
          <w:szCs w:val="28"/>
        </w:rPr>
        <w:t>за 201</w:t>
      </w:r>
      <w:r w:rsidR="00F913FE">
        <w:rPr>
          <w:rFonts w:ascii="Times New Roman" w:hAnsi="Times New Roman" w:cs="Times New Roman"/>
          <w:sz w:val="28"/>
          <w:szCs w:val="28"/>
        </w:rPr>
        <w:t>8</w:t>
      </w:r>
      <w:r w:rsidRPr="003971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19D6" w:rsidRDefault="00397101" w:rsidP="00A2763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7101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397101">
        <w:rPr>
          <w:rFonts w:ascii="Times New Roman" w:hAnsi="Times New Roman" w:cs="Times New Roman"/>
          <w:bCs/>
          <w:sz w:val="28"/>
          <w:szCs w:val="28"/>
        </w:rPr>
        <w:br/>
        <w:t>достижения значений интегральных индексов и частных показателей достижения целей</w:t>
      </w:r>
    </w:p>
    <w:p w:rsidR="00A27638" w:rsidRDefault="00397101" w:rsidP="00A2763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7101">
        <w:rPr>
          <w:rFonts w:ascii="Times New Roman" w:hAnsi="Times New Roman" w:cs="Times New Roman"/>
          <w:bCs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</w:t>
      </w:r>
    </w:p>
    <w:p w:rsidR="00397101" w:rsidRDefault="00A27638" w:rsidP="00A2763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вектору развития «Инновации» направления «Предпринимательство» </w:t>
      </w:r>
      <w:r w:rsidR="00397101" w:rsidRPr="00397101">
        <w:rPr>
          <w:rFonts w:ascii="Times New Roman" w:hAnsi="Times New Roman" w:cs="Times New Roman"/>
          <w:bCs/>
          <w:sz w:val="28"/>
          <w:szCs w:val="28"/>
        </w:rPr>
        <w:t>за 201</w:t>
      </w:r>
      <w:r w:rsidR="00F913FE">
        <w:rPr>
          <w:rFonts w:ascii="Times New Roman" w:hAnsi="Times New Roman" w:cs="Times New Roman"/>
          <w:bCs/>
          <w:sz w:val="28"/>
          <w:szCs w:val="28"/>
        </w:rPr>
        <w:t>8</w:t>
      </w:r>
      <w:r w:rsidR="00397101" w:rsidRPr="0039710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27638" w:rsidRDefault="00A27638" w:rsidP="00A2763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686"/>
        <w:gridCol w:w="992"/>
        <w:gridCol w:w="851"/>
        <w:gridCol w:w="992"/>
        <w:gridCol w:w="1134"/>
        <w:gridCol w:w="1843"/>
        <w:gridCol w:w="4819"/>
      </w:tblGrid>
      <w:tr w:rsidR="00CF418B" w:rsidRPr="00A337C7" w:rsidTr="00B57AFC">
        <w:trPr>
          <w:trHeight w:val="159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B" w:rsidRPr="00B67AF1" w:rsidRDefault="00CF418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B" w:rsidRPr="00B67AF1" w:rsidRDefault="00DF537C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B" w:rsidRPr="00B67AF1" w:rsidRDefault="00CF418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CF418B" w:rsidRPr="00B67AF1" w:rsidRDefault="00CF418B" w:rsidP="00B67A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B" w:rsidRPr="00B67AF1" w:rsidRDefault="00CF418B" w:rsidP="00AD3D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CF418B" w:rsidRPr="00B67AF1" w:rsidRDefault="00CF418B" w:rsidP="00AD3D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eastAsia="Cambria" w:hAnsi="Times New Roman" w:cs="Times New Roman"/>
                <w:kern w:val="20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B" w:rsidRPr="00B67AF1" w:rsidRDefault="00CF418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CF418B" w:rsidRPr="00B67AF1" w:rsidRDefault="00CF418B" w:rsidP="00AD3D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eastAsia="Cambria" w:hAnsi="Times New Roman" w:cs="Times New Roman"/>
                <w:kern w:val="20"/>
                <w:sz w:val="22"/>
                <w:szCs w:val="22"/>
              </w:rPr>
              <w:t>201</w:t>
            </w:r>
            <w:r>
              <w:rPr>
                <w:rFonts w:ascii="Times New Roman" w:eastAsia="Cambria" w:hAnsi="Times New Roman" w:cs="Times New Roman"/>
                <w:kern w:val="20"/>
                <w:sz w:val="22"/>
                <w:szCs w:val="22"/>
              </w:rPr>
              <w:t>8</w:t>
            </w:r>
            <w:r w:rsidRPr="00B67AF1">
              <w:rPr>
                <w:rFonts w:ascii="Times New Roman" w:eastAsia="Cambria" w:hAnsi="Times New Roman" w:cs="Times New Roman"/>
                <w:kern w:val="2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B" w:rsidRPr="00AD3DF4" w:rsidRDefault="00CF418B" w:rsidP="00AD3D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3DF4">
              <w:rPr>
                <w:rFonts w:ascii="Times New Roman" w:hAnsi="Times New Roman" w:cs="Times New Roman"/>
                <w:sz w:val="22"/>
                <w:szCs w:val="22"/>
              </w:rPr>
              <w:t>Прирост</w:t>
            </w:r>
          </w:p>
          <w:p w:rsidR="00CF418B" w:rsidRPr="00B67AF1" w:rsidRDefault="00CF418B" w:rsidP="00AD3D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3DF4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B" w:rsidRPr="00B67AF1" w:rsidRDefault="00CF418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CF418B" w:rsidRPr="00B67AF1" w:rsidRDefault="00CF418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2030 год</w:t>
            </w:r>
          </w:p>
          <w:p w:rsidR="00CF418B" w:rsidRPr="00B67AF1" w:rsidRDefault="00CF418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(по состоянию на 31.12.2029)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8B" w:rsidRPr="00B67AF1" w:rsidRDefault="00CF418B" w:rsidP="007F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  <w:p w:rsidR="00CF418B" w:rsidRPr="00B67AF1" w:rsidRDefault="00CF418B" w:rsidP="007F5B9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AF1">
              <w:rPr>
                <w:sz w:val="22"/>
                <w:szCs w:val="22"/>
              </w:rPr>
              <w:t>(</w:t>
            </w:r>
            <w:r w:rsidRPr="00B67AF1">
              <w:rPr>
                <w:rFonts w:ascii="Times New Roman" w:hAnsi="Times New Roman" w:cs="Times New Roman"/>
                <w:sz w:val="22"/>
                <w:szCs w:val="22"/>
              </w:rPr>
              <w:t>внутренние и внешние условия, повлиявшие на уровень достижения значений показателей)</w:t>
            </w:r>
          </w:p>
          <w:p w:rsidR="00CF418B" w:rsidRPr="00B67AF1" w:rsidRDefault="00CF418B" w:rsidP="003971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7AFC" w:rsidRPr="00A337C7" w:rsidTr="00B57AFC">
        <w:trPr>
          <w:trHeight w:val="374"/>
        </w:trPr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B67AF1" w:rsidRDefault="00B57AFC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AFC" w:rsidRPr="00B57AFC" w:rsidRDefault="00B57AFC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AFC">
              <w:rPr>
                <w:rFonts w:ascii="Times New Roman" w:hAnsi="Times New Roman" w:cs="Times New Roman"/>
                <w:sz w:val="22"/>
                <w:szCs w:val="22"/>
              </w:rPr>
              <w:t>Направление «Предпринимательство»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AFC" w:rsidRPr="00B57AFC" w:rsidRDefault="00B57AFC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AFC" w:rsidRPr="00B57AFC" w:rsidRDefault="00B57AFC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AFC" w:rsidRPr="00B57AFC" w:rsidRDefault="00B57AFC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AFC" w:rsidRPr="00B57AFC" w:rsidRDefault="00B57AFC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AFC" w:rsidRPr="00B57AFC" w:rsidRDefault="00B57AFC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AFC" w:rsidRPr="00B57AFC" w:rsidRDefault="00B57AFC" w:rsidP="0039710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7AFC" w:rsidRPr="00A337C7" w:rsidTr="00B57AFC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B67AF1" w:rsidRDefault="00B57AFC" w:rsidP="00B57A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вектор «Инновации»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100%</w:t>
            </w:r>
          </w:p>
          <w:p w:rsidR="00B57AFC" w:rsidRPr="00A30D30" w:rsidRDefault="00B57AFC" w:rsidP="00B57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7AFC" w:rsidRPr="00A337C7" w:rsidTr="00B57AF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2E7BF1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Индекс динамики развития инновационной среды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D3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B57AFC" w:rsidRPr="00A337C7" w:rsidTr="00B57AFC">
        <w:trPr>
          <w:trHeight w:val="42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58274E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74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Количество лабораторий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A30D30">
              <w:rPr>
                <w:rFonts w:ascii="Times New Roman" w:hAnsi="Times New Roman" w:cs="Times New Roman"/>
                <w:color w:val="000000"/>
              </w:rPr>
              <w:t xml:space="preserve"> организованных в «Инновационно-образовательном комплексе (кампусе)»,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Pr="00A30D30" w:rsidRDefault="00B57AFC" w:rsidP="00B57AF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Сургутским государственным университетом продолжается работа по созданию лабораторий (технологических консорциумов). В настоящее время сформирован в составе четырех консорциумов, для трех готовы проекты с просчитанной экономической составляющей и проанализированными рисками: по химии нефти, цифровым </w:t>
            </w:r>
            <w:r w:rsidRPr="00A30D30">
              <w:rPr>
                <w:rFonts w:ascii="Times New Roman" w:hAnsi="Times New Roman" w:cs="Times New Roman"/>
                <w:color w:val="000000"/>
              </w:rPr>
              <w:lastRenderedPageBreak/>
              <w:t xml:space="preserve">недрам и медицине Севера. 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По всем проектам имеется научный задел и ведется исследовательская работа</w:t>
            </w:r>
          </w:p>
        </w:tc>
      </w:tr>
      <w:tr w:rsidR="00B57AFC" w:rsidRPr="00A337C7" w:rsidTr="00B57AF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2E7BF1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Количество проводимых в городе инновационных форумов, конференций, выставок,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положительная </w:t>
            </w:r>
            <w:r w:rsidRPr="00A30D30">
              <w:rPr>
                <w:rFonts w:ascii="Times New Roman" w:hAnsi="Times New Roman" w:cs="Times New Roman"/>
              </w:rPr>
              <w:br/>
              <w:t>динамика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877D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В 2018 году проведены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20 мероприятий инновационной направленности, в которых приняли участие более 10 тысяч человек, из них масштабные мероприятия: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1) Первый международный молодежный научно-практический форум «Нефтяная столица»: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- Первая Международная научно-практическая конференция молодых ученых и специалистов «Технологии будущего нефтегазодобывающих регионов»;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- Специализированная выставка инновационных проектов в области ТЭК «Инновации. Развитие – 2018»;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- Конкурс инновационных проектов;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2) XXIII Международная специализированная выставка «Сургут. Нефть и газ – 2018»;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3) V Всероссий</w:t>
            </w:r>
            <w:r>
              <w:rPr>
                <w:rFonts w:ascii="Times New Roman" w:hAnsi="Times New Roman" w:cs="Times New Roman"/>
                <w:color w:val="000000"/>
              </w:rPr>
              <w:t xml:space="preserve">ская конференция молодых ученых </w:t>
            </w:r>
            <w:r w:rsidRPr="00A30D30">
              <w:rPr>
                <w:rFonts w:ascii="Times New Roman" w:hAnsi="Times New Roman" w:cs="Times New Roman"/>
                <w:color w:val="000000"/>
              </w:rPr>
              <w:t>«Наука и инновации ХХI века»;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4) ХХII Открытая региональная студенческая научная конференция имени Г.И. Назина «Наука 60-й параллели».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>Кроме того, проведены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0D30">
              <w:rPr>
                <w:rFonts w:ascii="Times New Roman" w:hAnsi="Times New Roman" w:cs="Times New Roman"/>
                <w:color w:val="000000"/>
              </w:rPr>
              <w:t>12 научно-практических и научных конференций,</w:t>
            </w:r>
            <w:r w:rsidR="00877DA2">
              <w:rPr>
                <w:rFonts w:ascii="Times New Roman" w:hAnsi="Times New Roman" w:cs="Times New Roman"/>
                <w:color w:val="000000"/>
              </w:rPr>
              <w:br/>
            </w:r>
            <w:r w:rsidRPr="00A30D30">
              <w:rPr>
                <w:rFonts w:ascii="Times New Roman" w:hAnsi="Times New Roman" w:cs="Times New Roman"/>
                <w:color w:val="000000"/>
              </w:rPr>
              <w:t>4 выставки</w:t>
            </w:r>
            <w:r w:rsidRPr="00A30D30">
              <w:rPr>
                <w:rFonts w:ascii="Times New Roman" w:hAnsi="Times New Roman" w:cs="Times New Roman"/>
              </w:rPr>
              <w:t xml:space="preserve"> детских инновационных проектов</w:t>
            </w:r>
          </w:p>
        </w:tc>
      </w:tr>
      <w:tr w:rsidR="00B57AFC" w:rsidRPr="00A337C7" w:rsidTr="00B57AF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58274E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7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Количество обучающихся по программе «Инженеры XXI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положительная </w:t>
            </w:r>
            <w:r w:rsidRPr="00A30D30">
              <w:rPr>
                <w:rFonts w:ascii="Times New Roman" w:hAnsi="Times New Roman" w:cs="Times New Roman"/>
              </w:rPr>
              <w:br w:type="page"/>
              <w:t>динамика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Pr="00A30D30" w:rsidRDefault="00B57AFC" w:rsidP="00B57AF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рамках проекта «Непрерывное образование «Школа-колледж-ВУЗ-предприятие», базой для которого является Ресурсные центры технологического образования МБОУ СОШ № 1 и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СОШ №7. Проект реализуется в рамках сотрудничества Политехнического института СурГУ, Сургутского политехнического колледжа, Сургутского нефтяного техникума, градообразующих предприятий и других образовательных учреждений города. На базе ресурсных центров осуществляется освоение образовательных программ в 106-ти сетевых профильных группах. Количество обучающихся составило 1 336 человек.</w:t>
            </w:r>
            <w:r w:rsidRPr="00A30D30">
              <w:rPr>
                <w:rFonts w:ascii="Times New Roman" w:hAnsi="Times New Roman" w:cs="Times New Roman"/>
              </w:rPr>
              <w:br w:type="page"/>
              <w:t xml:space="preserve"> Кроме того, одним из перспективных направлений профильного обучения является развитие сети корпоративных классов через систему непрерывного образования «Школа – предприятие» по реализации совместных проектов по профилям обучения (технологический и естественно-научный) на базе трех образовательных учреждений - </w:t>
            </w:r>
            <w:r w:rsidRPr="00A30D30">
              <w:rPr>
                <w:rFonts w:ascii="Times New Roman" w:hAnsi="Times New Roman" w:cs="Times New Roman"/>
              </w:rPr>
              <w:br/>
              <w:t>СОШ № 19, лицей № 1, Сургутский естественно-научный лицей. Количество обучающихся составило 104 человека</w:t>
            </w:r>
          </w:p>
        </w:tc>
      </w:tr>
      <w:tr w:rsidR="00B57AFC" w:rsidRPr="00A337C7" w:rsidTr="00B57AF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2E7BF1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B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Индекс качества инновационной среды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105%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57AFC" w:rsidRPr="00A337C7" w:rsidTr="00B57AF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58274E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74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Доля выживаемости инновационных бизнес-проектов,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В декабре 2017 года двум организациям представлены гранты в форме субсидий </w:t>
            </w:r>
            <w:r w:rsidRPr="00A30D30">
              <w:rPr>
                <w:rFonts w:ascii="Times New Roman" w:hAnsi="Times New Roman" w:cs="Times New Roman"/>
              </w:rPr>
              <w:lastRenderedPageBreak/>
              <w:t>начинающим инновационным компаниям на общую сумму 972,6 тыс.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A30D30">
              <w:rPr>
                <w:rFonts w:ascii="Times New Roman" w:hAnsi="Times New Roman" w:cs="Times New Roman"/>
              </w:rPr>
              <w:t>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Инновационные </w:t>
            </w:r>
            <w:r>
              <w:rPr>
                <w:rFonts w:ascii="Times New Roman" w:hAnsi="Times New Roman" w:cs="Times New Roman"/>
              </w:rPr>
              <w:t xml:space="preserve">проекты «Производство </w:t>
            </w:r>
            <w:r w:rsidRPr="00A30D30">
              <w:rPr>
                <w:rFonts w:ascii="Times New Roman" w:hAnsi="Times New Roman" w:cs="Times New Roman"/>
              </w:rPr>
              <w:t>3D-принтеров VORTEX»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(ООО «Техно Интелект»), Система мониторинга жизненно-важных показателей состояния здоровья человека «VITA-CONTROL» (ООО Малое инновационное предприятие  «ВИТА-Контроль») получили свое развитие и внедрение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в 2018 году</w:t>
            </w:r>
          </w:p>
        </w:tc>
      </w:tr>
      <w:tr w:rsidR="00B57AFC" w:rsidRPr="00A337C7" w:rsidTr="00B57AFC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C" w:rsidRPr="0058274E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827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Количество патентов на изобретения и научно-исследовательские разработки, полученные в научно-инновационном центре проекта «Инновационно-образовательный комплекс (Кампус)»,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положительная </w:t>
            </w:r>
            <w:r w:rsidRPr="00A30D30">
              <w:rPr>
                <w:rFonts w:ascii="Times New Roman" w:hAnsi="Times New Roman" w:cs="Times New Roman"/>
              </w:rPr>
              <w:br/>
              <w:t>динамика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Зарегистрированы 28 патентов (свидетельств) на программы ЭВМ: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1.  Программа обнаружения «странных аттракторов» по теореме Такенса».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2. Программа для ЭВМ Локальная 3D модель слоистых управляемых течений.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3. Программа для ЭВМ Расчет подпитки и восстанавливающегося напряжения в цикле ОАПВ.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4. Программа для ЭВМ Расчет первичных параметров многопроводных воздушных линий.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5. Программа для ЭВМ Расчет параметров кабеля с учетом геометрических характеристик и сопротивления грунта.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6. Программа для ЭВМ Расчет векторной диаграммы трехфазной линии электропередач при коротком замыкании.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7. Программа для ЭВМ Расчет температуры нагрева провода итерационным методом.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8. Программа для ЭВМ Расчет количества реактивной мощности, которую необходимо сгенерировать синхронными двигателями.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9. Программа для ЭВМ Графическое представление выходного напряжения с учетом ЭМП.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10. Программа для ЭВМ Программа для обработки данных шагомера.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11. Программа для ЭВМ Программная прошивка микроконтроллера шагомера.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12. Программа для ЭВМ Программа поддержки принятия решений при выборе пожаробезопасных напольных покрытий для жилых зданий.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13. Программа для ЭВМ Электронная библиотека для кафедры АСОиУ.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14. Программа для ЭВМ Информационно-аналитическая система обработки медико-биологических данных «Лиса».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15. Программа для ЭВМ Программа для обработки онлайн-анкет международного опросника IPAQ.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16. Программа для ЭВМ Расчет параметров сети и необходимости компенсации емкостного тока.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17. Программа для ЭВМ Программа оценки состояния параметров сердечно-сосудистой системы.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18. Программа для ЭВМ ITTFA Resolution.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A30D30">
              <w:rPr>
                <w:rFonts w:ascii="Times New Roman" w:hAnsi="Times New Roman" w:cs="Times New Roman"/>
                <w:lang w:val="en-US"/>
              </w:rPr>
              <w:t xml:space="preserve">19. </w:t>
            </w:r>
            <w:r w:rsidRPr="00A30D30">
              <w:rPr>
                <w:rFonts w:ascii="Times New Roman" w:hAnsi="Times New Roman" w:cs="Times New Roman"/>
              </w:rPr>
              <w:t>Программа</w:t>
            </w:r>
            <w:r w:rsidRPr="00A30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для</w:t>
            </w:r>
            <w:r w:rsidRPr="00A30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ЭВМ</w:t>
            </w:r>
            <w:r w:rsidRPr="00A30D30">
              <w:rPr>
                <w:rFonts w:ascii="Times New Roman" w:hAnsi="Times New Roman" w:cs="Times New Roman"/>
                <w:lang w:val="en-US"/>
              </w:rPr>
              <w:t xml:space="preserve"> Floating Level of IRT.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20. Программа для ЭВМ Локальная модель слоистых течений жидкости, протекающей в коаксиальной трубе.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21. Программа для ЭВМ Локальная модель слоистых течений жидкости, протекающей в трубе.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22. Программа определения значений функции плотности распределения техногенного риска.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23. Программа для автоматизированной подготовки оценочных листов объективного структурированного клинического экзамена.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24. Вероятность развития бронхиальной астмы у детей в возрасте до 5 лет.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25. Определение параметров ходьбы человека.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26. ПрограммаVessel3D.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27. Программа пользоват.интерфейса хирургического лазера «Эндовенозная лазерная облитерация 1.0».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28. Программа обработки онлайн-опросника Регулярность тренировок и мотивация.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Патенты на изобретение: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29. Заявка на полезную модель направлена и зарегистрирована в ФИПС «Плотномер».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30. Способ диагностики бронхиальной астмы у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до 5 лет.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Базы данных:</w:t>
            </w:r>
          </w:p>
          <w:p w:rsidR="00B57AFC" w:rsidRPr="00A30D30" w:rsidRDefault="00B57AFC" w:rsidP="00B57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31. Комплект интерактивных проверочных и тренировочных мультимедийных материалов Общий курс флебологии для врачей хирургических специальностей</w:t>
            </w:r>
          </w:p>
        </w:tc>
      </w:tr>
    </w:tbl>
    <w:p w:rsidR="00397101" w:rsidRDefault="00397101" w:rsidP="00397101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FF0000"/>
          <w:spacing w:val="-4"/>
          <w:kern w:val="20"/>
          <w:sz w:val="28"/>
          <w:szCs w:val="28"/>
        </w:rPr>
      </w:pPr>
    </w:p>
    <w:p w:rsidR="00C973C1" w:rsidRPr="00A337C7" w:rsidRDefault="00C973C1" w:rsidP="00397101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FF0000"/>
          <w:spacing w:val="-4"/>
          <w:kern w:val="20"/>
          <w:sz w:val="28"/>
          <w:szCs w:val="28"/>
        </w:rPr>
      </w:pPr>
    </w:p>
    <w:p w:rsidR="00877DA2" w:rsidRDefault="00877DA2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</w:p>
    <w:p w:rsidR="00632E4F" w:rsidRPr="00632E4F" w:rsidRDefault="00632E4F" w:rsidP="00632E4F">
      <w:pPr>
        <w:ind w:left="11199" w:firstLine="1"/>
        <w:rPr>
          <w:rFonts w:ascii="Times New Roman" w:hAnsi="Times New Roman" w:cs="Times New Roman"/>
          <w:sz w:val="28"/>
          <w:szCs w:val="28"/>
        </w:rPr>
      </w:pPr>
      <w:r w:rsidRPr="00632E4F">
        <w:rPr>
          <w:rFonts w:ascii="Times New Roman" w:hAnsi="Times New Roman" w:cs="Times New Roman"/>
          <w:sz w:val="28"/>
          <w:szCs w:val="28"/>
        </w:rPr>
        <w:lastRenderedPageBreak/>
        <w:t>Приложение 2 к отчету</w:t>
      </w:r>
    </w:p>
    <w:p w:rsidR="00632E4F" w:rsidRPr="00632E4F" w:rsidRDefault="00632E4F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632E4F">
        <w:rPr>
          <w:rFonts w:ascii="Times New Roman" w:hAnsi="Times New Roman" w:cs="Times New Roman"/>
          <w:sz w:val="28"/>
          <w:szCs w:val="28"/>
        </w:rPr>
        <w:t>о реализации вектора</w:t>
      </w:r>
    </w:p>
    <w:p w:rsidR="00632E4F" w:rsidRPr="00632E4F" w:rsidRDefault="00632E4F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 w:rsidRPr="00632E4F">
        <w:rPr>
          <w:rFonts w:ascii="Times New Roman" w:hAnsi="Times New Roman" w:cs="Times New Roman"/>
          <w:sz w:val="28"/>
          <w:szCs w:val="28"/>
        </w:rPr>
        <w:t>«Инновации» направления «Предпринимательство»</w:t>
      </w:r>
    </w:p>
    <w:p w:rsidR="00632E4F" w:rsidRPr="00632E4F" w:rsidRDefault="00A337C7" w:rsidP="00632E4F">
      <w:pPr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913FE">
        <w:rPr>
          <w:rFonts w:ascii="Times New Roman" w:hAnsi="Times New Roman" w:cs="Times New Roman"/>
          <w:sz w:val="28"/>
          <w:szCs w:val="28"/>
        </w:rPr>
        <w:t>8</w:t>
      </w:r>
      <w:r w:rsidR="00632E4F" w:rsidRPr="00632E4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59DC" w:rsidRDefault="00E359DC" w:rsidP="00E359DC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59DC" w:rsidRDefault="00E359DC" w:rsidP="00E359DC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7442">
        <w:rPr>
          <w:rFonts w:ascii="Times New Roman" w:hAnsi="Times New Roman" w:cs="Times New Roman"/>
          <w:sz w:val="28"/>
          <w:szCs w:val="28"/>
        </w:rPr>
        <w:t>Анализ</w:t>
      </w:r>
    </w:p>
    <w:p w:rsidR="00E359DC" w:rsidRDefault="00E359DC" w:rsidP="00E359DC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</w:t>
      </w:r>
      <w:r w:rsidRPr="00627442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</w:p>
    <w:p w:rsidR="00E359DC" w:rsidRDefault="00E359DC" w:rsidP="00E359DC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74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 на период до 2030 года</w:t>
      </w:r>
    </w:p>
    <w:p w:rsidR="00E359DC" w:rsidRPr="00627442" w:rsidRDefault="00E359DC" w:rsidP="00E359DC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7442">
        <w:rPr>
          <w:rFonts w:ascii="Times New Roman" w:hAnsi="Times New Roman" w:cs="Times New Roman"/>
          <w:sz w:val="28"/>
          <w:szCs w:val="28"/>
        </w:rPr>
        <w:t xml:space="preserve"> по вектору развития «Инновации» направления «Предпринимательство» за 2018 год</w:t>
      </w:r>
    </w:p>
    <w:p w:rsidR="00E359DC" w:rsidRPr="00A30D30" w:rsidRDefault="00E359DC" w:rsidP="00E359DC">
      <w:pPr>
        <w:rPr>
          <w:rFonts w:ascii="Times New Roman" w:hAnsi="Times New Roman" w:cs="Times New Roman"/>
        </w:rPr>
      </w:pP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1843"/>
        <w:gridCol w:w="1559"/>
        <w:gridCol w:w="1418"/>
        <w:gridCol w:w="1278"/>
        <w:gridCol w:w="3258"/>
      </w:tblGrid>
      <w:tr w:rsidR="00925063" w:rsidRPr="00A30D30" w:rsidTr="00881939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5063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</w:p>
          <w:p w:rsidR="00925063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5063" w:rsidRPr="00A30D30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Наименование проекта </w:t>
            </w:r>
          </w:p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(мероприятия), инвестиционного проекта в соответствии</w:t>
            </w:r>
          </w:p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Сроки реализации проекта (мероприятия, инвестиционного проекта) в соответствии</w:t>
            </w:r>
          </w:p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 утвержденным планом мероприятий по</w:t>
            </w:r>
            <w:r>
              <w:rPr>
                <w:rFonts w:ascii="Times New Roman" w:hAnsi="Times New Roman" w:cs="Times New Roman"/>
              </w:rPr>
              <w:t xml:space="preserve"> реализации Стратегии социально-</w:t>
            </w:r>
            <w:r w:rsidRPr="00A30D30">
              <w:rPr>
                <w:rFonts w:ascii="Times New Roman" w:hAnsi="Times New Roman" w:cs="Times New Roman"/>
              </w:rPr>
              <w:t>экономического развития муниципального образования городской округ город Сургут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Фактические</w:t>
            </w:r>
          </w:p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сроки реализации проекта (мероприятия, инвестицион-ного проекта)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Исполнение в отчетном</w:t>
            </w:r>
          </w:p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году</w:t>
            </w:r>
          </w:p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том числе по источникам финансового обеспечения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Информация</w:t>
            </w:r>
          </w:p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об исполнении</w:t>
            </w:r>
          </w:p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(внутренние и внешние условия, повлиявшие на уровень реализации)</w:t>
            </w:r>
          </w:p>
        </w:tc>
      </w:tr>
      <w:tr w:rsidR="00925063" w:rsidRPr="00A30D30" w:rsidTr="00925063">
        <w:trPr>
          <w:trHeight w:val="56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внебюд-жетные средства</w:t>
            </w: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Направление «Предпринимательство»</w:t>
            </w:r>
          </w:p>
        </w:tc>
      </w:tr>
      <w:tr w:rsidR="00925063" w:rsidRPr="00A30D30" w:rsidTr="003331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Вектор «Инновации»</w:t>
            </w: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Юго-Западный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Пойма-3, Пойма-8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Создание социальной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6415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Проект «Инновационно-образовательный комплекс (Кампус) в городе Сургуте и создание инфраструктуры инновационно-образовательного комплекса (Кампус) (проект «Кампус»)»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Распоряжением Правительства Ханты-Мансийского автономного округа – Югры от 19.01.2017</w:t>
            </w:r>
            <w:r w:rsidRPr="00A30D30">
              <w:rPr>
                <w:rFonts w:ascii="Times New Roman" w:hAnsi="Times New Roman" w:cs="Times New Roman"/>
              </w:rPr>
              <w:br/>
              <w:t xml:space="preserve">№ 19-рп принято решение о создании Фонда научно-технологического развития Ханты-Мансийского автономного округа – Югры, одной из задач которого является создание инновационно-образовательного комплекса (Кампуса), в том числе формирование его имущественного комплекса. 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Распоряжением Правительства Ханты-Мансийского автономного округа – Югры от 10.07.2015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№ 386-рп утверждена Концепция инновационно-образовательного комплекса (Кампус) в городе Сургуте и План мероприятий («дорожная карта») создания инфраструктуры инновационно-</w:t>
            </w:r>
            <w:r w:rsidRPr="00A30D30">
              <w:rPr>
                <w:rFonts w:ascii="Times New Roman" w:hAnsi="Times New Roman" w:cs="Times New Roman"/>
              </w:rPr>
              <w:lastRenderedPageBreak/>
              <w:t>образовательного комплекса (Кампус) в городе Сургуте. Стратегической целью Концепции определено создание центра поддержки и обеспечения инновационного экономического развития региона посредством концентрации в нем интеллектуального потенциала и современной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научно-образовательной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 xml:space="preserve">инфраструктуры и их приближения к бизнесу. 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инновационно-образовательном комплексе (Кампусе) в городе Сургуте предполагается работа на трех направлениях: образование, инновации и воздействие на городскую среду.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Ответственные исполнители проекта - Департамент образования и молодежной политики Ханты-Мансийского автономного округа – Югры, Сургутский государственный университет и некоммерческая организация Фонд научно-</w:t>
            </w:r>
            <w:r w:rsidRPr="00A30D30">
              <w:rPr>
                <w:rFonts w:ascii="Times New Roman" w:hAnsi="Times New Roman" w:cs="Times New Roman"/>
              </w:rPr>
              <w:lastRenderedPageBreak/>
              <w:t>технологического развития Югры.</w:t>
            </w:r>
          </w:p>
          <w:p w:rsidR="00925063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>Фондом научно-технологического развития Югры в целях разработки организационно-правовой, финансово-экономической и архитектурно-планировочной моделей научно-технологического центра на территории г. Сургута проведен открытый конкурс на выполнение услуг. Побе</w:t>
            </w:r>
            <w:r>
              <w:t>дителем признано</w:t>
            </w:r>
            <w:r>
              <w:br/>
              <w:t xml:space="preserve">ООО «Технопарк </w:t>
            </w:r>
            <w:r w:rsidRPr="00A30D30">
              <w:t xml:space="preserve">«Сколково». 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>11.12.2018 заключен договор, предусматривающий</w:t>
            </w:r>
            <w:r w:rsidRPr="00A30D30">
              <w:br/>
              <w:t>2 этапа: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 xml:space="preserve">1 этап – до 31.12.2019: 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>- определение состава и содержания научно-образовательной, инновационной и коммерческой частей проекта, состава социокультурных и рекреационных объектов;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>- формирование единой концепции проекта;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lastRenderedPageBreak/>
              <w:t>- разработка архитектурно-планировочной концепции Центра в трех вариантах, которые будут вынесены на публичные слушания для обсуждения.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>2 этап – до 30.07.2020: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>- разработка архитектурно-планировочной и технической частей проекта научно-технологического центра;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>- разработка проекта планировки и межевания территории;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>- формирование организационно-правовой и финансово экономической моделей реализации проекта;</w:t>
            </w:r>
          </w:p>
          <w:p w:rsidR="00925063" w:rsidRPr="00A30D30" w:rsidRDefault="00925063" w:rsidP="00E359DC">
            <w:pPr>
              <w:pStyle w:val="a5"/>
              <w:spacing w:before="0" w:beforeAutospacing="0" w:after="0" w:afterAutospacing="0"/>
            </w:pPr>
            <w:r w:rsidRPr="00A30D30">
              <w:t xml:space="preserve">- брендирование и разработка коммуникационной стратегии.  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Строительство объектов, входящих в Кампус, запланировано на</w:t>
            </w:r>
            <w:r w:rsidRPr="00A30D30">
              <w:rPr>
                <w:rFonts w:ascii="Times New Roman" w:hAnsi="Times New Roman" w:cs="Times New Roman"/>
              </w:rPr>
              <w:br/>
              <w:t>2021-2027 годы</w:t>
            </w: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Проект «Филиал окружного Технопарка высоких 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В Сургуте действует обособленное структурное подразделение автономного учреждения Ханты-Мансийского автономного округа - Югры «Технопарк </w:t>
            </w:r>
            <w:r w:rsidRPr="00A30D30">
              <w:rPr>
                <w:rFonts w:ascii="Times New Roman" w:hAnsi="Times New Roman" w:cs="Times New Roman"/>
              </w:rPr>
              <w:lastRenderedPageBreak/>
              <w:t>высоких технологий Югры». Подразделение создано с ц</w:t>
            </w:r>
            <w:r w:rsidRPr="00A30D30">
              <w:rPr>
                <w:rFonts w:ascii="Times New Roman" w:eastAsiaTheme="minorHAnsi" w:hAnsi="Times New Roman" w:cs="Times New Roman"/>
                <w:shd w:val="clear" w:color="auto" w:fill="FEFEFE"/>
                <w:lang w:eastAsia="en-US"/>
              </w:rPr>
              <w:t>елью расширения возможностей</w:t>
            </w:r>
            <w:r w:rsidRPr="00A30D30">
              <w:rPr>
                <w:rFonts w:ascii="Times New Roman" w:eastAsiaTheme="minorHAnsi" w:hAnsi="Times New Roman" w:cs="Times New Roman"/>
                <w:shd w:val="clear" w:color="auto" w:fill="FEFEFE"/>
                <w:lang w:eastAsia="en-US"/>
              </w:rPr>
              <w:br/>
              <w:t>АУ «Технопарк высоких технологий» по поиску, созданию и поддержке инновационных проектов, способных принести дополнительный эффект в развитие экономики автономного округа – Югры</w:t>
            </w: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развития </w:t>
            </w: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инвестиционной деятельности и реализации 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</w:p>
        </w:tc>
      </w:tr>
      <w:tr w:rsidR="00925063" w:rsidRPr="00A30D30" w:rsidTr="00925063">
        <w:trPr>
          <w:trHeight w:val="22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«Инженеры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30D30">
              <w:rPr>
                <w:rFonts w:ascii="Times New Roman" w:hAnsi="Times New Roman" w:cs="Times New Roman"/>
                <w:color w:val="000000"/>
              </w:rPr>
              <w:t>XXI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текущее финанси-рование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текущее финанси-рование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рамках проекта «Непрерывное образование «Школа-колледж-ВУЗ-предприятие», базой для которого является Ресурсные центры технологического образования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СОШ № 1 и</w:t>
            </w:r>
            <w:r>
              <w:rPr>
                <w:rFonts w:ascii="Times New Roman" w:hAnsi="Times New Roman" w:cs="Times New Roman"/>
              </w:rPr>
              <w:br/>
              <w:t xml:space="preserve">МБОУ СОШ </w:t>
            </w:r>
            <w:r w:rsidRPr="00A30D30">
              <w:rPr>
                <w:rFonts w:ascii="Times New Roman" w:hAnsi="Times New Roman" w:cs="Times New Roman"/>
              </w:rPr>
              <w:t xml:space="preserve">№7. Проект реализуется в рамках сотрудничества Политехнического института СурГУ, Сургутского политехнического колледжа, </w:t>
            </w:r>
            <w:r w:rsidRPr="00A30D30">
              <w:rPr>
                <w:rFonts w:ascii="Times New Roman" w:hAnsi="Times New Roman" w:cs="Times New Roman"/>
              </w:rPr>
              <w:lastRenderedPageBreak/>
              <w:t>Сургутского нефтяного техникума, градообразующих предприятий и других образовательных учреждений города Сургута. На базе ресурсных центров осуществляется освоение образовательных программ в 106-ти сетевых профильных группах. Количество обучающихся составило 1336 человек. Кроме того, одним из перспективных направлений профильного обучения является развитие сети корпоративных классов через систему непрерывного образования «Школа – предприятие» по реализации совместных проектов по профилям обучения (технологический и естественно-научный) на базе трех образовательных учреждений – СОШ № 19, лицей № 1, Сургутский естественно-научный лицей. Количество обучающихся составило 104 человека</w:t>
            </w: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Развитие Политехнического института </w:t>
            </w:r>
            <w:r w:rsidRPr="00A30D30">
              <w:rPr>
                <w:rFonts w:ascii="Times New Roman" w:hAnsi="Times New Roman" w:cs="Times New Roman"/>
                <w:color w:val="000000"/>
              </w:rPr>
              <w:lastRenderedPageBreak/>
              <w:t>Сургутского государственного университета</w:t>
            </w: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2015-2030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Политехнический институт СурГУ образован 01.01.2013 по решению Ученого совета </w:t>
            </w:r>
            <w:r w:rsidRPr="00A30D30">
              <w:rPr>
                <w:rFonts w:ascii="Times New Roman" w:hAnsi="Times New Roman" w:cs="Times New Roman"/>
              </w:rPr>
              <w:lastRenderedPageBreak/>
              <w:t>Сургутского государственного университета посредством объединения факультетов автоматики и телекоммуникаций, информационных технологий, строительного отделения и центра лазерных технологий. Цель заключается в подъёме инженерного образования.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В составе института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8 кафедр: 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кафедра автоматики и компьютерных систем;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кафедра экспериментальной физики;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кафедра радиоэлектроники и электроэнергетики;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кафедра прикладной математики;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кафедра высшей математики;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кафедра информатики и вычислительной техники;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кафедра автоматизированных систем обработки информации и управления;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кафедра строительных технологий и конструкций.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lastRenderedPageBreak/>
              <w:t>При Политехническом институте действует научный центр междисциплинарных исследований.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На кафедре автоматики и компьютерных систем Политехнического института начата подготовка бакалавров по направлениям «Управление в технических системах» и «Программная инженерия» в соответствии со стандартами CDIO (Международный проект по реформированию инженерного образования). Создана лаборатория мехатроники, оснащенная оборудованием FESTO, что является ключевым моментом для вхождения в Международный сетевой проект «Синергия».</w:t>
            </w:r>
          </w:p>
          <w:p w:rsidR="00925063" w:rsidRPr="00A30D30" w:rsidRDefault="00925063" w:rsidP="00E35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На кафедре строительных технологий и конструкций приступили к реализации программы магистратуры «Расчет и проектирование уникальных зданий и сооружений», направленной на подготовку специалистов, обладающих компетенциями </w:t>
            </w:r>
            <w:r w:rsidRPr="00A30D30">
              <w:rPr>
                <w:rFonts w:ascii="Times New Roman" w:hAnsi="Times New Roman" w:cs="Times New Roman"/>
              </w:rPr>
              <w:lastRenderedPageBreak/>
              <w:t>в решении практических задач проектирования и возведения уникальных зданий и сооружений с применением BIM-технологий (Building Information Modeling)</w:t>
            </w: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Развитие ресурсного центра «Политехнический </w:t>
            </w: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Продолжена работа в рамках соглашения между автономным учреждением профессионального образования Ханты- Мансийского автономного округа – Югры «Сургутский политехнический колле</w:t>
            </w:r>
            <w:r>
              <w:rPr>
                <w:rFonts w:ascii="Times New Roman" w:hAnsi="Times New Roman" w:cs="Times New Roman"/>
              </w:rPr>
              <w:t xml:space="preserve">дж» и государственным бюджетным </w:t>
            </w:r>
            <w:r w:rsidRPr="00A30D30">
              <w:rPr>
                <w:rFonts w:ascii="Times New Roman" w:hAnsi="Times New Roman" w:cs="Times New Roman"/>
              </w:rPr>
              <w:t>образовательным учреждением высшего профессионального образования (ГБОУ ВПО) «Сургутский государственный университет Ханты – Мансийского автономного округа – Югры» о совместной деятельности в области образования, целями которого являются: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- повышение качества подготовки специалистов среднего специального и высшего профессионального </w:t>
            </w:r>
            <w:r w:rsidRPr="00A30D30">
              <w:rPr>
                <w:rFonts w:ascii="Times New Roman" w:hAnsi="Times New Roman" w:cs="Times New Roman"/>
              </w:rPr>
              <w:lastRenderedPageBreak/>
              <w:t>образования;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 - повышение эффективности и совершенствование системы непрерывной подготовки кадров в рамках «колледж-вуз», в полной мере отвечающий вызовам времени, запросам экономики и общества, потребностям предприятий.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Численность обучающихся на 01.01.2019 года составила 2480 человек</w:t>
            </w:r>
          </w:p>
        </w:tc>
      </w:tr>
      <w:tr w:rsidR="00925063" w:rsidRPr="00A30D30" w:rsidTr="0092506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Реализация инновационных образовательных </w:t>
            </w: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проектов на базе созданных инновационных </w:t>
            </w:r>
          </w:p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образовательных организаций: естественно-научного лицея и гимназического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текущее финанси-рование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текущее финанси-рование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Инновационная инфраструктура в системе образования представлена федеральными, региональными и муниципальными инновационными площадками, организованными на базе четырех муниципальных учреждений: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МБОУ гимназия «Лаборатория Салахова»;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МБОУ гимназия № 2;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МБОУ гимназия имени Ф.К. Салманова;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МБОУ Сургутский естественно - научный лицей.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 xml:space="preserve">Инновационные площадки в </w:t>
            </w:r>
            <w:r w:rsidRPr="00A30D30">
              <w:rPr>
                <w:rFonts w:ascii="Times New Roman" w:hAnsi="Times New Roman" w:cs="Times New Roman"/>
              </w:rPr>
              <w:lastRenderedPageBreak/>
              <w:t>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2018 года осуществляли внедрение следующих инновационных проектов (программ):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«Оптимизация системы выявления и сопровождения одаренных детей гимназии с применением технологии педагогического коучинга»;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«Развитие гуманитарного образования в гимназии посредством применения инновационных технологий»;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«Модернизация педагогического образования в условиях внедрения и реализации ФГОС общего образования»;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«Формирование безопасной информационно-образовательной среды, как необходимое условие обеспечения качества образования» (инновационная площадка Академии инновационного образования и развития);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«Система оценки качества образовательных результатов в условиях введения</w:t>
            </w:r>
            <w:r>
              <w:rPr>
                <w:rFonts w:ascii="Times New Roman" w:hAnsi="Times New Roman" w:cs="Times New Roman"/>
              </w:rPr>
              <w:br/>
            </w:r>
            <w:r w:rsidRPr="00A30D30">
              <w:rPr>
                <w:rFonts w:ascii="Times New Roman" w:hAnsi="Times New Roman" w:cs="Times New Roman"/>
              </w:rPr>
              <w:t xml:space="preserve">ФГОС основного общего образования (с </w:t>
            </w:r>
            <w:r w:rsidRPr="00A30D30">
              <w:rPr>
                <w:rFonts w:ascii="Times New Roman" w:hAnsi="Times New Roman" w:cs="Times New Roman"/>
              </w:rPr>
              <w:lastRenderedPageBreak/>
              <w:t>использованием инновационной информационно-аналитической программы «Весна»)»;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«Развитие современных механизмов и технологий общего образования на основе деятельностного метода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D30">
              <w:rPr>
                <w:rFonts w:ascii="Times New Roman" w:hAnsi="Times New Roman" w:cs="Times New Roman"/>
              </w:rPr>
              <w:t>Л.Г. Петерсон (инновационная методическая сеть «Учусь учиться»)»;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Апробация цифровой образовательной платформы «Образование 4.0»;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- «Внутренняя система оценки качества образования как механизм повышения качества углубленной образовательной подготовки учащихся в области естественнонаучного образования»</w:t>
            </w:r>
          </w:p>
        </w:tc>
      </w:tr>
      <w:tr w:rsidR="00925063" w:rsidRPr="00A30D30" w:rsidTr="00925063">
        <w:trPr>
          <w:trHeight w:val="2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0013A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 xml:space="preserve">Проект «Создание Дата-центра, направленного </w:t>
            </w:r>
            <w:r w:rsidRPr="00A30D30">
              <w:rPr>
                <w:rFonts w:ascii="Times New Roman" w:hAnsi="Times New Roman" w:cs="Times New Roman"/>
                <w:color w:val="000000"/>
              </w:rPr>
              <w:br/>
              <w:t xml:space="preserve">на создание, поддержание и развитие </w:t>
            </w:r>
          </w:p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  <w:color w:val="000000"/>
              </w:rPr>
              <w:t>информационных технологий в городе»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2015-2030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63" w:rsidRPr="00A30D30" w:rsidRDefault="00925063" w:rsidP="00E359DC">
            <w:pPr>
              <w:jc w:val="center"/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63" w:rsidRPr="00A30D30" w:rsidRDefault="00925063" w:rsidP="00E359DC">
            <w:pPr>
              <w:rPr>
                <w:rFonts w:ascii="Times New Roman" w:hAnsi="Times New Roman" w:cs="Times New Roman"/>
              </w:rPr>
            </w:pPr>
            <w:r w:rsidRPr="00A30D30">
              <w:rPr>
                <w:rFonts w:ascii="Times New Roman" w:hAnsi="Times New Roman" w:cs="Times New Roman"/>
              </w:rPr>
              <w:t>На территории Сургута предоставляются услуги Дата-центров Ростелеком — это мощная сеть современных технологических площадок, построенная в соответствии с мировыми стандартами</w:t>
            </w:r>
          </w:p>
        </w:tc>
      </w:tr>
    </w:tbl>
    <w:p w:rsidR="00632E4F" w:rsidRPr="00AF69AB" w:rsidRDefault="00632E4F" w:rsidP="00E359DC">
      <w:pPr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632E4F" w:rsidRPr="00AF69AB" w:rsidSect="00877DA2">
      <w:pgSz w:w="16838" w:h="11906" w:orient="landscape" w:code="9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3C" w:rsidRDefault="0042493C" w:rsidP="00953DFB">
      <w:r>
        <w:separator/>
      </w:r>
    </w:p>
  </w:endnote>
  <w:endnote w:type="continuationSeparator" w:id="0">
    <w:p w:rsidR="0042493C" w:rsidRDefault="0042493C" w:rsidP="009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454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7DA2" w:rsidRPr="00877DA2" w:rsidRDefault="00877DA2">
        <w:pPr>
          <w:pStyle w:val="ad"/>
          <w:jc w:val="right"/>
          <w:rPr>
            <w:rFonts w:ascii="Times New Roman" w:hAnsi="Times New Roman" w:cs="Times New Roman"/>
          </w:rPr>
        </w:pPr>
        <w:r w:rsidRPr="00877DA2">
          <w:rPr>
            <w:rFonts w:ascii="Times New Roman" w:hAnsi="Times New Roman" w:cs="Times New Roman"/>
          </w:rPr>
          <w:fldChar w:fldCharType="begin"/>
        </w:r>
        <w:r w:rsidRPr="00877DA2">
          <w:rPr>
            <w:rFonts w:ascii="Times New Roman" w:hAnsi="Times New Roman" w:cs="Times New Roman"/>
          </w:rPr>
          <w:instrText>PAGE   \* MERGEFORMAT</w:instrText>
        </w:r>
        <w:r w:rsidRPr="00877DA2">
          <w:rPr>
            <w:rFonts w:ascii="Times New Roman" w:hAnsi="Times New Roman" w:cs="Times New Roman"/>
          </w:rPr>
          <w:fldChar w:fldCharType="separate"/>
        </w:r>
        <w:r w:rsidR="00BA7818">
          <w:rPr>
            <w:rFonts w:ascii="Times New Roman" w:hAnsi="Times New Roman" w:cs="Times New Roman"/>
            <w:noProof/>
          </w:rPr>
          <w:t>2</w:t>
        </w:r>
        <w:r w:rsidRPr="00877DA2">
          <w:rPr>
            <w:rFonts w:ascii="Times New Roman" w:hAnsi="Times New Roman" w:cs="Times New Roman"/>
          </w:rPr>
          <w:fldChar w:fldCharType="end"/>
        </w:r>
      </w:p>
    </w:sdtContent>
  </w:sdt>
  <w:p w:rsidR="00925063" w:rsidRDefault="009250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3C" w:rsidRDefault="0042493C" w:rsidP="00953DFB">
      <w:r>
        <w:separator/>
      </w:r>
    </w:p>
  </w:footnote>
  <w:footnote w:type="continuationSeparator" w:id="0">
    <w:p w:rsidR="0042493C" w:rsidRDefault="0042493C" w:rsidP="0095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FB" w:rsidRDefault="00953DF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CEF"/>
    <w:multiLevelType w:val="hybridMultilevel"/>
    <w:tmpl w:val="65C6C44A"/>
    <w:lvl w:ilvl="0" w:tplc="2BFCDE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1F75"/>
    <w:multiLevelType w:val="hybridMultilevel"/>
    <w:tmpl w:val="AE208104"/>
    <w:lvl w:ilvl="0" w:tplc="3EF0E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DF05295"/>
    <w:multiLevelType w:val="hybridMultilevel"/>
    <w:tmpl w:val="B64888C4"/>
    <w:lvl w:ilvl="0" w:tplc="04406E1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91"/>
    <w:rsid w:val="000013A4"/>
    <w:rsid w:val="000274CC"/>
    <w:rsid w:val="000436B3"/>
    <w:rsid w:val="000444E5"/>
    <w:rsid w:val="00080DDD"/>
    <w:rsid w:val="00095B3A"/>
    <w:rsid w:val="000A6927"/>
    <w:rsid w:val="000A7E73"/>
    <w:rsid w:val="000D0B1C"/>
    <w:rsid w:val="000D1C62"/>
    <w:rsid w:val="000D55A5"/>
    <w:rsid w:val="000E31C7"/>
    <w:rsid w:val="000E32E2"/>
    <w:rsid w:val="000F25E8"/>
    <w:rsid w:val="000F399D"/>
    <w:rsid w:val="0010242D"/>
    <w:rsid w:val="001164C8"/>
    <w:rsid w:val="0013022C"/>
    <w:rsid w:val="00147736"/>
    <w:rsid w:val="00147DAD"/>
    <w:rsid w:val="001566B0"/>
    <w:rsid w:val="0017554B"/>
    <w:rsid w:val="001C5303"/>
    <w:rsid w:val="001D5420"/>
    <w:rsid w:val="001D5C38"/>
    <w:rsid w:val="001E2135"/>
    <w:rsid w:val="002018EE"/>
    <w:rsid w:val="00211895"/>
    <w:rsid w:val="00211E84"/>
    <w:rsid w:val="00227D03"/>
    <w:rsid w:val="0023485E"/>
    <w:rsid w:val="0025137A"/>
    <w:rsid w:val="0025137F"/>
    <w:rsid w:val="002523FB"/>
    <w:rsid w:val="00277795"/>
    <w:rsid w:val="00280A06"/>
    <w:rsid w:val="002810B0"/>
    <w:rsid w:val="00281AE2"/>
    <w:rsid w:val="00291B0E"/>
    <w:rsid w:val="00293388"/>
    <w:rsid w:val="00297309"/>
    <w:rsid w:val="002A12A9"/>
    <w:rsid w:val="002B3C46"/>
    <w:rsid w:val="002D15CC"/>
    <w:rsid w:val="002E0C65"/>
    <w:rsid w:val="002E166A"/>
    <w:rsid w:val="002E1FDD"/>
    <w:rsid w:val="002F16D2"/>
    <w:rsid w:val="00305E18"/>
    <w:rsid w:val="00311AF6"/>
    <w:rsid w:val="00311E0E"/>
    <w:rsid w:val="00312D3B"/>
    <w:rsid w:val="003172CC"/>
    <w:rsid w:val="00340574"/>
    <w:rsid w:val="0035334C"/>
    <w:rsid w:val="0035743F"/>
    <w:rsid w:val="0035791E"/>
    <w:rsid w:val="00357FE9"/>
    <w:rsid w:val="00363AD8"/>
    <w:rsid w:val="00367103"/>
    <w:rsid w:val="003748FE"/>
    <w:rsid w:val="003867F6"/>
    <w:rsid w:val="00397101"/>
    <w:rsid w:val="003A1912"/>
    <w:rsid w:val="003C1AA5"/>
    <w:rsid w:val="003C4941"/>
    <w:rsid w:val="003E415E"/>
    <w:rsid w:val="003E4AA9"/>
    <w:rsid w:val="00410AE1"/>
    <w:rsid w:val="00424511"/>
    <w:rsid w:val="0042493C"/>
    <w:rsid w:val="00440243"/>
    <w:rsid w:val="00441537"/>
    <w:rsid w:val="00460DA3"/>
    <w:rsid w:val="00481BA0"/>
    <w:rsid w:val="00494D99"/>
    <w:rsid w:val="004A31B6"/>
    <w:rsid w:val="004A38C6"/>
    <w:rsid w:val="004D2674"/>
    <w:rsid w:val="004F5291"/>
    <w:rsid w:val="004F60AC"/>
    <w:rsid w:val="00536141"/>
    <w:rsid w:val="00557749"/>
    <w:rsid w:val="0056293D"/>
    <w:rsid w:val="005633AE"/>
    <w:rsid w:val="00573DA9"/>
    <w:rsid w:val="0058274E"/>
    <w:rsid w:val="005861B8"/>
    <w:rsid w:val="0059635D"/>
    <w:rsid w:val="005A7FCA"/>
    <w:rsid w:val="005B3F80"/>
    <w:rsid w:val="005B4824"/>
    <w:rsid w:val="005C0509"/>
    <w:rsid w:val="005D4929"/>
    <w:rsid w:val="005E62E9"/>
    <w:rsid w:val="005E6300"/>
    <w:rsid w:val="00603474"/>
    <w:rsid w:val="00604A8A"/>
    <w:rsid w:val="006141AD"/>
    <w:rsid w:val="00623ABE"/>
    <w:rsid w:val="00623AF2"/>
    <w:rsid w:val="00632E4F"/>
    <w:rsid w:val="0066661F"/>
    <w:rsid w:val="00681911"/>
    <w:rsid w:val="006836AB"/>
    <w:rsid w:val="00684528"/>
    <w:rsid w:val="00686EC2"/>
    <w:rsid w:val="00691E40"/>
    <w:rsid w:val="006A1B6B"/>
    <w:rsid w:val="006B250F"/>
    <w:rsid w:val="006B661E"/>
    <w:rsid w:val="006D2C52"/>
    <w:rsid w:val="006D6EBC"/>
    <w:rsid w:val="006E4DE1"/>
    <w:rsid w:val="0071699F"/>
    <w:rsid w:val="00740E72"/>
    <w:rsid w:val="00742DAB"/>
    <w:rsid w:val="00761431"/>
    <w:rsid w:val="00763FDF"/>
    <w:rsid w:val="00770251"/>
    <w:rsid w:val="00770BD7"/>
    <w:rsid w:val="00775798"/>
    <w:rsid w:val="00781181"/>
    <w:rsid w:val="007B0457"/>
    <w:rsid w:val="007C388F"/>
    <w:rsid w:val="007C3A08"/>
    <w:rsid w:val="007D7A9D"/>
    <w:rsid w:val="007E0731"/>
    <w:rsid w:val="007F5B9A"/>
    <w:rsid w:val="007F6845"/>
    <w:rsid w:val="008039B2"/>
    <w:rsid w:val="008113AC"/>
    <w:rsid w:val="00814338"/>
    <w:rsid w:val="008608AE"/>
    <w:rsid w:val="00872C33"/>
    <w:rsid w:val="00877DA2"/>
    <w:rsid w:val="008934F1"/>
    <w:rsid w:val="008A137C"/>
    <w:rsid w:val="008A2D48"/>
    <w:rsid w:val="008B54EC"/>
    <w:rsid w:val="008B7AB9"/>
    <w:rsid w:val="008C2EAC"/>
    <w:rsid w:val="008C6504"/>
    <w:rsid w:val="00915C7C"/>
    <w:rsid w:val="00917FE5"/>
    <w:rsid w:val="009234BD"/>
    <w:rsid w:val="00925063"/>
    <w:rsid w:val="00951491"/>
    <w:rsid w:val="00953DFB"/>
    <w:rsid w:val="00960260"/>
    <w:rsid w:val="0097507E"/>
    <w:rsid w:val="0098058D"/>
    <w:rsid w:val="009814A5"/>
    <w:rsid w:val="009C21E9"/>
    <w:rsid w:val="009E2578"/>
    <w:rsid w:val="00A0069B"/>
    <w:rsid w:val="00A00D40"/>
    <w:rsid w:val="00A00F05"/>
    <w:rsid w:val="00A0680D"/>
    <w:rsid w:val="00A13B7E"/>
    <w:rsid w:val="00A268D3"/>
    <w:rsid w:val="00A27638"/>
    <w:rsid w:val="00A337C7"/>
    <w:rsid w:val="00A41AD2"/>
    <w:rsid w:val="00A504FC"/>
    <w:rsid w:val="00A55716"/>
    <w:rsid w:val="00A67EC1"/>
    <w:rsid w:val="00A76660"/>
    <w:rsid w:val="00A76A76"/>
    <w:rsid w:val="00A776B9"/>
    <w:rsid w:val="00A93081"/>
    <w:rsid w:val="00A9598C"/>
    <w:rsid w:val="00AA60C3"/>
    <w:rsid w:val="00AC71AA"/>
    <w:rsid w:val="00AD3DF4"/>
    <w:rsid w:val="00AE4A80"/>
    <w:rsid w:val="00AE59FB"/>
    <w:rsid w:val="00AF3ECC"/>
    <w:rsid w:val="00AF6220"/>
    <w:rsid w:val="00AF69AB"/>
    <w:rsid w:val="00B02280"/>
    <w:rsid w:val="00B22802"/>
    <w:rsid w:val="00B24626"/>
    <w:rsid w:val="00B271A4"/>
    <w:rsid w:val="00B5627F"/>
    <w:rsid w:val="00B57AFC"/>
    <w:rsid w:val="00B67AF1"/>
    <w:rsid w:val="00B72363"/>
    <w:rsid w:val="00B819D6"/>
    <w:rsid w:val="00B87368"/>
    <w:rsid w:val="00B9657B"/>
    <w:rsid w:val="00BA7818"/>
    <w:rsid w:val="00BC3D89"/>
    <w:rsid w:val="00C24EE3"/>
    <w:rsid w:val="00C25A87"/>
    <w:rsid w:val="00C574FD"/>
    <w:rsid w:val="00C61DE0"/>
    <w:rsid w:val="00C7006E"/>
    <w:rsid w:val="00C7062D"/>
    <w:rsid w:val="00C776FB"/>
    <w:rsid w:val="00C81BE7"/>
    <w:rsid w:val="00C86BC8"/>
    <w:rsid w:val="00C973C1"/>
    <w:rsid w:val="00CB1A14"/>
    <w:rsid w:val="00CB45D0"/>
    <w:rsid w:val="00CD1C87"/>
    <w:rsid w:val="00CE1CB4"/>
    <w:rsid w:val="00CE2458"/>
    <w:rsid w:val="00CF418B"/>
    <w:rsid w:val="00CF7363"/>
    <w:rsid w:val="00D01FDF"/>
    <w:rsid w:val="00D07E1F"/>
    <w:rsid w:val="00D401A4"/>
    <w:rsid w:val="00D411C0"/>
    <w:rsid w:val="00D50E02"/>
    <w:rsid w:val="00D66ABB"/>
    <w:rsid w:val="00D76CD1"/>
    <w:rsid w:val="00D90863"/>
    <w:rsid w:val="00D93FEE"/>
    <w:rsid w:val="00DA11A9"/>
    <w:rsid w:val="00DB56EC"/>
    <w:rsid w:val="00DE15F6"/>
    <w:rsid w:val="00DF3CAF"/>
    <w:rsid w:val="00DF537C"/>
    <w:rsid w:val="00E11DE0"/>
    <w:rsid w:val="00E166F8"/>
    <w:rsid w:val="00E230C9"/>
    <w:rsid w:val="00E27605"/>
    <w:rsid w:val="00E27CD6"/>
    <w:rsid w:val="00E335D2"/>
    <w:rsid w:val="00E359DC"/>
    <w:rsid w:val="00E43E75"/>
    <w:rsid w:val="00E47022"/>
    <w:rsid w:val="00E511E4"/>
    <w:rsid w:val="00E56AFC"/>
    <w:rsid w:val="00E65A0A"/>
    <w:rsid w:val="00E71679"/>
    <w:rsid w:val="00E81642"/>
    <w:rsid w:val="00E82443"/>
    <w:rsid w:val="00EA1412"/>
    <w:rsid w:val="00EA7F5B"/>
    <w:rsid w:val="00ED315A"/>
    <w:rsid w:val="00EE3D05"/>
    <w:rsid w:val="00EF0C0F"/>
    <w:rsid w:val="00EF368A"/>
    <w:rsid w:val="00EF5919"/>
    <w:rsid w:val="00F004E2"/>
    <w:rsid w:val="00F02975"/>
    <w:rsid w:val="00F063BD"/>
    <w:rsid w:val="00F07995"/>
    <w:rsid w:val="00F164F8"/>
    <w:rsid w:val="00F22CB4"/>
    <w:rsid w:val="00F26400"/>
    <w:rsid w:val="00F31A2B"/>
    <w:rsid w:val="00F35489"/>
    <w:rsid w:val="00F36FD9"/>
    <w:rsid w:val="00F47C43"/>
    <w:rsid w:val="00F47D7B"/>
    <w:rsid w:val="00F51BB6"/>
    <w:rsid w:val="00F542F6"/>
    <w:rsid w:val="00F913FE"/>
    <w:rsid w:val="00FC6306"/>
    <w:rsid w:val="00FD014D"/>
    <w:rsid w:val="00FE1D7E"/>
    <w:rsid w:val="00FE373E"/>
    <w:rsid w:val="00FE7D17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11A91-B37B-479B-A5A6-EBBD9AAF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5627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562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271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039B2"/>
  </w:style>
  <w:style w:type="paragraph" w:styleId="a6">
    <w:name w:val="Balloon Text"/>
    <w:basedOn w:val="a"/>
    <w:link w:val="a7"/>
    <w:uiPriority w:val="99"/>
    <w:semiHidden/>
    <w:unhideWhenUsed/>
    <w:rsid w:val="000A69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31A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1A2B"/>
    <w:pPr>
      <w:shd w:val="clear" w:color="auto" w:fill="FFFFFF"/>
      <w:autoSpaceDE/>
      <w:autoSpaceDN/>
      <w:adjustRightInd/>
      <w:spacing w:after="5220" w:line="0" w:lineRule="atLeast"/>
      <w:jc w:val="right"/>
    </w:pPr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semiHidden/>
    <w:unhideWhenUsed/>
    <w:rsid w:val="00F36FD9"/>
    <w:pPr>
      <w:widowControl/>
      <w:autoSpaceDE/>
      <w:autoSpaceDN/>
      <w:adjustRightInd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36FD9"/>
    <w:rPr>
      <w:rFonts w:ascii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D401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3D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3DFB"/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EA7F5B"/>
    <w:pPr>
      <w:spacing w:after="0" w:line="240" w:lineRule="auto"/>
    </w:pPr>
  </w:style>
  <w:style w:type="character" w:styleId="af0">
    <w:name w:val="Strong"/>
    <w:basedOn w:val="a0"/>
    <w:uiPriority w:val="22"/>
    <w:qFormat/>
    <w:rsid w:val="002018EE"/>
    <w:rPr>
      <w:b/>
      <w:bCs/>
    </w:rPr>
  </w:style>
  <w:style w:type="character" w:customStyle="1" w:styleId="210pt">
    <w:name w:val="Основной текст (2) + 10 pt"/>
    <w:rsid w:val="0017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5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6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D008-27F6-490B-BCF7-6D3DB7AC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Морычева Надежда Николаевна</dc:creator>
  <cp:lastModifiedBy>Мединцева Светлана Геннадьевна</cp:lastModifiedBy>
  <cp:revision>18</cp:revision>
  <cp:lastPrinted>2019-01-17T10:25:00Z</cp:lastPrinted>
  <dcterms:created xsi:type="dcterms:W3CDTF">2019-01-22T09:55:00Z</dcterms:created>
  <dcterms:modified xsi:type="dcterms:W3CDTF">2019-02-04T07:56:00Z</dcterms:modified>
</cp:coreProperties>
</file>