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52259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52259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522595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EF627A" w:rsidRPr="00EF627A" w:rsidRDefault="00EF627A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EF627A">
        <w:rPr>
          <w:rFonts w:eastAsia="Times New Roman" w:cs="Times New Roman"/>
          <w:i/>
          <w:szCs w:val="28"/>
          <w:lang w:eastAsia="ru-RU"/>
        </w:rPr>
        <w:t>проект постановления Администрации города «О внесении изменений в постановление Администрации города от 06.04.2017 № 2410 «О порядке предоставления субсидии на финансовое обеспечение (возмещение) затрат по содержанию объектов похоронного обслуживания»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2E4B2B" w:rsidRDefault="00522595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2E4B2B" w:rsidRPr="002E4B2B">
        <w:rPr>
          <w:rFonts w:eastAsia="Times New Roman" w:cs="Times New Roman"/>
          <w:i/>
          <w:szCs w:val="28"/>
          <w:lang w:eastAsia="ru-RU"/>
        </w:rPr>
        <w:t>Бюджетный кодекс РФ (в редакции от 18.07.2017 № 178-ФЗ)</w:t>
      </w:r>
    </w:p>
    <w:p w:rsidR="00704649" w:rsidRDefault="00522595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</w:t>
      </w:r>
      <w:r w:rsidR="00704649">
        <w:rPr>
          <w:rFonts w:eastAsia="Times New Roman" w:cs="Times New Roman"/>
          <w:i/>
          <w:szCs w:val="28"/>
          <w:lang w:eastAsia="ru-RU"/>
        </w:rPr>
        <w:t>бсидий юридическим лицам (за ис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ключением субсидий государственным (</w:t>
      </w:r>
      <w:r w:rsidR="00704649">
        <w:rPr>
          <w:rFonts w:eastAsia="Times New Roman" w:cs="Times New Roman"/>
          <w:i/>
          <w:szCs w:val="28"/>
          <w:lang w:eastAsia="ru-RU"/>
        </w:rPr>
        <w:t>муниципальным) учреждениям), ин</w:t>
      </w:r>
      <w:r w:rsidR="00704649" w:rsidRPr="00704649">
        <w:rPr>
          <w:rFonts w:eastAsia="Times New Roman" w:cs="Times New Roman"/>
          <w:i/>
          <w:szCs w:val="28"/>
          <w:lang w:eastAsia="ru-RU"/>
        </w:rPr>
        <w:t>дивидуальным предпринимателям, а так</w:t>
      </w:r>
      <w:r w:rsidR="00704649">
        <w:rPr>
          <w:rFonts w:eastAsia="Times New Roman" w:cs="Times New Roman"/>
          <w:i/>
          <w:szCs w:val="28"/>
          <w:lang w:eastAsia="ru-RU"/>
        </w:rPr>
        <w:t>же физическим лицам – производи</w:t>
      </w:r>
      <w:r w:rsidR="00704649" w:rsidRPr="00704649">
        <w:rPr>
          <w:rFonts w:eastAsia="Times New Roman" w:cs="Times New Roman"/>
          <w:i/>
          <w:szCs w:val="28"/>
          <w:lang w:eastAsia="ru-RU"/>
        </w:rPr>
        <w:t>телям товаров, работ, услуг» (далее – Общие требования № 887 от 06.09.2016)</w:t>
      </w:r>
    </w:p>
    <w:p w:rsidR="00522595" w:rsidRPr="00BA322F" w:rsidRDefault="00522595" w:rsidP="0052259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2E4B2B" w:rsidRPr="002E4B2B" w:rsidRDefault="0079418C" w:rsidP="002E4B2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E4B2B" w:rsidRPr="002E4B2B">
        <w:rPr>
          <w:rFonts w:ascii="Times New Roman" w:hAnsi="Times New Roman" w:cs="Times New Roman"/>
          <w:i/>
          <w:sz w:val="28"/>
          <w:szCs w:val="28"/>
        </w:rPr>
        <w:t>1. Решение Думы от 23.12.2016 № 46-VI ДГ «О бюджете городского округа город Сургут на 2017 год и плановый период 2018-2019 годов».</w:t>
      </w:r>
    </w:p>
    <w:p w:rsidR="00BA3E66" w:rsidRPr="0079418C" w:rsidRDefault="002E4B2B" w:rsidP="002E4B2B">
      <w:pPr>
        <w:pStyle w:val="ConsPlusNormal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E4B2B">
        <w:rPr>
          <w:rFonts w:ascii="Times New Roman" w:hAnsi="Times New Roman" w:cs="Times New Roman"/>
          <w:i/>
          <w:sz w:val="28"/>
          <w:szCs w:val="28"/>
        </w:rPr>
        <w:t>2. Постановление Администрации города от 06.04.2017 № 241</w:t>
      </w:r>
      <w:r w:rsidR="00EF627A">
        <w:rPr>
          <w:rFonts w:ascii="Times New Roman" w:hAnsi="Times New Roman" w:cs="Times New Roman"/>
          <w:i/>
          <w:sz w:val="28"/>
          <w:szCs w:val="28"/>
        </w:rPr>
        <w:t>0</w:t>
      </w:r>
      <w:r w:rsidRPr="002E4B2B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 субсидии на финансовое обеспечение (возмещение) затрат по </w:t>
      </w:r>
      <w:r w:rsidR="00EF627A">
        <w:rPr>
          <w:rFonts w:ascii="Times New Roman" w:hAnsi="Times New Roman" w:cs="Times New Roman"/>
          <w:i/>
          <w:sz w:val="28"/>
          <w:szCs w:val="28"/>
        </w:rPr>
        <w:t>содержанию объектов похоронного обслуживания</w:t>
      </w:r>
      <w:r w:rsidRPr="002E4B2B">
        <w:rPr>
          <w:rFonts w:ascii="Times New Roman" w:hAnsi="Times New Roman" w:cs="Times New Roman"/>
          <w:i/>
          <w:sz w:val="28"/>
          <w:szCs w:val="28"/>
        </w:rPr>
        <w:t>».</w:t>
      </w:r>
    </w:p>
    <w:p w:rsidR="00BA3E66" w:rsidRPr="008016AB" w:rsidRDefault="00816DE4" w:rsidP="0052259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</w:p>
    <w:p w:rsidR="00BA3E66" w:rsidRPr="0036302F" w:rsidRDefault="00816DE4" w:rsidP="0052259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522595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522595">
        <w:rPr>
          <w:rFonts w:eastAsia="Times New Roman" w:cs="Times New Roman"/>
          <w:i/>
          <w:szCs w:val="28"/>
          <w:lang w:eastAsia="ru-RU"/>
        </w:rPr>
        <w:t>«13</w:t>
      </w:r>
      <w:r w:rsidR="00BB6CA8" w:rsidRPr="00522595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522595">
        <w:rPr>
          <w:rFonts w:eastAsia="Times New Roman" w:cs="Times New Roman"/>
          <w:i/>
          <w:szCs w:val="28"/>
          <w:lang w:eastAsia="ru-RU"/>
        </w:rPr>
        <w:t>20</w:t>
      </w:r>
      <w:r w:rsidR="00BB6CA8" w:rsidRPr="00522595">
        <w:rPr>
          <w:rFonts w:eastAsia="Times New Roman" w:cs="Times New Roman"/>
          <w:i/>
          <w:szCs w:val="28"/>
          <w:lang w:eastAsia="ru-RU"/>
        </w:rPr>
        <w:t>17</w:t>
      </w:r>
      <w:r w:rsidR="00522595" w:rsidRPr="00522595">
        <w:rPr>
          <w:rFonts w:eastAsia="Times New Roman" w:cs="Times New Roman"/>
          <w:i/>
          <w:szCs w:val="28"/>
          <w:lang w:eastAsia="ru-RU"/>
        </w:rPr>
        <w:t>г</w:t>
      </w:r>
      <w:r w:rsidRPr="00522595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522595">
        <w:rPr>
          <w:rFonts w:eastAsia="Times New Roman" w:cs="Times New Roman"/>
          <w:i/>
          <w:szCs w:val="28"/>
          <w:lang w:eastAsia="ru-RU"/>
        </w:rPr>
        <w:t>«</w:t>
      </w:r>
      <w:r w:rsidR="00D8404F" w:rsidRPr="00522595">
        <w:rPr>
          <w:rFonts w:eastAsia="Times New Roman" w:cs="Times New Roman"/>
          <w:i/>
          <w:szCs w:val="28"/>
          <w:lang w:eastAsia="ru-RU"/>
        </w:rPr>
        <w:t>13</w:t>
      </w:r>
      <w:r w:rsidRPr="00522595">
        <w:rPr>
          <w:rFonts w:eastAsia="Times New Roman" w:cs="Times New Roman"/>
          <w:i/>
          <w:szCs w:val="28"/>
          <w:lang w:eastAsia="ru-RU"/>
        </w:rPr>
        <w:t>»</w:t>
      </w:r>
      <w:r w:rsidR="00477F1E" w:rsidRPr="00522595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522595">
        <w:rPr>
          <w:rFonts w:eastAsia="Times New Roman" w:cs="Times New Roman"/>
          <w:i/>
          <w:szCs w:val="28"/>
          <w:lang w:eastAsia="ru-RU"/>
        </w:rPr>
        <w:t>20</w:t>
      </w:r>
      <w:r w:rsidR="00477F1E" w:rsidRPr="00522595">
        <w:rPr>
          <w:rFonts w:eastAsia="Times New Roman" w:cs="Times New Roman"/>
          <w:i/>
          <w:szCs w:val="28"/>
          <w:lang w:eastAsia="ru-RU"/>
        </w:rPr>
        <w:t>17</w:t>
      </w:r>
      <w:r w:rsidR="00522595" w:rsidRPr="00522595">
        <w:rPr>
          <w:rFonts w:eastAsia="Times New Roman" w:cs="Times New Roman"/>
          <w:i/>
          <w:szCs w:val="28"/>
          <w:lang w:eastAsia="ru-RU"/>
        </w:rPr>
        <w:t>г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522595">
        <w:rPr>
          <w:rFonts w:eastAsia="Times New Roman" w:cs="Times New Roman"/>
          <w:i/>
          <w:szCs w:val="28"/>
          <w:lang w:eastAsia="ru-RU"/>
        </w:rPr>
        <w:t>«2</w:t>
      </w:r>
      <w:r w:rsidR="00D8404F" w:rsidRPr="00522595">
        <w:rPr>
          <w:rFonts w:eastAsia="Times New Roman" w:cs="Times New Roman"/>
          <w:i/>
          <w:szCs w:val="28"/>
          <w:lang w:eastAsia="ru-RU"/>
        </w:rPr>
        <w:t>6</w:t>
      </w:r>
      <w:r w:rsidRPr="00522595">
        <w:rPr>
          <w:rFonts w:eastAsia="Times New Roman" w:cs="Times New Roman"/>
          <w:i/>
          <w:szCs w:val="28"/>
          <w:lang w:eastAsia="ru-RU"/>
        </w:rPr>
        <w:t>»</w:t>
      </w:r>
      <w:r w:rsidR="006E30BE" w:rsidRPr="00522595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522595">
        <w:rPr>
          <w:rFonts w:eastAsia="Times New Roman" w:cs="Times New Roman"/>
          <w:i/>
          <w:szCs w:val="28"/>
          <w:lang w:eastAsia="ru-RU"/>
        </w:rPr>
        <w:t>октября 2017</w:t>
      </w:r>
      <w:r w:rsidRPr="00522595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52259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52259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proofErr w:type="gramStart"/>
      <w:r w:rsidR="00D8404F" w:rsidRPr="00522595">
        <w:rPr>
          <w:rFonts w:eastAsia="Times New Roman" w:cs="Times New Roman"/>
          <w:i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52259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lastRenderedPageBreak/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D8404F" w:rsidRPr="0052259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52259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D8404F" w:rsidRPr="00522595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212186" w:rsidRPr="00394E47" w:rsidRDefault="00212186" w:rsidP="00212186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522595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52259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522595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522595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522595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522595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522595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52259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522595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212186" w:rsidRDefault="00212186" w:rsidP="0052259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52259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212186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EA12B7" w:rsidRDefault="00D8404F" w:rsidP="00BA0B2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D8404F">
        <w:rPr>
          <w:rFonts w:eastAsia="Times New Roman" w:cs="Times New Roman"/>
          <w:i/>
          <w:szCs w:val="20"/>
          <w:lang w:eastAsia="ru-RU"/>
        </w:rPr>
        <w:t>Проект постановления Администрации го</w:t>
      </w:r>
      <w:r>
        <w:rPr>
          <w:rFonts w:eastAsia="Times New Roman" w:cs="Times New Roman"/>
          <w:i/>
          <w:szCs w:val="20"/>
          <w:lang w:eastAsia="ru-RU"/>
        </w:rPr>
        <w:t>рода «О внесении изменений в по</w:t>
      </w:r>
      <w:r w:rsidRPr="00D8404F">
        <w:rPr>
          <w:rFonts w:eastAsia="Times New Roman" w:cs="Times New Roman"/>
          <w:i/>
          <w:szCs w:val="20"/>
          <w:lang w:eastAsia="ru-RU"/>
        </w:rPr>
        <w:t>становление Администрации города от 06.04.2</w:t>
      </w:r>
      <w:r>
        <w:rPr>
          <w:rFonts w:eastAsia="Times New Roman" w:cs="Times New Roman"/>
          <w:i/>
          <w:szCs w:val="20"/>
          <w:lang w:eastAsia="ru-RU"/>
        </w:rPr>
        <w:t xml:space="preserve">017 № 2410 </w:t>
      </w:r>
      <w:r w:rsidR="00B34AFD" w:rsidRPr="00B34AFD">
        <w:rPr>
          <w:rFonts w:eastAsia="Times New Roman" w:cs="Times New Roman"/>
          <w:i/>
          <w:szCs w:val="20"/>
          <w:lang w:eastAsia="ru-RU"/>
        </w:rPr>
        <w:t>«О порядке предоставления субсидии на финансовое обеспечение (возмещение) затрат по содержанию объ</w:t>
      </w:r>
      <w:r w:rsidR="00B34AFD">
        <w:rPr>
          <w:rFonts w:eastAsia="Times New Roman" w:cs="Times New Roman"/>
          <w:i/>
          <w:szCs w:val="20"/>
          <w:lang w:eastAsia="ru-RU"/>
        </w:rPr>
        <w:t xml:space="preserve">ектов похоронного обслуживания» </w:t>
      </w:r>
      <w:r w:rsidR="00BA0B22">
        <w:rPr>
          <w:rFonts w:eastAsia="Times New Roman" w:cs="Times New Roman"/>
          <w:i/>
          <w:szCs w:val="20"/>
          <w:lang w:eastAsia="ru-RU"/>
        </w:rPr>
        <w:t>содержит положения,</w:t>
      </w:r>
      <w:r w:rsidR="00E328F6">
        <w:rPr>
          <w:rFonts w:eastAsia="Times New Roman" w:cs="Times New Roman"/>
          <w:i/>
          <w:szCs w:val="20"/>
          <w:lang w:eastAsia="ru-RU"/>
        </w:rPr>
        <w:t xml:space="preserve"> </w:t>
      </w:r>
      <w:r w:rsidR="00E328F6" w:rsidRPr="008739F8">
        <w:rPr>
          <w:rFonts w:eastAsia="Times New Roman" w:cs="Times New Roman"/>
          <w:i/>
          <w:szCs w:val="20"/>
          <w:lang w:eastAsia="ru-RU"/>
        </w:rPr>
        <w:t>которые изменяют ранее предусмотренные обязанности, запреты и ограничения, а также устанавливает новое ранее не предусмотренное муниципальным правовым актом ограничение для субъектов предпринимательской деятельности</w:t>
      </w:r>
      <w:r w:rsidR="00BA0B22">
        <w:rPr>
          <w:rFonts w:eastAsia="Times New Roman" w:cs="Times New Roman"/>
          <w:i/>
          <w:szCs w:val="20"/>
          <w:lang w:eastAsia="ru-RU"/>
        </w:rPr>
        <w:t>.</w:t>
      </w:r>
    </w:p>
    <w:p w:rsidR="00E328F6" w:rsidRDefault="00E328F6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328F6" w:rsidRPr="00D534E1" w:rsidRDefault="00E328F6" w:rsidP="00E328F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43</w:t>
      </w:r>
      <w:r w:rsidRPr="00D534E1">
        <w:rPr>
          <w:rFonts w:ascii="Times New Roman" w:hAnsi="Times New Roman" w:cs="Times New Roman"/>
          <w:i/>
          <w:sz w:val="27"/>
          <w:szCs w:val="27"/>
        </w:rPr>
        <w:t>) определена дата, на которую получатели субсидии должны соответствовать требованиям, установленным Общими требованиями № 887 от 06.09.2016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</w:t>
      </w:r>
      <w:r>
        <w:rPr>
          <w:rFonts w:ascii="Times New Roman" w:hAnsi="Times New Roman"/>
          <w:i/>
          <w:sz w:val="28"/>
          <w:szCs w:val="28"/>
        </w:rPr>
        <w:t xml:space="preserve">абзац второй </w:t>
      </w:r>
      <w:r w:rsidRPr="00D534E1">
        <w:rPr>
          <w:rFonts w:ascii="Times New Roman" w:hAnsi="Times New Roman"/>
          <w:i/>
          <w:sz w:val="28"/>
          <w:szCs w:val="28"/>
        </w:rPr>
        <w:t>пункт</w:t>
      </w:r>
      <w:r>
        <w:rPr>
          <w:rFonts w:ascii="Times New Roman" w:hAnsi="Times New Roman"/>
          <w:i/>
          <w:sz w:val="28"/>
          <w:szCs w:val="28"/>
        </w:rPr>
        <w:t>а</w:t>
      </w:r>
      <w:r w:rsidRPr="00D534E1">
        <w:rPr>
          <w:rFonts w:ascii="Times New Roman" w:hAnsi="Times New Roman"/>
          <w:i/>
          <w:sz w:val="28"/>
          <w:szCs w:val="28"/>
        </w:rPr>
        <w:t xml:space="preserve"> 1.1 проекта).</w:t>
      </w:r>
    </w:p>
    <w:p w:rsidR="00E328F6" w:rsidRDefault="00E328F6" w:rsidP="00E328F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Исключен срок обращения «</w:t>
      </w:r>
      <w:r w:rsidRPr="00D927B8">
        <w:rPr>
          <w:rFonts w:ascii="Times New Roman" w:hAnsi="Times New Roman"/>
          <w:i/>
          <w:sz w:val="28"/>
          <w:szCs w:val="28"/>
        </w:rPr>
        <w:t>не позднее 10-и рабочих дней до начала осу</w:t>
      </w:r>
      <w:r w:rsidRPr="00D927B8">
        <w:rPr>
          <w:rFonts w:ascii="Times New Roman" w:hAnsi="Times New Roman"/>
          <w:i/>
          <w:sz w:val="28"/>
          <w:szCs w:val="28"/>
        </w:rPr>
        <w:lastRenderedPageBreak/>
        <w:t xml:space="preserve">ществления </w:t>
      </w:r>
      <w:r>
        <w:rPr>
          <w:rFonts w:ascii="Times New Roman" w:hAnsi="Times New Roman"/>
          <w:i/>
          <w:sz w:val="28"/>
          <w:szCs w:val="28"/>
        </w:rPr>
        <w:t>объектов похоронного обслуживания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» (абзац второй пункта 1.2 проекта). В связи с тем, что одним из основных критериев отбора получателей субсидии является </w:t>
      </w:r>
      <w:r w:rsidRPr="00CC7542">
        <w:rPr>
          <w:rFonts w:ascii="Times New Roman" w:hAnsi="Times New Roman" w:cs="Times New Roman"/>
          <w:i/>
          <w:sz w:val="27"/>
          <w:szCs w:val="27"/>
        </w:rPr>
        <w:t>наличие «установленных в соответствии с законодательством РФ стоимостей услуг, предоставляемых согласно гарантированному перечню услуг по погребению умерших путем предания тела (останков) умершего огню» и «в уставе в качестве предмета (вида) деятельности указания на кремацию (огненное погребение) с последующей выдачей урны с прахом и ее захоронение»,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то срок обращения не влияет на объем выполняемых работ (оказываемых услуг) и размер субсидии</w:t>
      </w:r>
      <w:r>
        <w:rPr>
          <w:rFonts w:ascii="Times New Roman" w:hAnsi="Times New Roman" w:cs="Times New Roman"/>
          <w:i/>
          <w:sz w:val="27"/>
          <w:szCs w:val="27"/>
        </w:rPr>
        <w:t xml:space="preserve"> в текущем финансовом году</w:t>
      </w:r>
      <w:r w:rsidRPr="00D927B8">
        <w:rPr>
          <w:rFonts w:ascii="Times New Roman" w:hAnsi="Times New Roman" w:cs="Times New Roman"/>
          <w:i/>
          <w:sz w:val="27"/>
          <w:szCs w:val="27"/>
        </w:rPr>
        <w:t>.</w:t>
      </w:r>
    </w:p>
    <w:p w:rsidR="00E328F6" w:rsidRDefault="00E328F6" w:rsidP="00E328F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связи с исключением срока первичного обращения получателя субсидии исключается основание для отказа в предоставлении субсидии - предоставление документов позднее срока при первичном и повторном обращении, в случае получения отказа (абзац второй пункта 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 (пункт 1.4 проекта).</w:t>
      </w:r>
    </w:p>
    <w:p w:rsidR="00E328F6" w:rsidRPr="00F90F04" w:rsidRDefault="00E328F6" w:rsidP="00E328F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Так же в связи с исключением срока первичного обращения получателя субсидии п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редварительный расчет размера субсидии, представляемый при первичном обращении (заявке) получателя субсидии, дополняется временным периодом, на который запланирован объем субсидии – </w:t>
      </w:r>
      <w:r w:rsidRPr="00D927B8">
        <w:rPr>
          <w:rFonts w:ascii="Times New Roman" w:hAnsi="Times New Roman"/>
          <w:i/>
          <w:sz w:val="28"/>
          <w:szCs w:val="28"/>
        </w:rPr>
        <w:t xml:space="preserve">«на период осуществления содержания </w:t>
      </w:r>
      <w:r>
        <w:rPr>
          <w:rFonts w:ascii="Times New Roman" w:hAnsi="Times New Roman"/>
          <w:i/>
          <w:sz w:val="28"/>
          <w:szCs w:val="28"/>
        </w:rPr>
        <w:t>объектов похоронного обслуживания</w:t>
      </w:r>
      <w:r w:rsidRPr="00D927B8">
        <w:rPr>
          <w:rFonts w:ascii="Times New Roman" w:hAnsi="Times New Roman"/>
          <w:i/>
          <w:sz w:val="28"/>
          <w:szCs w:val="28"/>
        </w:rPr>
        <w:t xml:space="preserve"> в текущем финансовом году» (абзац </w:t>
      </w:r>
      <w:r>
        <w:rPr>
          <w:rFonts w:ascii="Times New Roman" w:hAnsi="Times New Roman"/>
          <w:i/>
          <w:sz w:val="28"/>
          <w:szCs w:val="28"/>
        </w:rPr>
        <w:t>третий</w:t>
      </w:r>
      <w:r w:rsidRPr="00D927B8">
        <w:rPr>
          <w:rFonts w:ascii="Times New Roman" w:hAnsi="Times New Roman"/>
          <w:i/>
          <w:sz w:val="28"/>
          <w:szCs w:val="28"/>
        </w:rPr>
        <w:t xml:space="preserve"> пункта 1.2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E328F6" w:rsidRPr="00D927B8" w:rsidRDefault="00E328F6" w:rsidP="00E328F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Одним из оснований для отказа получателю субсидии 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</w:t>
      </w:r>
      <w:r>
        <w:rPr>
          <w:rFonts w:ascii="Times New Roman" w:hAnsi="Times New Roman" w:cs="Times New Roman"/>
          <w:i/>
          <w:sz w:val="27"/>
          <w:szCs w:val="27"/>
        </w:rPr>
        <w:t>8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раздела </w:t>
      </w:r>
      <w:r w:rsidRPr="00D927B8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1.4 проекта) и уведомление получателей субсидии о принятии положительного решения 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E328F6" w:rsidRPr="00841743" w:rsidRDefault="00E328F6" w:rsidP="00E328F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684</w:t>
      </w:r>
      <w:r>
        <w:rPr>
          <w:rFonts w:ascii="Times New Roman" w:hAnsi="Times New Roman" w:cs="Times New Roman"/>
          <w:i/>
          <w:sz w:val="27"/>
          <w:szCs w:val="27"/>
        </w:rPr>
        <w:t>3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(абзац третий п</w:t>
      </w:r>
      <w:r>
        <w:rPr>
          <w:rFonts w:ascii="Times New Roman" w:hAnsi="Times New Roman" w:cs="Times New Roman"/>
          <w:i/>
          <w:sz w:val="28"/>
          <w:szCs w:val="28"/>
        </w:rPr>
        <w:t>ункта 1.1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E328F6" w:rsidRPr="00841743" w:rsidRDefault="00E328F6" w:rsidP="00E328F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</w:t>
      </w:r>
      <w:r w:rsidRPr="00841743">
        <w:rPr>
          <w:rFonts w:ascii="Times New Roman" w:hAnsi="Times New Roman" w:cs="Times New Roman"/>
          <w:i/>
          <w:sz w:val="28"/>
          <w:szCs w:val="28"/>
        </w:rPr>
        <w:lastRenderedPageBreak/>
        <w:t>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E328F6" w:rsidRPr="00D927B8" w:rsidRDefault="00E328F6" w:rsidP="00E328F6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от 18.07.2017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D927B8">
        <w:rPr>
          <w:rFonts w:ascii="Times New Roman" w:hAnsi="Times New Roman" w:cs="Times New Roman"/>
          <w:i/>
          <w:sz w:val="27"/>
          <w:szCs w:val="27"/>
        </w:rPr>
        <w:t>№ 178-ФЗ).</w:t>
      </w:r>
    </w:p>
    <w:p w:rsidR="00E328F6" w:rsidRPr="00D927B8" w:rsidRDefault="00E328F6" w:rsidP="00E328F6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E328F6" w:rsidRPr="00D927B8" w:rsidRDefault="00E328F6" w:rsidP="00E328F6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E328F6" w:rsidRPr="00BA322F" w:rsidRDefault="00E328F6" w:rsidP="00E328F6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</w:t>
      </w:r>
      <w:r>
        <w:rPr>
          <w:i/>
          <w:sz w:val="27"/>
          <w:szCs w:val="27"/>
        </w:rPr>
        <w:br/>
      </w:r>
      <w:r w:rsidRPr="00D927B8">
        <w:rPr>
          <w:i/>
          <w:sz w:val="27"/>
          <w:szCs w:val="27"/>
        </w:rPr>
        <w:t xml:space="preserve"> № 08-ПО-15/17-0.</w:t>
      </w:r>
    </w:p>
    <w:p w:rsidR="00BA3E66" w:rsidRPr="00930716" w:rsidRDefault="00816DE4" w:rsidP="00AE0D7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AE0D70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Pr="004839CD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B34AFD" w:rsidRPr="004839CD" w:rsidRDefault="005A48F4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839CD">
        <w:rPr>
          <w:rFonts w:eastAsia="Times New Roman" w:cs="Times New Roman"/>
          <w:i/>
          <w:szCs w:val="28"/>
          <w:lang w:eastAsia="ru-RU"/>
        </w:rPr>
        <w:t>Опыт решения аналогичных проблем в муниципальных образованиях Ханты-Мансийского автономного округа – Югры отсутству</w:t>
      </w:r>
      <w:r w:rsidR="004839CD" w:rsidRPr="004839CD">
        <w:rPr>
          <w:rFonts w:eastAsia="Times New Roman" w:cs="Times New Roman"/>
          <w:i/>
          <w:szCs w:val="28"/>
          <w:lang w:eastAsia="ru-RU"/>
        </w:rPr>
        <w:t>ет, т.к. на территории ХМАО-Югры</w:t>
      </w:r>
      <w:r w:rsidRPr="004839CD">
        <w:rPr>
          <w:rFonts w:eastAsia="Times New Roman" w:cs="Times New Roman"/>
          <w:i/>
          <w:szCs w:val="28"/>
          <w:lang w:eastAsia="ru-RU"/>
        </w:rPr>
        <w:t xml:space="preserve"> крематорий только в </w:t>
      </w:r>
      <w:proofErr w:type="spellStart"/>
      <w:r w:rsidRPr="004839CD">
        <w:rPr>
          <w:rFonts w:eastAsia="Times New Roman" w:cs="Times New Roman"/>
          <w:i/>
          <w:szCs w:val="28"/>
          <w:lang w:eastAsia="ru-RU"/>
        </w:rPr>
        <w:t>г.Сургуте</w:t>
      </w:r>
      <w:proofErr w:type="spellEnd"/>
    </w:p>
    <w:p w:rsidR="005A48F4" w:rsidRPr="004839CD" w:rsidRDefault="005A48F4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839CD">
        <w:rPr>
          <w:rFonts w:eastAsia="Times New Roman" w:cs="Times New Roman"/>
          <w:i/>
          <w:szCs w:val="28"/>
          <w:lang w:eastAsia="ru-RU"/>
        </w:rPr>
        <w:t>Опыт других муниципальных образованиях Российской Федерации не найден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AE0D70" w:rsidRDefault="00AE0D70" w:rsidP="00AE0D7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AE0D70" w:rsidRDefault="00AE0D70" w:rsidP="00AE0D7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AE0D70" w:rsidRPr="004839CD" w:rsidRDefault="00AE0D70" w:rsidP="00AE0D7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Default="00816DE4" w:rsidP="00AE0D7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AE0D7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AE0D70" w:rsidRPr="00137DB0" w:rsidRDefault="00AE0D70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AE0D70" w:rsidRPr="00137DB0" w:rsidSect="00583180">
          <w:headerReference w:type="default" r:id="rId7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04220A">
        <w:tc>
          <w:tcPr>
            <w:tcW w:w="7225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  <w:gridSpan w:val="2"/>
          </w:tcPr>
          <w:p w:rsidR="00816DE4" w:rsidRPr="00A37C70" w:rsidRDefault="00E030CB" w:rsidP="00AE0D70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AE0D70">
              <w:rPr>
                <w:rFonts w:cs="Times New Roman"/>
                <w:i/>
                <w:szCs w:val="28"/>
              </w:rPr>
              <w:t>бюджетному законодательству</w:t>
            </w: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816DE4" w:rsidRPr="00E030CB" w:rsidRDefault="00E51358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Со дня </w:t>
            </w:r>
            <w:r w:rsidR="00AE0D70"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в средствах массовой информации </w:t>
            </w:r>
          </w:p>
        </w:tc>
        <w:tc>
          <w:tcPr>
            <w:tcW w:w="4110" w:type="dxa"/>
            <w:gridSpan w:val="2"/>
          </w:tcPr>
          <w:p w:rsidR="00AE0D7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816DE4" w:rsidRPr="00E030CB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816DE4" w:rsidRPr="00137DB0" w:rsidTr="0004220A">
        <w:tc>
          <w:tcPr>
            <w:tcW w:w="3997" w:type="dxa"/>
          </w:tcPr>
          <w:p w:rsidR="00816DE4" w:rsidRPr="00A37C70" w:rsidRDefault="00AE0D70" w:rsidP="00530229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</w:p>
        </w:tc>
        <w:tc>
          <w:tcPr>
            <w:tcW w:w="5076" w:type="dxa"/>
            <w:gridSpan w:val="2"/>
          </w:tcPr>
          <w:p w:rsidR="009E7913" w:rsidRPr="009E7913" w:rsidRDefault="009E7913" w:rsidP="00AE0D70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</w:t>
            </w:r>
            <w:r w:rsidR="00AE0D7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AE0D70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  <w:gridSpan w:val="2"/>
          </w:tcPr>
          <w:p w:rsidR="009E7913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AE0D70" w:rsidRPr="005E3F53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AE0D70" w:rsidRDefault="00AE0D7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3B08EC" w:rsidRDefault="00AE0D70" w:rsidP="00B34AF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="00B34AFD" w:rsidRPr="00B34AFD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ридические лица, 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содержанию объектов похоронного обслуживания</w:t>
            </w:r>
          </w:p>
        </w:tc>
        <w:tc>
          <w:tcPr>
            <w:tcW w:w="3685" w:type="dxa"/>
          </w:tcPr>
          <w:p w:rsidR="00816DE4" w:rsidRPr="003B08EC" w:rsidRDefault="000A3F59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AE0D70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(Группа 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6302F" w:rsidRP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AE0D70" w:rsidP="00AE0D7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0A24D8" w:rsidRPr="00137DB0" w:rsidTr="000D0E2C">
        <w:trPr>
          <w:cantSplit/>
        </w:trPr>
        <w:tc>
          <w:tcPr>
            <w:tcW w:w="3397" w:type="dxa"/>
            <w:vMerge w:val="restart"/>
          </w:tcPr>
          <w:p w:rsidR="000A24D8" w:rsidRPr="002B59B3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5A48F4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ридические лица, 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содержанию объектов похоронного обслуживания</w:t>
            </w:r>
          </w:p>
        </w:tc>
        <w:tc>
          <w:tcPr>
            <w:tcW w:w="4820" w:type="dxa"/>
          </w:tcPr>
          <w:p w:rsidR="000A24D8" w:rsidRPr="00137DB0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Проектом изменяется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дата, на которую получатели субсидии должны соответствовать установленным требованиям – «на первое число месяца, в котором представлены документы» абзац второй (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пункта 1.1 проекта)</w:t>
            </w:r>
          </w:p>
        </w:tc>
        <w:tc>
          <w:tcPr>
            <w:tcW w:w="2410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137DB0" w:rsidTr="00035014">
        <w:trPr>
          <w:cantSplit/>
          <w:trHeight w:val="1688"/>
        </w:trPr>
        <w:tc>
          <w:tcPr>
            <w:tcW w:w="3397" w:type="dxa"/>
            <w:vMerge/>
          </w:tcPr>
          <w:p w:rsidR="000A24D8" w:rsidRPr="00A37C70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A24D8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</w:t>
            </w:r>
            <w:r>
              <w:rPr>
                <w:rFonts w:cs="Times New Roman"/>
                <w:i/>
                <w:szCs w:val="28"/>
              </w:rPr>
              <w:t xml:space="preserve">абзац третий </w:t>
            </w:r>
            <w:r w:rsidRPr="00954691">
              <w:rPr>
                <w:rFonts w:cs="Times New Roman"/>
                <w:i/>
                <w:szCs w:val="28"/>
              </w:rPr>
              <w:t>пункт</w:t>
            </w:r>
            <w:r>
              <w:rPr>
                <w:rFonts w:cs="Times New Roman"/>
                <w:i/>
                <w:szCs w:val="28"/>
              </w:rPr>
              <w:t>а</w:t>
            </w:r>
            <w:r w:rsidRPr="00954691">
              <w:rPr>
                <w:rFonts w:cs="Times New Roman"/>
                <w:i/>
                <w:szCs w:val="28"/>
              </w:rPr>
              <w:t xml:space="preserve"> 1.</w:t>
            </w:r>
            <w:r>
              <w:rPr>
                <w:rFonts w:cs="Times New Roman"/>
                <w:i/>
                <w:szCs w:val="28"/>
              </w:rPr>
              <w:t>1</w:t>
            </w:r>
            <w:r w:rsidRPr="00954691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137DB0" w:rsidTr="000D0E2C">
        <w:trPr>
          <w:cantSplit/>
          <w:trHeight w:val="2033"/>
        </w:trPr>
        <w:tc>
          <w:tcPr>
            <w:tcW w:w="3397" w:type="dxa"/>
            <w:vMerge/>
          </w:tcPr>
          <w:p w:rsidR="000A24D8" w:rsidRPr="00A37C70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A24D8" w:rsidRPr="00137DB0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Проектом исключается срок первичного обращения получателя субсидии – «не позднее 10-и рабочих дней до начала осуществления содержания объектов похоронного обслуживания</w:t>
            </w:r>
            <w:r w:rsidRPr="001035FE">
              <w:rPr>
                <w:rFonts w:eastAsia="Times New Roman" w:cs="Times New Roman"/>
                <w:i/>
                <w:iCs/>
                <w:szCs w:val="28"/>
                <w:lang w:eastAsia="ru-RU"/>
              </w:rPr>
              <w:t>» (аб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зац второй пункта 1.2 проекта).</w:t>
            </w:r>
          </w:p>
        </w:tc>
        <w:tc>
          <w:tcPr>
            <w:tcW w:w="2410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137DB0" w:rsidTr="002F35CB">
        <w:trPr>
          <w:cantSplit/>
          <w:trHeight w:val="657"/>
        </w:trPr>
        <w:tc>
          <w:tcPr>
            <w:tcW w:w="3397" w:type="dxa"/>
            <w:vMerge/>
          </w:tcPr>
          <w:p w:rsidR="000A24D8" w:rsidRPr="00A37C70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A24D8" w:rsidRDefault="000A24D8" w:rsidP="000A24D8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 w:val="27"/>
                <w:szCs w:val="27"/>
              </w:rPr>
              <w:t>Проектом уточняется период, в который получатель субсидии претендует на возмещение затрат - п</w:t>
            </w:r>
            <w:r w:rsidRPr="007630BB">
              <w:rPr>
                <w:rFonts w:cs="Times New Roman"/>
                <w:i/>
                <w:sz w:val="27"/>
                <w:szCs w:val="27"/>
              </w:rPr>
              <w:t xml:space="preserve">редварительный расчет размера субсидии, представляемый получателем субсидии при первичном обращении, дополняется временным периодом, на который выполнен расчет субсидии – </w:t>
            </w:r>
            <w:r w:rsidRPr="007630BB">
              <w:rPr>
                <w:i/>
                <w:szCs w:val="28"/>
              </w:rPr>
              <w:t>«</w:t>
            </w:r>
            <w:r>
              <w:rPr>
                <w:i/>
                <w:szCs w:val="28"/>
              </w:rPr>
              <w:t>на период осуществления содержания объектов похоронного обслуживания в текущем финансовом году» (абзац третий пункта 1.2 проекта)</w:t>
            </w:r>
          </w:p>
        </w:tc>
        <w:tc>
          <w:tcPr>
            <w:tcW w:w="2410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137DB0" w:rsidTr="002F35CB">
        <w:trPr>
          <w:cantSplit/>
          <w:trHeight w:val="624"/>
        </w:trPr>
        <w:tc>
          <w:tcPr>
            <w:tcW w:w="3397" w:type="dxa"/>
            <w:vMerge/>
          </w:tcPr>
          <w:p w:rsidR="000A24D8" w:rsidRPr="00A37C70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A24D8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Проектом 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>исключа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ю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тся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2 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>основани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я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 для отказа в предоставлении субсидии - предоставление документов позднее срока при первичном и повторном обращении, в случае получения отказа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;</w:t>
            </w:r>
          </w:p>
          <w:p w:rsidR="000A24D8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 превышение предварительного расчета объема субсидии утвержденных лимитов бюджетных обязательств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 xml:space="preserve"> (пункт 1.4 проекта).</w:t>
            </w:r>
          </w:p>
        </w:tc>
        <w:tc>
          <w:tcPr>
            <w:tcW w:w="2410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137DB0" w:rsidTr="00761BC9">
        <w:trPr>
          <w:cantSplit/>
          <w:trHeight w:val="288"/>
        </w:trPr>
        <w:tc>
          <w:tcPr>
            <w:tcW w:w="3397" w:type="dxa"/>
            <w:vMerge/>
          </w:tcPr>
          <w:p w:rsidR="000A24D8" w:rsidRPr="00A37C70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A24D8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</w:t>
            </w:r>
            <w:r w:rsidRPr="001035FE">
              <w:rPr>
                <w:rFonts w:eastAsia="Times New Roman" w:cs="Times New Roman"/>
                <w:i/>
                <w:szCs w:val="28"/>
                <w:lang w:eastAsia="ru-RU"/>
              </w:rPr>
              <w:t>ункт об основаниях в отказе предоставления субсидии по факту оказания услуги дополнен основанием – отсутствие оплаты по графику погашения просроченной задолженности перед местным бюджетом (пункт 1.5 проекта).</w:t>
            </w:r>
          </w:p>
        </w:tc>
        <w:tc>
          <w:tcPr>
            <w:tcW w:w="2410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137DB0" w:rsidTr="00761BC9">
        <w:trPr>
          <w:cantSplit/>
          <w:trHeight w:val="180"/>
        </w:trPr>
        <w:tc>
          <w:tcPr>
            <w:tcW w:w="3397" w:type="dxa"/>
            <w:vMerge/>
          </w:tcPr>
          <w:p w:rsidR="000A24D8" w:rsidRPr="00A37C70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0A24D8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возможность предусматривать в соглашении на предоставление субсидии случаи возврата неиспользованных остатков субсидии (пункт 1.6 проекта)</w:t>
            </w:r>
          </w:p>
        </w:tc>
        <w:tc>
          <w:tcPr>
            <w:tcW w:w="2410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0A24D8" w:rsidRPr="002F4C27" w:rsidRDefault="000A24D8" w:rsidP="000A24D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827"/>
        <w:gridCol w:w="3827"/>
        <w:gridCol w:w="4111"/>
      </w:tblGrid>
      <w:tr w:rsidR="00816DE4" w:rsidRPr="00137DB0" w:rsidTr="000C0502">
        <w:trPr>
          <w:cantSplit/>
          <w:trHeight w:val="361"/>
        </w:trPr>
        <w:tc>
          <w:tcPr>
            <w:tcW w:w="3256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111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E6575F" w:rsidRPr="00137DB0" w:rsidTr="000C0502">
        <w:tc>
          <w:tcPr>
            <w:tcW w:w="3256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111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A24D8" w:rsidRPr="005039E5" w:rsidTr="000C0502">
        <w:tc>
          <w:tcPr>
            <w:tcW w:w="3256" w:type="dxa"/>
          </w:tcPr>
          <w:p w:rsidR="000A24D8" w:rsidRPr="005039E5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0A24D8" w:rsidRPr="005039E5" w:rsidRDefault="000A24D8" w:rsidP="004E26B0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дату представления документов</w:t>
            </w:r>
            <w:r w:rsidRPr="005039E5">
              <w:rPr>
                <w:i/>
              </w:rPr>
              <w:t xml:space="preserve">, установленную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пунктом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3827" w:type="dxa"/>
          </w:tcPr>
          <w:p w:rsidR="000A24D8" w:rsidRPr="005039E5" w:rsidRDefault="000A24D8" w:rsidP="004E26B0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4. Требования, которым должны соответствовать получатели субсидии </w:t>
            </w:r>
            <w:r w:rsidRPr="005039E5">
              <w:rPr>
                <w:b/>
                <w:i/>
              </w:rPr>
              <w:t>на первое число месяца, в котором представлены документы</w:t>
            </w:r>
            <w:r w:rsidRPr="005039E5">
              <w:rPr>
                <w:i/>
              </w:rPr>
              <w:t xml:space="preserve">, указанные в </w:t>
            </w:r>
            <w:hyperlink w:anchor="sub_1025" w:history="1">
              <w:r w:rsidRPr="005039E5">
                <w:rPr>
                  <w:rStyle w:val="a5"/>
                  <w:rFonts w:cs="Arial"/>
                  <w:b w:val="0"/>
                  <w:i/>
                  <w:color w:val="auto"/>
                </w:rPr>
                <w:t>пункте 5 раздела II</w:t>
              </w:r>
            </w:hyperlink>
            <w:r w:rsidRPr="005039E5">
              <w:rPr>
                <w:i/>
              </w:rPr>
              <w:t xml:space="preserve"> настоящего порядка:</w:t>
            </w:r>
          </w:p>
        </w:tc>
        <w:tc>
          <w:tcPr>
            <w:tcW w:w="4111" w:type="dxa"/>
          </w:tcPr>
          <w:p w:rsidR="000A24D8" w:rsidRPr="004608EA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>котором планируется заключение соглашения о представлении субсидии</w:t>
            </w:r>
          </w:p>
        </w:tc>
      </w:tr>
      <w:tr w:rsidR="000A24D8" w:rsidRPr="005039E5" w:rsidTr="000C0502">
        <w:tc>
          <w:tcPr>
            <w:tcW w:w="3256" w:type="dxa"/>
          </w:tcPr>
          <w:p w:rsidR="000A24D8" w:rsidRPr="005039E5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A24D8" w:rsidRPr="005039E5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</w:t>
            </w:r>
            <w:r w:rsidRPr="005039E5">
              <w:rPr>
                <w:i/>
              </w:rPr>
              <w:lastRenderedPageBreak/>
              <w:t xml:space="preserve">иметь график погашения просроченной задолженности перед местным бюджетом, согласованный </w:t>
            </w:r>
            <w:r w:rsidRPr="005039E5">
              <w:rPr>
                <w:b/>
                <w:i/>
              </w:rPr>
              <w:t>Администрацией города</w:t>
            </w:r>
            <w:r w:rsidRPr="005039E5">
              <w:rPr>
                <w:i/>
              </w:rPr>
              <w:t>;</w:t>
            </w:r>
          </w:p>
        </w:tc>
        <w:tc>
          <w:tcPr>
            <w:tcW w:w="3827" w:type="dxa"/>
          </w:tcPr>
          <w:p w:rsidR="000A24D8" w:rsidRPr="005039E5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9E5">
              <w:rPr>
                <w:i/>
              </w:rPr>
              <w:lastRenderedPageBreak/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</w:t>
            </w:r>
            <w:r w:rsidRPr="005039E5">
              <w:rPr>
                <w:i/>
              </w:rPr>
              <w:lastRenderedPageBreak/>
              <w:t xml:space="preserve">иметь график погашения просроченной задолженности перед местным бюджетом, согласованный </w:t>
            </w:r>
            <w:r>
              <w:rPr>
                <w:b/>
                <w:i/>
              </w:rPr>
              <w:t>главным администратором доходов бюджета</w:t>
            </w:r>
            <w:r w:rsidRPr="005039E5">
              <w:rPr>
                <w:i/>
              </w:rPr>
              <w:t>;</w:t>
            </w:r>
          </w:p>
        </w:tc>
        <w:tc>
          <w:tcPr>
            <w:tcW w:w="4111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0A24D8" w:rsidRPr="005039E5" w:rsidTr="000C0502">
        <w:tc>
          <w:tcPr>
            <w:tcW w:w="3256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первый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A24D8" w:rsidRPr="007A6026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5. Получатели субсидии, имеющие право на получение субсидии, </w:t>
            </w:r>
            <w:r w:rsidRPr="007A6026">
              <w:rPr>
                <w:b/>
                <w:i/>
              </w:rPr>
              <w:t xml:space="preserve">не позднее 10-и рабочих дней до начала </w:t>
            </w:r>
            <w:r>
              <w:rPr>
                <w:b/>
                <w:i/>
              </w:rPr>
              <w:t>осуществления содержания объектов похоронного обслуживания</w:t>
            </w:r>
            <w:r w:rsidRPr="007A6026">
              <w:rPr>
                <w:i/>
              </w:rPr>
              <w:t xml:space="preserve"> письменно обращаются в департамент и представляют следующие документы:</w:t>
            </w:r>
          </w:p>
        </w:tc>
        <w:tc>
          <w:tcPr>
            <w:tcW w:w="3827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5. Получатели субсидии, имеющие право на получение субсидии, письменно обращаются в департамент и представляют следующие документы:</w:t>
            </w:r>
          </w:p>
        </w:tc>
        <w:tc>
          <w:tcPr>
            <w:tcW w:w="4111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5039E5" w:rsidTr="000C0502">
        <w:tc>
          <w:tcPr>
            <w:tcW w:w="3256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третий пункта 5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предварительный расчет размера субсидии.</w:t>
            </w:r>
          </w:p>
        </w:tc>
        <w:tc>
          <w:tcPr>
            <w:tcW w:w="3827" w:type="dxa"/>
          </w:tcPr>
          <w:p w:rsidR="000A24D8" w:rsidRPr="007A6026" w:rsidRDefault="000A24D8" w:rsidP="000A24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предварительный расчет размера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>на период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</w:rPr>
              <w:t>осуществления содержания объектов похоронного обслуживания</w:t>
            </w:r>
            <w:r>
              <w:rPr>
                <w:b/>
                <w:i/>
                <w:szCs w:val="28"/>
              </w:rPr>
              <w:t xml:space="preserve"> </w:t>
            </w:r>
            <w:r w:rsidRPr="000F0FEC">
              <w:rPr>
                <w:b/>
                <w:i/>
                <w:szCs w:val="28"/>
              </w:rPr>
              <w:t>в текущем финансовом году</w:t>
            </w:r>
          </w:p>
        </w:tc>
        <w:tc>
          <w:tcPr>
            <w:tcW w:w="4111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5039E5" w:rsidTr="000C0502">
        <w:tc>
          <w:tcPr>
            <w:tcW w:w="3256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пятый пункта 6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A24D8" w:rsidRPr="007A6026" w:rsidRDefault="000A24D8" w:rsidP="004E26B0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</w:t>
            </w:r>
            <w:r w:rsidRPr="007A6026">
              <w:rPr>
                <w:i/>
              </w:rPr>
              <w:t xml:space="preserve"> уведомлени</w:t>
            </w:r>
            <w:r>
              <w:rPr>
                <w:i/>
              </w:rPr>
              <w:t>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субсидии либо об отказе в предоставлении субсидии</w:t>
            </w:r>
          </w:p>
        </w:tc>
        <w:tc>
          <w:tcPr>
            <w:tcW w:w="3827" w:type="dxa"/>
          </w:tcPr>
          <w:p w:rsidR="000A24D8" w:rsidRPr="007A6026" w:rsidRDefault="000A24D8" w:rsidP="004E26B0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</w:t>
            </w:r>
            <w:r>
              <w:rPr>
                <w:i/>
              </w:rPr>
              <w:t>направляет</w:t>
            </w:r>
            <w:r w:rsidRPr="007A6026">
              <w:rPr>
                <w:i/>
              </w:rPr>
              <w:t xml:space="preserve"> письменны</w:t>
            </w:r>
            <w:r>
              <w:rPr>
                <w:i/>
              </w:rPr>
              <w:t>е</w:t>
            </w:r>
            <w:r w:rsidRPr="007A6026">
              <w:rPr>
                <w:i/>
              </w:rPr>
              <w:t xml:space="preserve"> уведомлени</w:t>
            </w:r>
            <w:r>
              <w:rPr>
                <w:i/>
              </w:rPr>
              <w:t>я</w:t>
            </w:r>
            <w:r w:rsidRPr="007A6026">
              <w:rPr>
                <w:i/>
              </w:rPr>
              <w:t xml:space="preserve"> получателям субсидии о принятии положительного решения о предоставлении субсидии</w:t>
            </w:r>
            <w:r>
              <w:rPr>
                <w:i/>
              </w:rPr>
              <w:t xml:space="preserve"> </w:t>
            </w:r>
            <w:r w:rsidRPr="007A6026">
              <w:rPr>
                <w:b/>
                <w:i/>
                <w:szCs w:val="28"/>
              </w:rPr>
              <w:t>в пределах утвержденных лимитов бюджетных обязательств на текущий финансовый год</w:t>
            </w:r>
            <w:r w:rsidRPr="007A6026">
              <w:rPr>
                <w:i/>
              </w:rPr>
              <w:t xml:space="preserve"> либо об </w:t>
            </w:r>
            <w:r w:rsidRPr="007A6026">
              <w:rPr>
                <w:i/>
              </w:rPr>
              <w:lastRenderedPageBreak/>
              <w:t>отказе в предоставлении субсидии</w:t>
            </w:r>
          </w:p>
        </w:tc>
        <w:tc>
          <w:tcPr>
            <w:tcW w:w="4111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0A24D8" w:rsidRPr="005039E5" w:rsidTr="000C0502">
        <w:tc>
          <w:tcPr>
            <w:tcW w:w="3256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второй пункта 7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0A24D8" w:rsidRPr="007A6026" w:rsidRDefault="000A24D8" w:rsidP="004E26B0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 xml:space="preserve">- предоставление документов позднее срока, установленного в </w:t>
            </w:r>
            <w:hyperlink w:anchor="sub_1025" w:history="1">
              <w:r w:rsidRPr="007A6026">
                <w:rPr>
                  <w:rStyle w:val="a5"/>
                  <w:rFonts w:cs="Arial"/>
                  <w:b w:val="0"/>
                  <w:i/>
                  <w:color w:val="auto"/>
                </w:rPr>
                <w:t>пунктах 5</w:t>
              </w:r>
            </w:hyperlink>
            <w:r w:rsidRPr="00FE3FC1">
              <w:rPr>
                <w:i/>
              </w:rPr>
              <w:t>, 8</w:t>
            </w:r>
            <w:r>
              <w:rPr>
                <w:i/>
              </w:rPr>
              <w:t xml:space="preserve"> </w:t>
            </w:r>
            <w:r w:rsidRPr="007A6026">
              <w:rPr>
                <w:i/>
              </w:rPr>
              <w:t>настоящего порядка;</w:t>
            </w:r>
          </w:p>
        </w:tc>
        <w:tc>
          <w:tcPr>
            <w:tcW w:w="3827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4111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5039E5" w:rsidTr="000C0502">
        <w:tc>
          <w:tcPr>
            <w:tcW w:w="3256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шестой пункта 7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7A602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0A24D8" w:rsidRPr="007A6026" w:rsidRDefault="000A24D8" w:rsidP="004E26B0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i/>
              </w:rPr>
              <w:t>- превышение предварительного расчета объема субсидии утвержденных лимитов бюджетных обязательств;</w:t>
            </w:r>
          </w:p>
        </w:tc>
        <w:tc>
          <w:tcPr>
            <w:tcW w:w="3827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4111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5039E5" w:rsidTr="000C0502">
        <w:tc>
          <w:tcPr>
            <w:tcW w:w="3256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16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0A24D8" w:rsidRPr="007A6026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7A6026">
              <w:rPr>
                <w:rFonts w:cs="Times New Roman"/>
                <w:i/>
                <w:szCs w:val="28"/>
              </w:rPr>
              <w:t>- отсутствие оплаты по графику погашения просроченной задолженности перед местным бюджетом</w:t>
            </w:r>
          </w:p>
        </w:tc>
        <w:tc>
          <w:tcPr>
            <w:tcW w:w="4111" w:type="dxa"/>
          </w:tcPr>
          <w:p w:rsidR="000A24D8" w:rsidRPr="005039E5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A24D8" w:rsidRPr="005039E5" w:rsidTr="000C0502">
        <w:tc>
          <w:tcPr>
            <w:tcW w:w="3256" w:type="dxa"/>
          </w:tcPr>
          <w:p w:rsidR="000A24D8" w:rsidRPr="00CA31EC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подпункта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0A24D8" w:rsidRPr="004235CE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>В течение 10-и банковских дней с момента получения уведомления, направленного д</w:t>
            </w:r>
            <w:r>
              <w:rPr>
                <w:i/>
              </w:rPr>
              <w:t>епартаментом</w:t>
            </w:r>
            <w:r w:rsidRPr="004235CE">
              <w:rPr>
                <w:i/>
              </w:rPr>
              <w:t xml:space="preserve">, получатель субсидии осуществляет возврат остатков субсидии, не использованной в отчетном финансовом году, </w:t>
            </w:r>
            <w:r w:rsidRPr="004235CE">
              <w:rPr>
                <w:b/>
                <w:i/>
              </w:rPr>
              <w:t>в случаях, предусмотренных соглашением о предоставлении субсидии</w:t>
            </w:r>
          </w:p>
        </w:tc>
        <w:tc>
          <w:tcPr>
            <w:tcW w:w="3827" w:type="dxa"/>
          </w:tcPr>
          <w:p w:rsidR="000A24D8" w:rsidRPr="00CA31EC" w:rsidRDefault="000A24D8" w:rsidP="004E26B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>В течение 10-и банковских дней с момента получения уведомления, направленного д</w:t>
            </w:r>
            <w:r>
              <w:rPr>
                <w:i/>
              </w:rPr>
              <w:t>епартаментом</w:t>
            </w:r>
            <w:r w:rsidRPr="004235CE">
              <w:rPr>
                <w:i/>
              </w:rPr>
              <w:t>, получатель субсидии осуществляет возврат остатков субсидии, не использованной в отчетном финансовом году</w:t>
            </w:r>
          </w:p>
        </w:tc>
        <w:tc>
          <w:tcPr>
            <w:tcW w:w="4111" w:type="dxa"/>
          </w:tcPr>
          <w:p w:rsidR="000A24D8" w:rsidRPr="00CA31EC" w:rsidRDefault="000A24D8" w:rsidP="004E26B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C0502" w:rsidRPr="00137DB0" w:rsidTr="000C0502">
        <w:tc>
          <w:tcPr>
            <w:tcW w:w="3256" w:type="dxa"/>
          </w:tcPr>
          <w:p w:rsidR="000C0502" w:rsidRPr="00A37C70" w:rsidRDefault="000C0502" w:rsidP="000C0502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0C0502" w:rsidRPr="00B30120" w:rsidRDefault="000C0502" w:rsidP="000C050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территории города </w:t>
            </w:r>
            <w:r>
              <w:rPr>
                <w:i/>
              </w:rPr>
              <w:lastRenderedPageBreak/>
              <w:t xml:space="preserve">Сургута, соответствующие критериям отбора получателей субсидии и выполняющие работы (оказывающие услуги) по содержанию объектов похоронного обслуживания (2017-2020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 -1 адресат)</w:t>
            </w:r>
          </w:p>
        </w:tc>
        <w:tc>
          <w:tcPr>
            <w:tcW w:w="3827" w:type="dxa"/>
          </w:tcPr>
          <w:p w:rsidR="000C0502" w:rsidRPr="00B30120" w:rsidRDefault="000C0502" w:rsidP="000C050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территории города </w:t>
            </w:r>
            <w:r>
              <w:rPr>
                <w:i/>
              </w:rPr>
              <w:lastRenderedPageBreak/>
              <w:t xml:space="preserve">Сургута, соответствующие критериям отбора получателей субсидии и выполняющие работы (оказывающие услуги) по содержанию объектов похоронного обслуживания (2017-2020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 -1 адресат)</w:t>
            </w:r>
          </w:p>
        </w:tc>
        <w:tc>
          <w:tcPr>
            <w:tcW w:w="4111" w:type="dxa"/>
          </w:tcPr>
          <w:p w:rsidR="000C0502" w:rsidRPr="00B30120" w:rsidRDefault="000C0502" w:rsidP="000C050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</w:t>
            </w:r>
            <w:r>
              <w:rPr>
                <w:i/>
              </w:rPr>
              <w:lastRenderedPageBreak/>
              <w:t xml:space="preserve">ритории города Сургута, соответствующие критериям отбора получателей субсидии и выполняющие работы (оказывающие услуги) по содержанию объектов похоронного обслуживания (2017-2020 </w:t>
            </w:r>
            <w:proofErr w:type="spellStart"/>
            <w:r>
              <w:rPr>
                <w:i/>
              </w:rPr>
              <w:t>г.г</w:t>
            </w:r>
            <w:proofErr w:type="spellEnd"/>
            <w:r>
              <w:rPr>
                <w:i/>
              </w:rPr>
              <w:t>. -1 адресат)</w:t>
            </w:r>
          </w:p>
        </w:tc>
      </w:tr>
      <w:tr w:rsidR="000C0502" w:rsidRPr="00137DB0" w:rsidTr="000C0502">
        <w:tc>
          <w:tcPr>
            <w:tcW w:w="3256" w:type="dxa"/>
          </w:tcPr>
          <w:p w:rsidR="000C0502" w:rsidRPr="00A37C70" w:rsidRDefault="000C0502" w:rsidP="000C0502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0C0502" w:rsidRPr="00137DB0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0C0502" w:rsidRPr="0063180D" w:rsidRDefault="000C0502" w:rsidP="000C050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субсидии не устанавливает дополнительных расходов </w:t>
            </w:r>
          </w:p>
        </w:tc>
        <w:tc>
          <w:tcPr>
            <w:tcW w:w="4111" w:type="dxa"/>
          </w:tcPr>
          <w:p w:rsidR="000C0502" w:rsidRPr="00137DB0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C0502" w:rsidRPr="00137DB0" w:rsidTr="000C0502">
        <w:tc>
          <w:tcPr>
            <w:tcW w:w="3256" w:type="dxa"/>
          </w:tcPr>
          <w:p w:rsidR="000C0502" w:rsidRPr="00A37C70" w:rsidRDefault="000C0502" w:rsidP="000C0502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0C0502" w:rsidRPr="00137DB0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0C0502" w:rsidRPr="0063180D" w:rsidRDefault="000C0502" w:rsidP="000C050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4111" w:type="dxa"/>
          </w:tcPr>
          <w:p w:rsidR="000C0502" w:rsidRPr="00137DB0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C0502" w:rsidRPr="00137DB0" w:rsidTr="000C0502">
        <w:tc>
          <w:tcPr>
            <w:tcW w:w="3256" w:type="dxa"/>
          </w:tcPr>
          <w:p w:rsidR="000C0502" w:rsidRPr="00E6575F" w:rsidRDefault="000C0502" w:rsidP="000C0502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</w:p>
          <w:p w:rsidR="000C0502" w:rsidRDefault="000C0502" w:rsidP="000C0502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827" w:type="dxa"/>
          </w:tcPr>
          <w:p w:rsidR="000C0502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0C0502" w:rsidRPr="0073019A" w:rsidRDefault="000C0502" w:rsidP="000C0502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4111" w:type="dxa"/>
          </w:tcPr>
          <w:p w:rsidR="000C0502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0C0502" w:rsidRPr="00137DB0" w:rsidTr="000C0502">
        <w:tc>
          <w:tcPr>
            <w:tcW w:w="3256" w:type="dxa"/>
          </w:tcPr>
          <w:p w:rsidR="000C0502" w:rsidRPr="00A37C70" w:rsidRDefault="000C0502" w:rsidP="000C0502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0C0502" w:rsidRPr="004235CE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7" w:type="dxa"/>
          </w:tcPr>
          <w:p w:rsidR="000C0502" w:rsidRPr="0073019A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4111" w:type="dxa"/>
          </w:tcPr>
          <w:p w:rsidR="000C0502" w:rsidRPr="0073019A" w:rsidRDefault="000C0502" w:rsidP="000C050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 xml:space="preserve">так как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816DE4" w:rsidRDefault="00816DE4" w:rsidP="000C0502">
      <w:pPr>
        <w:autoSpaceDE w:val="0"/>
        <w:autoSpaceDN w:val="0"/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правового регулирования, а также </w:t>
      </w:r>
      <w:r w:rsidRPr="00F653D4">
        <w:rPr>
          <w:i/>
        </w:rPr>
        <w:t>направлен</w:t>
      </w:r>
      <w:r>
        <w:rPr>
          <w:i/>
        </w:rPr>
        <w:t xml:space="preserve"> на снижение административных барьеров для получателей субсидии</w:t>
      </w:r>
    </w:p>
    <w:p w:rsidR="000C0502" w:rsidRDefault="000C0502" w:rsidP="000C0502">
      <w:pPr>
        <w:autoSpaceDE w:val="0"/>
        <w:autoSpaceDN w:val="0"/>
      </w:pPr>
    </w:p>
    <w:p w:rsidR="000C0502" w:rsidRPr="00A37C70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B07A22">
        <w:rPr>
          <w:rFonts w:eastAsia="Times New Roman" w:cs="Times New Roman"/>
          <w:szCs w:val="28"/>
          <w:lang w:eastAsia="ru-RU"/>
        </w:rPr>
        <w:t xml:space="preserve"> Свод</w:t>
      </w:r>
      <w:proofErr w:type="gramEnd"/>
      <w:r w:rsidRPr="00B07A22">
        <w:rPr>
          <w:rFonts w:eastAsia="Times New Roman" w:cs="Times New Roman"/>
          <w:szCs w:val="28"/>
          <w:lang w:eastAsia="ru-RU"/>
        </w:rPr>
        <w:t xml:space="preserve"> предложений о результатах публичных консультаций.</w:t>
      </w:r>
      <w:bookmarkEnd w:id="0"/>
      <w:bookmarkEnd w:id="1"/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427F43" w:rsidRDefault="00427F43" w:rsidP="000C0502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0C0502" w:rsidRDefault="000C0502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Дмитриева Наталья Александровна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тел.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(3462) 52-45-35</w:t>
      </w:r>
      <w:bookmarkStart w:id="2" w:name="_GoBack"/>
      <w:bookmarkEnd w:id="2"/>
    </w:p>
    <w:p w:rsidR="00F8502C" w:rsidRPr="00E93355" w:rsidRDefault="00E93355" w:rsidP="000C0502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E93355">
        <w:rPr>
          <w:rFonts w:eastAsia="Times New Roman" w:cs="Times New Roman"/>
          <w:sz w:val="20"/>
          <w:szCs w:val="20"/>
          <w:lang w:eastAsia="ru-RU"/>
        </w:rPr>
        <w:t>Турчанова Ирина Николаевна</w:t>
      </w:r>
      <w:r w:rsidR="00427F43">
        <w:rPr>
          <w:rFonts w:eastAsia="Times New Roman" w:cs="Times New Roman"/>
          <w:sz w:val="20"/>
          <w:szCs w:val="20"/>
          <w:lang w:eastAsia="ru-RU"/>
        </w:rPr>
        <w:t>: т</w:t>
      </w:r>
      <w:r w:rsidR="00F8502C">
        <w:rPr>
          <w:rFonts w:eastAsia="Times New Roman" w:cs="Times New Roman"/>
          <w:sz w:val="20"/>
          <w:szCs w:val="20"/>
          <w:lang w:eastAsia="ru-RU"/>
        </w:rPr>
        <w:t>ел.(3462)52-44-08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62" w:rsidRDefault="00EE6862" w:rsidP="00920526">
      <w:r>
        <w:separator/>
      </w:r>
    </w:p>
  </w:endnote>
  <w:endnote w:type="continuationSeparator" w:id="0">
    <w:p w:rsidR="00EE6862" w:rsidRDefault="00EE686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62" w:rsidRDefault="00EE6862" w:rsidP="00920526">
      <w:r>
        <w:separator/>
      </w:r>
    </w:p>
  </w:footnote>
  <w:footnote w:type="continuationSeparator" w:id="0">
    <w:p w:rsidR="00EE6862" w:rsidRDefault="00EE686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0502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FE"/>
    <w:rsid w:val="000220A9"/>
    <w:rsid w:val="00032B5B"/>
    <w:rsid w:val="00035014"/>
    <w:rsid w:val="00066C05"/>
    <w:rsid w:val="000811FE"/>
    <w:rsid w:val="0008606E"/>
    <w:rsid w:val="000A24D8"/>
    <w:rsid w:val="000A3F59"/>
    <w:rsid w:val="000C0502"/>
    <w:rsid w:val="000D0E2C"/>
    <w:rsid w:val="000D2CD9"/>
    <w:rsid w:val="001242F0"/>
    <w:rsid w:val="00137DB0"/>
    <w:rsid w:val="00167346"/>
    <w:rsid w:val="0018150E"/>
    <w:rsid w:val="001F2F17"/>
    <w:rsid w:val="0020654D"/>
    <w:rsid w:val="00212186"/>
    <w:rsid w:val="00277B88"/>
    <w:rsid w:val="002B2247"/>
    <w:rsid w:val="002B59B3"/>
    <w:rsid w:val="002C6739"/>
    <w:rsid w:val="002D7E5B"/>
    <w:rsid w:val="002E4B2B"/>
    <w:rsid w:val="002F1761"/>
    <w:rsid w:val="002F35CB"/>
    <w:rsid w:val="002F4C27"/>
    <w:rsid w:val="002F615C"/>
    <w:rsid w:val="00305BC1"/>
    <w:rsid w:val="00337E21"/>
    <w:rsid w:val="0036302F"/>
    <w:rsid w:val="00391B9F"/>
    <w:rsid w:val="00394E47"/>
    <w:rsid w:val="00397000"/>
    <w:rsid w:val="003B08EC"/>
    <w:rsid w:val="00401A91"/>
    <w:rsid w:val="00427F43"/>
    <w:rsid w:val="004326D5"/>
    <w:rsid w:val="0045463B"/>
    <w:rsid w:val="00477F1E"/>
    <w:rsid w:val="004839CD"/>
    <w:rsid w:val="004C577C"/>
    <w:rsid w:val="004E72A7"/>
    <w:rsid w:val="00522595"/>
    <w:rsid w:val="00530229"/>
    <w:rsid w:val="00560952"/>
    <w:rsid w:val="00583180"/>
    <w:rsid w:val="00590602"/>
    <w:rsid w:val="005A48F4"/>
    <w:rsid w:val="005B41CD"/>
    <w:rsid w:val="005E3F53"/>
    <w:rsid w:val="00622F51"/>
    <w:rsid w:val="00691BC6"/>
    <w:rsid w:val="006B51D9"/>
    <w:rsid w:val="006C4397"/>
    <w:rsid w:val="006E30BE"/>
    <w:rsid w:val="00704649"/>
    <w:rsid w:val="00722F8C"/>
    <w:rsid w:val="0073019A"/>
    <w:rsid w:val="00761BC9"/>
    <w:rsid w:val="0079418C"/>
    <w:rsid w:val="00794F66"/>
    <w:rsid w:val="007F436E"/>
    <w:rsid w:val="008016AB"/>
    <w:rsid w:val="008052F1"/>
    <w:rsid w:val="00816DE4"/>
    <w:rsid w:val="008356CA"/>
    <w:rsid w:val="008566DE"/>
    <w:rsid w:val="0089361D"/>
    <w:rsid w:val="008944F1"/>
    <w:rsid w:val="00920526"/>
    <w:rsid w:val="00930716"/>
    <w:rsid w:val="009D7DAB"/>
    <w:rsid w:val="009E7913"/>
    <w:rsid w:val="009F133B"/>
    <w:rsid w:val="00A14A67"/>
    <w:rsid w:val="00A37C70"/>
    <w:rsid w:val="00A439B0"/>
    <w:rsid w:val="00A4605B"/>
    <w:rsid w:val="00A72E5E"/>
    <w:rsid w:val="00A9160C"/>
    <w:rsid w:val="00AB10C9"/>
    <w:rsid w:val="00AD2596"/>
    <w:rsid w:val="00AE0D70"/>
    <w:rsid w:val="00AE59E5"/>
    <w:rsid w:val="00AF2CC5"/>
    <w:rsid w:val="00AF687E"/>
    <w:rsid w:val="00B14BBB"/>
    <w:rsid w:val="00B34AFD"/>
    <w:rsid w:val="00B42711"/>
    <w:rsid w:val="00B836E8"/>
    <w:rsid w:val="00BA0B22"/>
    <w:rsid w:val="00BA3E66"/>
    <w:rsid w:val="00BB6CA8"/>
    <w:rsid w:val="00BD5C2A"/>
    <w:rsid w:val="00C01CF0"/>
    <w:rsid w:val="00C64627"/>
    <w:rsid w:val="00C67205"/>
    <w:rsid w:val="00C96A55"/>
    <w:rsid w:val="00CE6834"/>
    <w:rsid w:val="00D71243"/>
    <w:rsid w:val="00D8404F"/>
    <w:rsid w:val="00D87F32"/>
    <w:rsid w:val="00DE196C"/>
    <w:rsid w:val="00E030CB"/>
    <w:rsid w:val="00E328F6"/>
    <w:rsid w:val="00E51358"/>
    <w:rsid w:val="00E6575F"/>
    <w:rsid w:val="00E93355"/>
    <w:rsid w:val="00E956DA"/>
    <w:rsid w:val="00EA0146"/>
    <w:rsid w:val="00EA12B7"/>
    <w:rsid w:val="00EB40FE"/>
    <w:rsid w:val="00EE6862"/>
    <w:rsid w:val="00EF627A"/>
    <w:rsid w:val="00F0204D"/>
    <w:rsid w:val="00F10A47"/>
    <w:rsid w:val="00F8502C"/>
    <w:rsid w:val="00F85855"/>
    <w:rsid w:val="00FB697D"/>
    <w:rsid w:val="00FC3556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13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44</cp:revision>
  <cp:lastPrinted>2017-10-31T03:57:00Z</cp:lastPrinted>
  <dcterms:created xsi:type="dcterms:W3CDTF">2017-10-18T09:15:00Z</dcterms:created>
  <dcterms:modified xsi:type="dcterms:W3CDTF">2017-11-13T11:58:00Z</dcterms:modified>
</cp:coreProperties>
</file>