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3" w:rsidRPr="002E1AE2" w:rsidRDefault="00047033" w:rsidP="0004703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Сводный </w:t>
      </w:r>
      <w:r w:rsidRPr="002E1AE2">
        <w:rPr>
          <w:rFonts w:ascii="Times New Roman" w:hAnsi="Times New Roman"/>
          <w:b w:val="0"/>
          <w:sz w:val="28"/>
          <w:szCs w:val="28"/>
        </w:rPr>
        <w:t xml:space="preserve">отчет </w:t>
      </w:r>
      <w:r w:rsidRPr="002E1AE2">
        <w:rPr>
          <w:rFonts w:ascii="Times New Roman" w:hAnsi="Times New Roman"/>
          <w:b w:val="0"/>
          <w:sz w:val="28"/>
          <w:szCs w:val="28"/>
        </w:rPr>
        <w:br/>
        <w:t>об оценке фактического воздействия действующего муниципального нормативного правового акта</w:t>
      </w:r>
    </w:p>
    <w:p w:rsidR="00047033" w:rsidRPr="002E1AE2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rPr>
          <w:trHeight w:val="130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047033" w:rsidRDefault="00047033" w:rsidP="000F2B2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033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Структурное подразделение, муниципальное учреждение ответственное за проведение оценки фактического воздействия</w:t>
            </w:r>
          </w:p>
          <w:p w:rsidR="00047033" w:rsidRPr="00FB3DC2" w:rsidRDefault="00FB3DC2" w:rsidP="00FB3DC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 Администрации города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Вид и наименование действующего муниципального нормативного правового акта: </w:t>
            </w:r>
          </w:p>
          <w:p w:rsidR="00047033" w:rsidRDefault="00FB3DC2" w:rsidP="00CE5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  <w:proofErr w:type="gramEnd"/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от </w:t>
            </w:r>
            <w:r w:rsidR="00CE5F7C" w:rsidRPr="008420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освещения»</w:t>
            </w:r>
            <w:r w:rsidR="00CE5F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редакции от 01.08.2017 № </w:t>
            </w:r>
            <w:r w:rsidR="00CE5F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6852</w:t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2" w:rsidRDefault="00047033" w:rsidP="00FB3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Основание для проведения оценки фактического воздействия муниципального нормативного правового акта: </w:t>
            </w:r>
          </w:p>
          <w:p w:rsidR="00047033" w:rsidRPr="00FB3DC2" w:rsidRDefault="00FB3DC2" w:rsidP="00FB3D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Распоряжение Администрации города от 24.08.2016 № 43 «Об утверждении плана проведения оценки фактического воздействия действующих муниципальных нормативных правовых актов» (в редакции от 17.07.2017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№ 20)</w:t>
            </w:r>
          </w:p>
        </w:tc>
      </w:tr>
      <w:tr w:rsidR="00047033" w:rsidRPr="002E1AE2" w:rsidTr="000F2B20">
        <w:trPr>
          <w:trHeight w:val="376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Контактная информация ответственного лица структурного подразделения, муниципального учреждения в соответствии с планом проведения оценки фактического воздействия действующих муниципальных нормативных правовых актов и (или) Классификатором муниципальных правовых актов города: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Дмитриева Наталья Александровна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начальника отдела финансово-экономического планирования департамента городского хозяйства Администрации города Сургута</w:t>
            </w:r>
            <w:r w:rsidR="00FB3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DC2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(3462) 52-45-35</w:t>
            </w:r>
          </w:p>
          <w:p w:rsidR="00047033" w:rsidRDefault="00047033" w:rsidP="00FB3DC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FB3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dmitrieva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2@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FB3DC2" w:rsidRPr="00FB3DC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71040" w:rsidRDefault="00471040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достижения заявленных целей правового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047033" w:rsidRPr="002E1AE2" w:rsidTr="000F2B2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Цели действующего правового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B761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Анализ достижения цели правового регулирования на данном этапе (в соответствии</w:t>
            </w:r>
            <w:r w:rsidR="00B7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показателями, предусмотренными в отчете об ОРВ или экспертизе):</w:t>
            </w:r>
          </w:p>
        </w:tc>
      </w:tr>
      <w:tr w:rsidR="00047033" w:rsidRPr="002E1AE2" w:rsidTr="000567A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3" w:rsidRPr="000567A7" w:rsidRDefault="000567A7" w:rsidP="00785FA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Надлежащее содержание муниципального и бесхозяйного имущества, находящегося у получателя субсидии на </w:t>
            </w:r>
            <w:r w:rsidR="004220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праве собственности </w:t>
            </w:r>
            <w:r w:rsidR="00785FA6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="004220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законных основаниях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33" w:rsidRPr="00785FA6" w:rsidRDefault="00785FA6" w:rsidP="000F2B2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жалоб населения в части освещенности в темное время суток</w:t>
            </w:r>
          </w:p>
        </w:tc>
      </w:tr>
      <w:tr w:rsidR="00047033" w:rsidRPr="002E1AE2" w:rsidTr="000F2B2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CE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и муниципальных программах:</w:t>
            </w:r>
            <w:r w:rsidR="00B7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F7C" w:rsidRPr="00B74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r w:rsidR="00CE5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правового регулирования соответствует цели подпрограммы «Дорожное хозяйство» муниципальной программы «Развитие транспортной системы города Сургута на 2014-2030 годы» - </w:t>
            </w:r>
            <w:r w:rsidR="00CE5F7C" w:rsidRPr="006F4CD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соответствия технического состояния автомобильных дорог нормативным требованиям, создание условий безопасной эксплуатации автомобильных дорог общего пользования местного значения, обеспечение их надлежащего санитарного состояния</w:t>
            </w:r>
            <w:r w:rsidR="00CE5F7C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>, что соответствует</w:t>
            </w:r>
            <w:r w:rsidR="00CE5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стратегической цели</w:t>
            </w:r>
            <w:r w:rsidR="00CE5F7C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вектор</w:t>
            </w:r>
            <w:r w:rsidR="00CE5F7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E5F7C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CE5F7C">
              <w:rPr>
                <w:rFonts w:ascii="Times New Roman" w:hAnsi="Times New Roman" w:cs="Times New Roman"/>
                <w:i/>
                <w:sz w:val="28"/>
                <w:szCs w:val="28"/>
              </w:rPr>
              <w:t>ЖКХ</w:t>
            </w:r>
            <w:r w:rsidR="00CE5F7C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>» направления</w:t>
            </w:r>
            <w:r w:rsidR="00CE5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социально-экономического развития города</w:t>
            </w:r>
            <w:r w:rsidR="00CE5F7C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CE5F7C">
              <w:rPr>
                <w:rFonts w:ascii="Times New Roman" w:hAnsi="Times New Roman" w:cs="Times New Roman"/>
                <w:i/>
                <w:sz w:val="28"/>
                <w:szCs w:val="28"/>
              </w:rPr>
              <w:t>Жизнеобеспечение</w:t>
            </w:r>
            <w:r w:rsidR="00CE5F7C"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E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и оценка фактических положительных и отрицательных последствий принятия муниципального нормативного правового акта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Сектор экономики, группа субъектов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инвестиционной деятельности, территория воздействия:</w:t>
            </w:r>
          </w:p>
          <w:p w:rsidR="00047033" w:rsidRPr="00CE5F7C" w:rsidRDefault="00CE5F7C" w:rsidP="00B76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Юридические лица, индивидуальные предприниматели, осуществляющие свою деятельность на территории города, имеющие на праве собственности </w:t>
            </w:r>
            <w:r w:rsidRPr="00CE5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или иных законных основаниях муниципальные и бесхозяйные линии уличного освещения и выполняющие работы (оказывающие) услуги по содержанию </w:t>
            </w:r>
            <w:r w:rsidRPr="00CE5F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капитальному ремонту муниципальных и бесхозяйных линий уличного освещения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деятельности) (в сравнении с отчетом об ОРВ или экспертизе):</w:t>
            </w:r>
          </w:p>
          <w:p w:rsidR="00CE5F7C" w:rsidRDefault="00CE5F7C" w:rsidP="00CE5F7C">
            <w:pPr>
              <w:widowControl/>
              <w:tabs>
                <w:tab w:val="right" w:pos="9923"/>
              </w:tabs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устанавливает </w:t>
            </w:r>
            <w:r w:rsidRPr="008420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условия и механизм предоставления субсидии на финансовое обеспечение (возмещение) затрат по содержанию и капитальному ремонту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линий уличного освещения</w:t>
            </w:r>
            <w:r w:rsidR="00454A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7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1040" w:rsidRDefault="00CE5F7C" w:rsidP="00CE5F7C">
            <w:pPr>
              <w:widowControl/>
              <w:tabs>
                <w:tab w:val="right" w:pos="9923"/>
              </w:tabs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710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F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Получателю субсидии возмещаются фактические затраты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содержанию линий уличного освещения</w:t>
            </w:r>
            <w:r w:rsidR="009F6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размере 100%.</w:t>
            </w:r>
            <w:r w:rsidR="00634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97E55" w:rsidRPr="00A97E55" w:rsidRDefault="00CE5F7C" w:rsidP="00CE5F7C">
            <w:pPr>
              <w:pStyle w:val="a3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710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Объем бюджетных средств, направляемый на предоставление субсидии </w:t>
            </w:r>
            <w:r w:rsidR="0047104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«на возмещение затрат», меньше объема бюджетных средств, направляемых на выполнение работ в рамках Федерального закона № 44-ФЗ, на сумму </w:t>
            </w:r>
            <w:r w:rsidR="00634B0A" w:rsidRPr="00381F48">
              <w:rPr>
                <w:rFonts w:ascii="Times New Roman" w:hAnsi="Times New Roman" w:cs="Times New Roman"/>
                <w:i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частично (на приобретаемые товары, работы, услуги НДС возмещается за счет средств бюджета)</w:t>
            </w:r>
            <w:r w:rsidR="004710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B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Оценка суммы фактических расходов (доходов) субъектов предпринимательской и иной экономической деятельности от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обязанностей, запретов и ограничений:</w:t>
            </w:r>
            <w:r w:rsidR="00D6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9EA" w:rsidRPr="00D616CB" w:rsidRDefault="00D616CB" w:rsidP="00260560">
            <w:pPr>
              <w:pStyle w:val="a3"/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616CB">
              <w:rPr>
                <w:rFonts w:ascii="Times New Roman" w:hAnsi="Times New Roman" w:cs="Times New Roman"/>
                <w:i/>
                <w:sz w:val="28"/>
                <w:szCs w:val="28"/>
              </w:rPr>
              <w:t>асходы</w:t>
            </w:r>
            <w:proofErr w:type="gramEnd"/>
            <w:r w:rsidRPr="00D61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составляют </w:t>
            </w:r>
            <w:r w:rsidR="00F90F65">
              <w:rPr>
                <w:rFonts w:ascii="Times New Roman" w:hAnsi="Times New Roman" w:cs="Times New Roman"/>
                <w:i/>
                <w:sz w:val="28"/>
                <w:szCs w:val="28"/>
              </w:rPr>
              <w:t>40 677,76</w:t>
            </w:r>
            <w:r w:rsidRPr="00D61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  <w:r w:rsidR="00260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год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Оценка суммы фактических расходов (доходов) местного бюджета:</w:t>
            </w:r>
          </w:p>
          <w:p w:rsidR="00B761E4" w:rsidRPr="00B761E4" w:rsidRDefault="00B761E4" w:rsidP="002605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761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пределах утвержденных лимитов бюджетных обязательств</w:t>
            </w:r>
            <w:r w:rsidR="00D61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2017 г. – </w:t>
            </w:r>
            <w:r w:rsidR="00F90F65">
              <w:rPr>
                <w:rFonts w:ascii="Times New Roman" w:hAnsi="Times New Roman" w:cs="Times New Roman"/>
                <w:i/>
                <w:sz w:val="28"/>
                <w:szCs w:val="28"/>
              </w:rPr>
              <w:t>80 976 922 руб.</w:t>
            </w:r>
            <w:bookmarkStart w:id="0" w:name="_GoBack"/>
            <w:bookmarkEnd w:id="0"/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оценки фактического воздействия действующего муниципального нормативного правового акта и публичных 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 Выявленные факты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 целей правового регулирования (с указанием причин), выявленные фактические отрицательные последствия принятия муниципального нормативного правового акта, в том числе положения, необоснованно затрудняющие ведение предпринимательской и инвестиционной деятельности (при их наличии), и мотивированная позиция структурного подразделения, муниципального учреждения относительно данных фактов и последствий:</w:t>
            </w:r>
          </w:p>
          <w:p w:rsidR="00047033" w:rsidRPr="00454AA1" w:rsidRDefault="00454AA1" w:rsidP="000F2B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Количество замечаний и предложений, полученных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размещением уведомления о проведении публичной консультации:</w:t>
            </w:r>
          </w:p>
          <w:p w:rsidR="00047033" w:rsidRPr="00454AA1" w:rsidRDefault="00454AA1" w:rsidP="000F2B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A1" w:rsidRDefault="00047033" w:rsidP="00454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Сведения о принятых предложениях (в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учету при внесении очередных изменений в правовой акт) и мотивированно отклоненных предложениях:</w:t>
            </w:r>
          </w:p>
          <w:p w:rsidR="00047033" w:rsidRDefault="00454AA1" w:rsidP="0045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отсутствуют</w:t>
            </w:r>
          </w:p>
        </w:tc>
      </w:tr>
      <w:tr w:rsidR="00047033" w:rsidRPr="002E1AE2" w:rsidTr="000F2B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3" w:rsidRDefault="00047033" w:rsidP="000F2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Предложения, направленные на достижение заявленных целей правового регулирования, устранение (уменьшение) выявленных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фактических  отрицательных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принятия муниципального нормативного правового актам:</w:t>
            </w:r>
          </w:p>
          <w:p w:rsidR="00047033" w:rsidRPr="00454AA1" w:rsidRDefault="00454AA1" w:rsidP="000F2B2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proofErr w:type="gramEnd"/>
          </w:p>
        </w:tc>
      </w:tr>
    </w:tbl>
    <w:p w:rsidR="00047033" w:rsidRDefault="00047033" w:rsidP="00047033">
      <w:pPr>
        <w:rPr>
          <w:rFonts w:ascii="Times New Roman" w:hAnsi="Times New Roman" w:cs="Times New Roman"/>
          <w:sz w:val="28"/>
          <w:szCs w:val="28"/>
        </w:rPr>
      </w:pPr>
    </w:p>
    <w:p w:rsidR="00047033" w:rsidRPr="00B930FD" w:rsidRDefault="00047033" w:rsidP="00047033">
      <w:pPr>
        <w:widowControl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047033" w:rsidRDefault="00047033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0FD">
        <w:rPr>
          <w:rFonts w:ascii="Times New Roman" w:hAnsi="Times New Roman" w:cs="Times New Roman"/>
          <w:sz w:val="28"/>
          <w:szCs w:val="28"/>
        </w:rPr>
        <w:t>: </w:t>
      </w:r>
    </w:p>
    <w:p w:rsidR="00047033" w:rsidRDefault="00D616CB" w:rsidP="00D616CB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7033" w:rsidRPr="0071443F">
        <w:rPr>
          <w:rFonts w:ascii="Times New Roman" w:hAnsi="Times New Roman" w:cs="Times New Roman"/>
          <w:sz w:val="28"/>
          <w:szCs w:val="28"/>
        </w:rPr>
        <w:t>асчет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4 л. в 1 экз.</w:t>
      </w:r>
      <w:r w:rsidR="00047033">
        <w:rPr>
          <w:rFonts w:ascii="Times New Roman" w:hAnsi="Times New Roman" w:cs="Times New Roman"/>
          <w:sz w:val="28"/>
          <w:szCs w:val="28"/>
        </w:rPr>
        <w:t>;</w:t>
      </w:r>
    </w:p>
    <w:p w:rsidR="00047033" w:rsidRDefault="00D616CB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7033" w:rsidRPr="00B930FD">
        <w:rPr>
          <w:rFonts w:ascii="Times New Roman" w:hAnsi="Times New Roman" w:cs="Times New Roman"/>
          <w:sz w:val="28"/>
          <w:szCs w:val="28"/>
        </w:rPr>
        <w:t>вод предложений о результатах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на </w:t>
      </w:r>
      <w:r w:rsidR="00260560">
        <w:rPr>
          <w:rFonts w:ascii="Times New Roman" w:hAnsi="Times New Roman" w:cs="Times New Roman"/>
          <w:sz w:val="28"/>
          <w:szCs w:val="28"/>
        </w:rPr>
        <w:t>4</w:t>
      </w:r>
      <w:r w:rsidR="00F35DA4">
        <w:rPr>
          <w:rFonts w:ascii="Times New Roman" w:hAnsi="Times New Roman" w:cs="Times New Roman"/>
          <w:sz w:val="28"/>
          <w:szCs w:val="28"/>
        </w:rPr>
        <w:t xml:space="preserve"> л. в 1 экз</w:t>
      </w:r>
      <w:r w:rsidR="00047033">
        <w:rPr>
          <w:rFonts w:ascii="Times New Roman" w:hAnsi="Times New Roman" w:cs="Times New Roman"/>
          <w:sz w:val="28"/>
          <w:szCs w:val="28"/>
        </w:rPr>
        <w:t>.</w:t>
      </w: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A54CA2" w:rsidRDefault="00A54CA2" w:rsidP="00047033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</w:p>
    <w:p w:rsidR="00A54CA2" w:rsidRPr="00A54CA2" w:rsidRDefault="00A54CA2" w:rsidP="00047033">
      <w:pPr>
        <w:widowControl/>
        <w:adjustRightInd/>
        <w:rPr>
          <w:rFonts w:ascii="Times New Roman" w:hAnsi="Times New Roman" w:cs="Times New Roman"/>
          <w:sz w:val="20"/>
          <w:szCs w:val="20"/>
        </w:rPr>
      </w:pPr>
      <w:r w:rsidRPr="00A54CA2">
        <w:rPr>
          <w:rFonts w:ascii="Times New Roman" w:hAnsi="Times New Roman" w:cs="Times New Roman"/>
          <w:sz w:val="20"/>
          <w:szCs w:val="20"/>
        </w:rPr>
        <w:t>Дмитриева Наталья Александровна 52-45-35</w:t>
      </w:r>
    </w:p>
    <w:sectPr w:rsidR="00A54CA2" w:rsidRPr="00A54CA2" w:rsidSect="00FB3D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3"/>
    <w:rsid w:val="00003179"/>
    <w:rsid w:val="00047033"/>
    <w:rsid w:val="000567A7"/>
    <w:rsid w:val="00260560"/>
    <w:rsid w:val="004220EF"/>
    <w:rsid w:val="00454AA1"/>
    <w:rsid w:val="00471040"/>
    <w:rsid w:val="004D6AA3"/>
    <w:rsid w:val="00634B0A"/>
    <w:rsid w:val="007157F9"/>
    <w:rsid w:val="00785FA6"/>
    <w:rsid w:val="00975030"/>
    <w:rsid w:val="009F69EA"/>
    <w:rsid w:val="00A54CA2"/>
    <w:rsid w:val="00A97E55"/>
    <w:rsid w:val="00B360A6"/>
    <w:rsid w:val="00B761E4"/>
    <w:rsid w:val="00CE5F7C"/>
    <w:rsid w:val="00D616CB"/>
    <w:rsid w:val="00F35DA4"/>
    <w:rsid w:val="00F90F65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9C7E-C3CA-45FC-B8D8-C16A7686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3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3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4703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47033"/>
  </w:style>
  <w:style w:type="paragraph" w:styleId="a5">
    <w:name w:val="Balloon Text"/>
    <w:basedOn w:val="a"/>
    <w:link w:val="a6"/>
    <w:uiPriority w:val="99"/>
    <w:semiHidden/>
    <w:unhideWhenUsed/>
    <w:rsid w:val="00634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10</cp:revision>
  <cp:lastPrinted>2017-11-29T10:35:00Z</cp:lastPrinted>
  <dcterms:created xsi:type="dcterms:W3CDTF">2017-11-28T07:10:00Z</dcterms:created>
  <dcterms:modified xsi:type="dcterms:W3CDTF">2017-11-30T07:39:00Z</dcterms:modified>
</cp:coreProperties>
</file>