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55" w:rsidRPr="00CE314A" w:rsidRDefault="00482C55" w:rsidP="00482C55">
      <w:pPr>
        <w:spacing w:after="200"/>
        <w:ind w:firstLine="5812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3 </w:t>
      </w:r>
    </w:p>
    <w:p w:rsidR="00482C55" w:rsidRPr="00CE314A" w:rsidRDefault="00482C55" w:rsidP="00482C55">
      <w:pPr>
        <w:ind w:left="5812" w:right="-1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размещении </w:t>
      </w:r>
    </w:p>
    <w:p w:rsidR="00482C55" w:rsidRPr="00CE314A" w:rsidRDefault="00482C55" w:rsidP="00482C55">
      <w:pPr>
        <w:ind w:left="5812" w:right="-1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нестационарных торговых </w:t>
      </w:r>
    </w:p>
    <w:p w:rsidR="00482C55" w:rsidRPr="00CE314A" w:rsidRDefault="00482C55" w:rsidP="00482C55">
      <w:pPr>
        <w:ind w:left="5812" w:right="-1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объектов на территории города Сургута </w:t>
      </w:r>
    </w:p>
    <w:p w:rsidR="00482C55" w:rsidRPr="00CE314A" w:rsidRDefault="00482C55" w:rsidP="00482C55">
      <w:pPr>
        <w:ind w:left="5664" w:right="-1" w:firstLine="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spacing w:after="20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Требования </w:t>
      </w:r>
    </w:p>
    <w:p w:rsidR="00482C55" w:rsidRPr="00CE314A" w:rsidRDefault="00482C55" w:rsidP="00482C55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к остановочным комплексам с торговой площадью (автопавильонам)  </w:t>
      </w:r>
    </w:p>
    <w:p w:rsidR="00482C55" w:rsidRPr="00CE314A" w:rsidRDefault="00482C55" w:rsidP="00482C55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(далее – остановочный комплекс)</w:t>
      </w:r>
    </w:p>
    <w:p w:rsidR="00482C55" w:rsidRPr="00CE314A" w:rsidRDefault="00482C55" w:rsidP="00482C55">
      <w:pPr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Default="00482C55" w:rsidP="00482C5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быть изготовлен в заводских условиях в соответствии с эскизным проектом, согласованным </w:t>
      </w:r>
      <w:r w:rsidRPr="00CE31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с рабочей группой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установлен в соответствии со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конструкций данного типа. </w:t>
      </w:r>
    </w:p>
    <w:p w:rsidR="00482C55" w:rsidRPr="00D84142" w:rsidRDefault="00482C55" w:rsidP="00482C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соответствовать требованиям санитарных норм </w:t>
      </w:r>
      <w:r w:rsidRPr="00CE31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правил (в том числе требований к освещенности, электромагнитному излучению).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Установка остановочного комплекса должна соответствовать требованиям нормативных актов по безопасности дорожного движения.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соответствовать типовым эскизным проектам, приведенным в настоящем приложении к положению о размещении нестационарных торговых объектов на территории города Сургута, а также требованиям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482C55" w:rsidRPr="00CE314A" w:rsidRDefault="00482C55" w:rsidP="00482C5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должна составлять не более 80-и квадратных метров.</w:t>
      </w:r>
    </w:p>
    <w:p w:rsidR="00482C55" w:rsidRPr="00CE314A" w:rsidRDefault="00482C55" w:rsidP="00482C5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CE314A">
        <w:rPr>
          <w:rFonts w:eastAsia="Times New Roman" w:cs="Times New Roman"/>
          <w:color w:val="000000" w:themeColor="text1"/>
          <w:szCs w:val="28"/>
        </w:rPr>
        <w:t xml:space="preserve">Размещение иных типов остановочных </w:t>
      </w: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комплексов </w:t>
      </w:r>
      <w:r w:rsidRPr="00CE314A">
        <w:rPr>
          <w:rFonts w:eastAsia="Times New Roman" w:cs="Times New Roman"/>
          <w:color w:val="000000" w:themeColor="text1"/>
          <w:szCs w:val="28"/>
        </w:rPr>
        <w:t>не допускается.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Остановочный комплекс должен соответствовать следующим требованиям:</w:t>
      </w:r>
    </w:p>
    <w:p w:rsidR="00482C55" w:rsidRPr="00CE314A" w:rsidRDefault="00482C55" w:rsidP="00482C5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Устройство зоны для ожидания общественного транспорта не менее 30% от общей площади автопавильона;</w:t>
      </w:r>
    </w:p>
    <w:p w:rsidR="00482C55" w:rsidRPr="00CE314A" w:rsidRDefault="00482C55" w:rsidP="00482C5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остановочном комплексе должны быть предусмотрены: помещение для размещения биотуалета и умывальника; освещение пассажирского тамбура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посадочной площадки; урны для сбора мусора в количестве не менее двух штук; теплая скамья с </w:t>
      </w:r>
      <w:proofErr w:type="spellStart"/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авторегулируемым</w:t>
      </w:r>
      <w:proofErr w:type="spellEnd"/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подогревом для ожидания пассажирами общественного транспорта и доска для бесплатных объявлений площадью не менее двух квадратных метров;</w:t>
      </w:r>
    </w:p>
    <w:p w:rsidR="00482C55" w:rsidRPr="00CE314A" w:rsidRDefault="00482C55" w:rsidP="00482C55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быть оснащён электронным табло, позволяющим выводить информацию о расчетном времени прибытия общественного транспорта, подключенным к системе GSM, информационно-телекоммуникационной сети «Интернет» с обеспечением его беспрерывной работы; </w:t>
      </w:r>
    </w:p>
    <w:p w:rsidR="00482C55" w:rsidRPr="00CE314A" w:rsidRDefault="00482C55" w:rsidP="00482C55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Посадочная площадка и остановочный павильон должны быть адаптированы для нужд маломобильных групп населения (а именно: отсутствие перепада высот, возможность доступа в торговую часть павильона инвалида-колясочника, для категории слепых, слабовидящих: направляющие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предупреждающие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тактильные указатели, визуальная информация должна быть продублирована шрифтом брайля, звуковое оборудование);</w:t>
      </w:r>
    </w:p>
    <w:p w:rsidR="00482C55" w:rsidRPr="00CE314A" w:rsidRDefault="00482C55" w:rsidP="00482C5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быть оснащен инфракрасными </w:t>
      </w:r>
      <w:proofErr w:type="gramStart"/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обогревателями, </w:t>
      </w:r>
      <w:r w:rsidRPr="003D7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камерой</w:t>
      </w:r>
      <w:proofErr w:type="gramEnd"/>
      <w:r w:rsidRPr="003D7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наружного видеонаблюдения,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установленной по согласованию с рабочей группой,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панелью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зарядки,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хотспотом</w:t>
      </w:r>
      <w:proofErr w:type="spellEnd"/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Остановочный комплекс должен изготавливаться из материалов, указанных в приложении 4 к положению о размещении нестационарных торговых объектов на территории города Сургута.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Остановочный комплекс должен иметь вывеску с информацией о специализации объекта, наименовании хозяйствующего субъекта, режиме работы.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главном фасаде остановочного комплекса должно быть размещено название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остановки общественного транспорта, соответствующее согласованному в установленном порядке эскизному проекту. 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главном фасаде остановочного комплекса должно быть предусмотрено место для размещения муниципальным казенным </w:t>
      </w:r>
      <w:r w:rsidRPr="00CE31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учреждением «Дирекция дорожно-транспортного и жилищно-коммунального комплекса»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таблички с информацией о расписании автобусов, ответственность за сохранность которой несет хозяйствующий субъект.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размещение в пассажирском тамбуре и на прилегающей к остановочному комплексу территории дополнительных конструкций и оборудования, не предусмотренных эскизным проектом, а также рекламных носителей.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эксплуатации остановочного комплекса не допускается уменьшение пассажирского тамбура.</w:t>
      </w:r>
    </w:p>
    <w:p w:rsidR="00482C55" w:rsidRPr="00CE314A" w:rsidRDefault="00482C55" w:rsidP="00482C5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подлежит замене на новый не реже одного раза в 10 лет. </w:t>
      </w:r>
    </w:p>
    <w:p w:rsidR="00482C55" w:rsidRPr="00CE314A" w:rsidRDefault="00482C55" w:rsidP="00482C55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ab/>
      </w:r>
    </w:p>
    <w:p w:rsidR="00482C55" w:rsidRPr="00CE314A" w:rsidRDefault="00482C55" w:rsidP="00482C55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482C55" w:rsidRPr="00CE314A" w:rsidRDefault="00482C55" w:rsidP="00482C55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Типовой эскизный проект остановочного комплекса с торговой площадью (автопавильона)</w:t>
      </w:r>
    </w:p>
    <w:p w:rsidR="00482C55" w:rsidRPr="00CE314A" w:rsidRDefault="00482C55" w:rsidP="00482C55">
      <w:pPr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Главный фасад</w:t>
      </w: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 w:val="22"/>
          <w:lang w:eastAsia="ru-RU"/>
        </w:rPr>
      </w:pPr>
    </w:p>
    <w:p w:rsidR="00482C55" w:rsidRPr="00CE314A" w:rsidRDefault="00482C55" w:rsidP="00482C55">
      <w:pPr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noProof/>
          <w:color w:val="000000" w:themeColor="text1"/>
          <w:lang w:eastAsia="ru-RU"/>
        </w:rPr>
        <w:drawing>
          <wp:inline distT="0" distB="0" distL="0" distR="0" wp14:anchorId="2A928BAC" wp14:editId="530504A6">
            <wp:extent cx="5940425" cy="22924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55" w:rsidRPr="00CE314A" w:rsidRDefault="00482C55" w:rsidP="00482C55">
      <w:pPr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Лицевая сторона фасада</w:t>
      </w: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noProof/>
          <w:color w:val="000000" w:themeColor="text1"/>
          <w:lang w:eastAsia="ru-RU"/>
        </w:rPr>
        <w:drawing>
          <wp:inline distT="0" distB="0" distL="0" distR="0" wp14:anchorId="029032DE" wp14:editId="70FC2AF7">
            <wp:extent cx="6120130" cy="27321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Боковая сторона фасада</w:t>
      </w: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noProof/>
          <w:color w:val="000000" w:themeColor="text1"/>
          <w:lang w:eastAsia="ru-RU"/>
        </w:rPr>
        <w:drawing>
          <wp:inline distT="0" distB="0" distL="0" distR="0" wp14:anchorId="1509280B" wp14:editId="1B51DE2D">
            <wp:extent cx="6058894" cy="23774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2641" cy="23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noProof/>
          <w:color w:val="000000" w:themeColor="text1"/>
          <w:lang w:eastAsia="ru-RU"/>
        </w:rPr>
        <w:drawing>
          <wp:inline distT="0" distB="0" distL="0" distR="0" wp14:anchorId="2EC53652" wp14:editId="5EC1B6B0">
            <wp:extent cx="2971800" cy="2038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3788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14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88A620B" wp14:editId="7FE00D3E">
            <wp:simplePos x="0" y="0"/>
            <wp:positionH relativeFrom="column">
              <wp:posOffset>66675</wp:posOffset>
            </wp:positionH>
            <wp:positionV relativeFrom="paragraph">
              <wp:posOffset>54610</wp:posOffset>
            </wp:positionV>
            <wp:extent cx="2965450" cy="1979295"/>
            <wp:effectExtent l="0" t="0" r="635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noProof/>
          <w:color w:val="000000" w:themeColor="text1"/>
          <w:szCs w:val="28"/>
          <w:lang w:eastAsia="ru-RU"/>
        </w:rPr>
        <w:lastRenderedPageBreak/>
        <w:t>План</w:t>
      </w:r>
    </w:p>
    <w:p w:rsidR="00482C55" w:rsidRPr="00CE314A" w:rsidRDefault="00482C55" w:rsidP="00482C55">
      <w:pPr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noProof/>
          <w:color w:val="000000" w:themeColor="text1"/>
          <w:lang w:eastAsia="ru-RU"/>
        </w:rPr>
        <w:drawing>
          <wp:inline distT="0" distB="0" distL="0" distR="0" wp14:anchorId="51690E24" wp14:editId="4650566A">
            <wp:extent cx="6106602" cy="332135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2802" cy="3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55" w:rsidRPr="00CE314A" w:rsidRDefault="00482C55" w:rsidP="00482C55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noProof/>
          <w:color w:val="000000" w:themeColor="text1"/>
          <w:szCs w:val="28"/>
          <w:lang w:eastAsia="ru-RU"/>
        </w:rPr>
        <w:t>Цветовое решение</w:t>
      </w:r>
    </w:p>
    <w:p w:rsidR="00482C55" w:rsidRPr="00CE314A" w:rsidRDefault="00482C55" w:rsidP="00482C55">
      <w:pPr>
        <w:jc w:val="right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noProof/>
          <w:color w:val="000000" w:themeColor="text1"/>
          <w:szCs w:val="28"/>
          <w:lang w:eastAsia="ru-RU"/>
        </w:rPr>
      </w:pPr>
      <w:r w:rsidRPr="00CE314A">
        <w:rPr>
          <w:noProof/>
          <w:color w:val="000000" w:themeColor="text1"/>
          <w:lang w:eastAsia="ru-RU"/>
        </w:rPr>
        <w:drawing>
          <wp:inline distT="0" distB="0" distL="0" distR="0" wp14:anchorId="13100A76" wp14:editId="696DFE32">
            <wp:extent cx="4791075" cy="2990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rPr>
          <w:rFonts w:ascii="Calibri" w:eastAsia="Times New Roman" w:hAnsi="Calibri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tabs>
          <w:tab w:val="left" w:pos="7245"/>
        </w:tabs>
        <w:ind w:left="5387" w:right="-1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4</w:t>
      </w:r>
    </w:p>
    <w:p w:rsidR="00482C55" w:rsidRPr="00CE314A" w:rsidRDefault="00482C55" w:rsidP="00482C55">
      <w:pPr>
        <w:ind w:left="5387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размещении </w:t>
      </w:r>
    </w:p>
    <w:p w:rsidR="00482C55" w:rsidRPr="00CE314A" w:rsidRDefault="00482C55" w:rsidP="00482C55">
      <w:pPr>
        <w:ind w:left="5387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нестационарных торговых </w:t>
      </w:r>
    </w:p>
    <w:p w:rsidR="00482C55" w:rsidRPr="00CE314A" w:rsidRDefault="00482C55" w:rsidP="00482C55">
      <w:pPr>
        <w:ind w:left="5387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объектов на территории города Сургута </w:t>
      </w:r>
    </w:p>
    <w:p w:rsidR="00482C55" w:rsidRPr="00CE314A" w:rsidRDefault="00482C55" w:rsidP="00482C55">
      <w:pPr>
        <w:ind w:left="5812" w:right="-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ind w:left="5812" w:right="-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2C55" w:rsidRPr="00CE314A" w:rsidRDefault="00482C55" w:rsidP="00482C5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Ведомость </w:t>
      </w:r>
    </w:p>
    <w:p w:rsidR="00482C55" w:rsidRPr="00CE314A" w:rsidRDefault="00482C55" w:rsidP="00482C5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отделочных материалов нестационарных торговых объектов (за исключением автомагазинов), остановочных комплексов с торговой площадью (автопавильонов)</w:t>
      </w: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3100"/>
        <w:gridCol w:w="2497"/>
        <w:gridCol w:w="2661"/>
      </w:tblGrid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Внешние </w:t>
            </w:r>
          </w:p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конструк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тивные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элементы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Материал отделки элементов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Цветовое оформление</w:t>
            </w:r>
          </w:p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(колер)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Каркас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Каркасная конструктивная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система, стальной профиль,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профильная труба различного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сечения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Цоколь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Сэндвич-панели, </w:t>
            </w:r>
            <w:r w:rsidRPr="00FE6A1F">
              <w:rPr>
                <w:rFonts w:eastAsia="Times New Roman"/>
                <w:color w:val="000000" w:themeColor="text1"/>
                <w:sz w:val="24"/>
                <w:szCs w:val="24"/>
              </w:rPr>
              <w:t>алюминиевые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композитные панели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поэлементной сборки</w:t>
            </w:r>
          </w:p>
        </w:tc>
        <w:tc>
          <w:tcPr>
            <w:tcW w:w="2525" w:type="dxa"/>
            <w:vMerge w:val="restart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Цвет металлических частей синий либо зеленый по палитре цветов 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RAL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Верхняя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панель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разме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щения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рекламы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Сэндвич-панели, </w:t>
            </w:r>
            <w:r w:rsidRPr="00FE6A1F">
              <w:rPr>
                <w:rFonts w:eastAsia="Times New Roman"/>
                <w:color w:val="000000" w:themeColor="text1"/>
                <w:sz w:val="24"/>
                <w:szCs w:val="24"/>
              </w:rPr>
              <w:t>алюминиевые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композитные панели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vMerge/>
          </w:tcPr>
          <w:p w:rsidR="00482C55" w:rsidRPr="00095A1C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C55" w:rsidRPr="00CE314A" w:rsidRDefault="00482C55" w:rsidP="00614B9A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Стены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Трехслойные сэндвич-панели,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E6A1F">
              <w:rPr>
                <w:rFonts w:eastAsia="Times New Roman"/>
                <w:sz w:val="24"/>
                <w:szCs w:val="24"/>
              </w:rPr>
              <w:t xml:space="preserve">алюминиевые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композитные панели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поэлементной сборки,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утеплитель </w:t>
            </w: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минераловатные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плиты – 200 мм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Цвет металлических частей серый по палитре цветов 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RAL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допускается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применение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кирпича,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строительных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блоков, </w:t>
            </w: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сайдинга</w:t>
            </w:r>
            <w:proofErr w:type="spellEnd"/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Окна, витражи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Профиль ПВХ, алюминиевый профиль, стеклопакет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Стекло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витринное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ударостойкое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безосколочное (простое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>или тонированное)</w:t>
            </w: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Дверь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Цвет металлических частей серый по палитре цветов 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RAL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глухая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одностворчатая</w:t>
            </w: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Крыша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Профнастил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оцинкованный, плоская с наружным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водостоком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Цвет металлических частей серый по палитре цветов 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RAL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482C55" w:rsidRPr="00CE314A" w:rsidTr="00614B9A">
        <w:tc>
          <w:tcPr>
            <w:tcW w:w="184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Рекламно-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ционное</w:t>
            </w:r>
            <w:proofErr w:type="spellEnd"/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оформление</w:t>
            </w:r>
          </w:p>
        </w:tc>
        <w:tc>
          <w:tcPr>
            <w:tcW w:w="3145" w:type="dxa"/>
          </w:tcPr>
          <w:p w:rsidR="00482C55" w:rsidRPr="00CE314A" w:rsidRDefault="00482C55" w:rsidP="00614B9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Сэндвич панели, </w:t>
            </w:r>
            <w:r w:rsidRPr="00FE6A1F">
              <w:rPr>
                <w:rFonts w:eastAsia="Times New Roman"/>
                <w:color w:val="000000" w:themeColor="text1"/>
                <w:sz w:val="24"/>
                <w:szCs w:val="24"/>
              </w:rPr>
              <w:t>алюминиевые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композитные панели</w:t>
            </w: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482C55" w:rsidRPr="00CE314A" w:rsidRDefault="00482C55" w:rsidP="00614B9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тон основного цвета отделки </w:t>
            </w:r>
          </w:p>
        </w:tc>
        <w:tc>
          <w:tcPr>
            <w:tcW w:w="2693" w:type="dxa"/>
          </w:tcPr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Размещается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 рекламном </w:t>
            </w:r>
          </w:p>
          <w:p w:rsidR="00482C55" w:rsidRPr="00CE314A" w:rsidRDefault="00482C55" w:rsidP="00614B9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E314A">
              <w:rPr>
                <w:rFonts w:eastAsia="Times New Roman"/>
                <w:color w:val="000000" w:themeColor="text1"/>
                <w:sz w:val="24"/>
                <w:szCs w:val="24"/>
              </w:rPr>
              <w:t>парапете</w:t>
            </w:r>
          </w:p>
        </w:tc>
      </w:tr>
    </w:tbl>
    <w:p w:rsidR="00482C55" w:rsidRPr="00CE314A" w:rsidRDefault="00482C55" w:rsidP="00482C55">
      <w:pPr>
        <w:jc w:val="both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482C55" w:rsidRPr="00CE314A" w:rsidRDefault="00482C55" w:rsidP="00482C55">
      <w:pPr>
        <w:ind w:firstLine="567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E314A">
        <w:rPr>
          <w:rFonts w:eastAsia="Calibri" w:cs="Times New Roman"/>
          <w:color w:val="000000" w:themeColor="text1"/>
          <w:szCs w:val="28"/>
          <w:lang w:eastAsia="ru-RU"/>
        </w:rPr>
        <w:t>Примечания:</w:t>
      </w:r>
    </w:p>
    <w:p w:rsidR="00482C55" w:rsidRPr="00CE314A" w:rsidRDefault="00482C55" w:rsidP="00482C55">
      <w:pPr>
        <w:ind w:firstLine="567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E314A">
        <w:rPr>
          <w:rFonts w:eastAsia="Calibri" w:cs="Times New Roman"/>
          <w:color w:val="000000" w:themeColor="text1"/>
          <w:szCs w:val="28"/>
          <w:lang w:eastAsia="ru-RU"/>
        </w:rPr>
        <w:t>1. Номера колеров приняты по каталогу RAL CLASSIC.</w:t>
      </w:r>
    </w:p>
    <w:p w:rsidR="00482C55" w:rsidRPr="00CE314A" w:rsidRDefault="00482C55" w:rsidP="00482C55">
      <w:pPr>
        <w:ind w:firstLine="567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E314A">
        <w:rPr>
          <w:rFonts w:eastAsia="Calibri" w:cs="Times New Roman"/>
          <w:color w:val="000000" w:themeColor="text1"/>
          <w:szCs w:val="28"/>
          <w:lang w:eastAsia="ru-RU"/>
        </w:rPr>
        <w:t>2. Зона ожидания должна составлять не менее 1/3 павильона.</w:t>
      </w:r>
    </w:p>
    <w:p w:rsidR="00482C55" w:rsidRPr="00CE314A" w:rsidRDefault="00482C55" w:rsidP="00482C55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Calibri" w:cs="Times New Roman"/>
          <w:color w:val="000000" w:themeColor="text1"/>
          <w:szCs w:val="28"/>
          <w:lang w:eastAsia="ru-RU"/>
        </w:rPr>
        <w:t xml:space="preserve">3. При отделке фасадов предусматривать использование современных сертифицированных материалов, отвечающих санитарно-гигиеническим требованиям, нормам противопожарной безопасности, имеющих качественную и прочную окраску, отделку и не изменяющих своих эстетических </w:t>
      </w:r>
      <w:bookmarkStart w:id="0" w:name="_GoBack"/>
      <w:bookmarkEnd w:id="0"/>
      <w:r w:rsidRPr="00CE314A">
        <w:rPr>
          <w:rFonts w:eastAsia="Calibri" w:cs="Times New Roman"/>
          <w:color w:val="000000" w:themeColor="text1"/>
          <w:szCs w:val="28"/>
          <w:lang w:eastAsia="ru-RU"/>
        </w:rPr>
        <w:t>и эксплуатационных качеств в течение всего срока эксплуатации.</w:t>
      </w:r>
    </w:p>
    <w:p w:rsidR="00BB5CF4" w:rsidRPr="00482C55" w:rsidRDefault="00482C55" w:rsidP="00482C55"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sectPr w:rsidR="00BB5CF4" w:rsidRPr="00482C55" w:rsidSect="00482C55">
      <w:headerReference w:type="default" r:id="rId15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36" w:rsidRDefault="00866D36" w:rsidP="00F1789D">
      <w:r>
        <w:separator/>
      </w:r>
    </w:p>
  </w:endnote>
  <w:endnote w:type="continuationSeparator" w:id="0">
    <w:p w:rsidR="00866D36" w:rsidRDefault="00866D36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36" w:rsidRDefault="00866D36" w:rsidP="00F1789D">
      <w:r>
        <w:separator/>
      </w:r>
    </w:p>
  </w:footnote>
  <w:footnote w:type="continuationSeparator" w:id="0">
    <w:p w:rsidR="00866D36" w:rsidRDefault="00866D36" w:rsidP="00F1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02492"/>
      <w:docPartObj>
        <w:docPartGallery w:val="Page Numbers (Top of Page)"/>
        <w:docPartUnique/>
      </w:docPartObj>
    </w:sdtPr>
    <w:sdtEndPr/>
    <w:sdtContent>
      <w:p w:rsidR="0083114E" w:rsidRDefault="0083114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55">
          <w:rPr>
            <w:noProof/>
          </w:rPr>
          <w:t>2</w:t>
        </w:r>
        <w:r>
          <w:fldChar w:fldCharType="end"/>
        </w:r>
      </w:p>
    </w:sdtContent>
  </w:sdt>
  <w:p w:rsidR="0083114E" w:rsidRDefault="008311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D"/>
    <w:rsid w:val="00001CCC"/>
    <w:rsid w:val="000032CF"/>
    <w:rsid w:val="00005DCF"/>
    <w:rsid w:val="00014073"/>
    <w:rsid w:val="00016C4D"/>
    <w:rsid w:val="00020634"/>
    <w:rsid w:val="00021E45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25D2"/>
    <w:rsid w:val="00084CFE"/>
    <w:rsid w:val="00087125"/>
    <w:rsid w:val="00095A1C"/>
    <w:rsid w:val="000B7834"/>
    <w:rsid w:val="000C12EF"/>
    <w:rsid w:val="000E0F66"/>
    <w:rsid w:val="000E2BF9"/>
    <w:rsid w:val="00112F05"/>
    <w:rsid w:val="0011374A"/>
    <w:rsid w:val="0011654B"/>
    <w:rsid w:val="00165B55"/>
    <w:rsid w:val="00166C9E"/>
    <w:rsid w:val="0019194D"/>
    <w:rsid w:val="00195FA7"/>
    <w:rsid w:val="001A3626"/>
    <w:rsid w:val="001B5136"/>
    <w:rsid w:val="001B5163"/>
    <w:rsid w:val="001B585D"/>
    <w:rsid w:val="001C5C4E"/>
    <w:rsid w:val="001D30F7"/>
    <w:rsid w:val="001E3283"/>
    <w:rsid w:val="001E34AA"/>
    <w:rsid w:val="001E4F2C"/>
    <w:rsid w:val="001E5054"/>
    <w:rsid w:val="001F4C79"/>
    <w:rsid w:val="001F60EA"/>
    <w:rsid w:val="001F78B4"/>
    <w:rsid w:val="00200B97"/>
    <w:rsid w:val="0020286D"/>
    <w:rsid w:val="00203A90"/>
    <w:rsid w:val="00212BBA"/>
    <w:rsid w:val="002141BC"/>
    <w:rsid w:val="0022091C"/>
    <w:rsid w:val="00222591"/>
    <w:rsid w:val="00223488"/>
    <w:rsid w:val="0023707B"/>
    <w:rsid w:val="00266314"/>
    <w:rsid w:val="00266692"/>
    <w:rsid w:val="002676D9"/>
    <w:rsid w:val="002700BC"/>
    <w:rsid w:val="00281C29"/>
    <w:rsid w:val="00290023"/>
    <w:rsid w:val="00291C4A"/>
    <w:rsid w:val="00291D5D"/>
    <w:rsid w:val="002A259B"/>
    <w:rsid w:val="002A34B7"/>
    <w:rsid w:val="002A4C34"/>
    <w:rsid w:val="002A5457"/>
    <w:rsid w:val="002C01AB"/>
    <w:rsid w:val="002C072C"/>
    <w:rsid w:val="002C53CE"/>
    <w:rsid w:val="002D3623"/>
    <w:rsid w:val="002D71E3"/>
    <w:rsid w:val="002E05C3"/>
    <w:rsid w:val="002E1170"/>
    <w:rsid w:val="002F132B"/>
    <w:rsid w:val="00313B6E"/>
    <w:rsid w:val="0032557C"/>
    <w:rsid w:val="00335FB6"/>
    <w:rsid w:val="00335FE2"/>
    <w:rsid w:val="0033686F"/>
    <w:rsid w:val="003400EE"/>
    <w:rsid w:val="00340552"/>
    <w:rsid w:val="003413DA"/>
    <w:rsid w:val="00342CC1"/>
    <w:rsid w:val="00343D30"/>
    <w:rsid w:val="0035594D"/>
    <w:rsid w:val="00370A0C"/>
    <w:rsid w:val="00371EBC"/>
    <w:rsid w:val="00373670"/>
    <w:rsid w:val="00376762"/>
    <w:rsid w:val="0037763D"/>
    <w:rsid w:val="00385088"/>
    <w:rsid w:val="00395267"/>
    <w:rsid w:val="003A2F3E"/>
    <w:rsid w:val="003A7EFA"/>
    <w:rsid w:val="003B0BE3"/>
    <w:rsid w:val="003B1D5D"/>
    <w:rsid w:val="003B46E0"/>
    <w:rsid w:val="003C168A"/>
    <w:rsid w:val="003C2EB4"/>
    <w:rsid w:val="003C6158"/>
    <w:rsid w:val="003C7470"/>
    <w:rsid w:val="003D0183"/>
    <w:rsid w:val="003D6E06"/>
    <w:rsid w:val="003D7630"/>
    <w:rsid w:val="003E0BA1"/>
    <w:rsid w:val="003E12FD"/>
    <w:rsid w:val="003F6AAB"/>
    <w:rsid w:val="003F7A44"/>
    <w:rsid w:val="003F7B9B"/>
    <w:rsid w:val="00406210"/>
    <w:rsid w:val="00406C6D"/>
    <w:rsid w:val="004107FD"/>
    <w:rsid w:val="0041426D"/>
    <w:rsid w:val="00416B59"/>
    <w:rsid w:val="00437FB4"/>
    <w:rsid w:val="0044169E"/>
    <w:rsid w:val="00441A3C"/>
    <w:rsid w:val="00452E4B"/>
    <w:rsid w:val="00457828"/>
    <w:rsid w:val="004709A6"/>
    <w:rsid w:val="00472F7C"/>
    <w:rsid w:val="00473269"/>
    <w:rsid w:val="00482A0B"/>
    <w:rsid w:val="00482C55"/>
    <w:rsid w:val="00486500"/>
    <w:rsid w:val="00491ADF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D7882"/>
    <w:rsid w:val="004E394A"/>
    <w:rsid w:val="004F44B0"/>
    <w:rsid w:val="004F488C"/>
    <w:rsid w:val="004F5D1B"/>
    <w:rsid w:val="00502242"/>
    <w:rsid w:val="00525F80"/>
    <w:rsid w:val="0054422C"/>
    <w:rsid w:val="00552050"/>
    <w:rsid w:val="00554F12"/>
    <w:rsid w:val="005607FF"/>
    <w:rsid w:val="0056212F"/>
    <w:rsid w:val="00576E0A"/>
    <w:rsid w:val="00581CD6"/>
    <w:rsid w:val="00592958"/>
    <w:rsid w:val="005A0E37"/>
    <w:rsid w:val="005A6473"/>
    <w:rsid w:val="005B09B0"/>
    <w:rsid w:val="005B3102"/>
    <w:rsid w:val="005B3147"/>
    <w:rsid w:val="005B5940"/>
    <w:rsid w:val="005C1E81"/>
    <w:rsid w:val="005C5CCD"/>
    <w:rsid w:val="005C5E9B"/>
    <w:rsid w:val="005D35AC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3850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6F1AC9"/>
    <w:rsid w:val="006F4BD0"/>
    <w:rsid w:val="007004E2"/>
    <w:rsid w:val="0070671C"/>
    <w:rsid w:val="00710B53"/>
    <w:rsid w:val="00721F57"/>
    <w:rsid w:val="00724737"/>
    <w:rsid w:val="0073027E"/>
    <w:rsid w:val="007434D0"/>
    <w:rsid w:val="00746AB8"/>
    <w:rsid w:val="007507CA"/>
    <w:rsid w:val="007508D8"/>
    <w:rsid w:val="00751127"/>
    <w:rsid w:val="00757E3D"/>
    <w:rsid w:val="00765A5D"/>
    <w:rsid w:val="00772686"/>
    <w:rsid w:val="00785341"/>
    <w:rsid w:val="007859D0"/>
    <w:rsid w:val="0079024F"/>
    <w:rsid w:val="007A2C44"/>
    <w:rsid w:val="007B55CD"/>
    <w:rsid w:val="007C0BEC"/>
    <w:rsid w:val="007C3D29"/>
    <w:rsid w:val="007C69D7"/>
    <w:rsid w:val="007C6D1C"/>
    <w:rsid w:val="007D2602"/>
    <w:rsid w:val="007E3154"/>
    <w:rsid w:val="007E453D"/>
    <w:rsid w:val="007F4F5F"/>
    <w:rsid w:val="007F6D2E"/>
    <w:rsid w:val="00800C33"/>
    <w:rsid w:val="00804862"/>
    <w:rsid w:val="00813D85"/>
    <w:rsid w:val="008141EC"/>
    <w:rsid w:val="00826752"/>
    <w:rsid w:val="0083114E"/>
    <w:rsid w:val="00833736"/>
    <w:rsid w:val="008345BE"/>
    <w:rsid w:val="00834620"/>
    <w:rsid w:val="00840A3E"/>
    <w:rsid w:val="00841A7B"/>
    <w:rsid w:val="00846852"/>
    <w:rsid w:val="00847B0E"/>
    <w:rsid w:val="00851CE0"/>
    <w:rsid w:val="008521F3"/>
    <w:rsid w:val="00853931"/>
    <w:rsid w:val="00855453"/>
    <w:rsid w:val="00855499"/>
    <w:rsid w:val="00866D36"/>
    <w:rsid w:val="00867813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D3D91"/>
    <w:rsid w:val="008E34F3"/>
    <w:rsid w:val="008E3641"/>
    <w:rsid w:val="008E4EEE"/>
    <w:rsid w:val="008E7157"/>
    <w:rsid w:val="008F1BF8"/>
    <w:rsid w:val="008F4633"/>
    <w:rsid w:val="00901A3E"/>
    <w:rsid w:val="00903406"/>
    <w:rsid w:val="00903827"/>
    <w:rsid w:val="00907119"/>
    <w:rsid w:val="00915A53"/>
    <w:rsid w:val="009355FC"/>
    <w:rsid w:val="00945B3F"/>
    <w:rsid w:val="00953D8E"/>
    <w:rsid w:val="00954D2F"/>
    <w:rsid w:val="009630E1"/>
    <w:rsid w:val="00965B22"/>
    <w:rsid w:val="00967B1B"/>
    <w:rsid w:val="0097168E"/>
    <w:rsid w:val="00986888"/>
    <w:rsid w:val="009A1341"/>
    <w:rsid w:val="009A6948"/>
    <w:rsid w:val="009A78DD"/>
    <w:rsid w:val="009B4A83"/>
    <w:rsid w:val="009B4A92"/>
    <w:rsid w:val="009B5CF1"/>
    <w:rsid w:val="009C2780"/>
    <w:rsid w:val="009E188A"/>
    <w:rsid w:val="009F7163"/>
    <w:rsid w:val="00A021FA"/>
    <w:rsid w:val="00A10F9E"/>
    <w:rsid w:val="00A14356"/>
    <w:rsid w:val="00A2659E"/>
    <w:rsid w:val="00A4288C"/>
    <w:rsid w:val="00A428F5"/>
    <w:rsid w:val="00A46CC4"/>
    <w:rsid w:val="00A54946"/>
    <w:rsid w:val="00A6586C"/>
    <w:rsid w:val="00A714F6"/>
    <w:rsid w:val="00A71815"/>
    <w:rsid w:val="00A7647D"/>
    <w:rsid w:val="00A866C8"/>
    <w:rsid w:val="00A95CA1"/>
    <w:rsid w:val="00AA1591"/>
    <w:rsid w:val="00AB77FD"/>
    <w:rsid w:val="00AD0DCF"/>
    <w:rsid w:val="00AD1D35"/>
    <w:rsid w:val="00AD5D17"/>
    <w:rsid w:val="00AE1488"/>
    <w:rsid w:val="00AE4191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61282"/>
    <w:rsid w:val="00B64E1A"/>
    <w:rsid w:val="00B72968"/>
    <w:rsid w:val="00B77FFB"/>
    <w:rsid w:val="00B826C0"/>
    <w:rsid w:val="00BA39A1"/>
    <w:rsid w:val="00BA3D18"/>
    <w:rsid w:val="00BB36E7"/>
    <w:rsid w:val="00BB484F"/>
    <w:rsid w:val="00BB5CF4"/>
    <w:rsid w:val="00BC3F6B"/>
    <w:rsid w:val="00BC5F7C"/>
    <w:rsid w:val="00BE231E"/>
    <w:rsid w:val="00BE24BD"/>
    <w:rsid w:val="00BF53B2"/>
    <w:rsid w:val="00BF7673"/>
    <w:rsid w:val="00C261C9"/>
    <w:rsid w:val="00C2670B"/>
    <w:rsid w:val="00C35DA2"/>
    <w:rsid w:val="00C42F87"/>
    <w:rsid w:val="00C45053"/>
    <w:rsid w:val="00C54EEC"/>
    <w:rsid w:val="00C56754"/>
    <w:rsid w:val="00C62624"/>
    <w:rsid w:val="00C709E6"/>
    <w:rsid w:val="00C74C1E"/>
    <w:rsid w:val="00C821D2"/>
    <w:rsid w:val="00C84ABD"/>
    <w:rsid w:val="00C94919"/>
    <w:rsid w:val="00CA188E"/>
    <w:rsid w:val="00CA4A17"/>
    <w:rsid w:val="00CB242C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84142"/>
    <w:rsid w:val="00D86D56"/>
    <w:rsid w:val="00D92109"/>
    <w:rsid w:val="00D925BA"/>
    <w:rsid w:val="00D92F9A"/>
    <w:rsid w:val="00D9789F"/>
    <w:rsid w:val="00DB053F"/>
    <w:rsid w:val="00DB12F2"/>
    <w:rsid w:val="00DB20EA"/>
    <w:rsid w:val="00DB44FE"/>
    <w:rsid w:val="00DC7E65"/>
    <w:rsid w:val="00DD060F"/>
    <w:rsid w:val="00DD3606"/>
    <w:rsid w:val="00DD6BE5"/>
    <w:rsid w:val="00DD7D29"/>
    <w:rsid w:val="00DE03B1"/>
    <w:rsid w:val="00DE4E5A"/>
    <w:rsid w:val="00DF0329"/>
    <w:rsid w:val="00DF351F"/>
    <w:rsid w:val="00DF5954"/>
    <w:rsid w:val="00DF7BA3"/>
    <w:rsid w:val="00E02E21"/>
    <w:rsid w:val="00E03ADA"/>
    <w:rsid w:val="00E0719C"/>
    <w:rsid w:val="00E12121"/>
    <w:rsid w:val="00E17FD5"/>
    <w:rsid w:val="00E24F22"/>
    <w:rsid w:val="00E2612D"/>
    <w:rsid w:val="00E32C48"/>
    <w:rsid w:val="00E3538B"/>
    <w:rsid w:val="00E5472B"/>
    <w:rsid w:val="00E5650C"/>
    <w:rsid w:val="00E75AA6"/>
    <w:rsid w:val="00E85CDE"/>
    <w:rsid w:val="00E95A36"/>
    <w:rsid w:val="00EB1CBC"/>
    <w:rsid w:val="00EB5328"/>
    <w:rsid w:val="00EC7FCE"/>
    <w:rsid w:val="00ED1EEA"/>
    <w:rsid w:val="00ED408D"/>
    <w:rsid w:val="00EE10D6"/>
    <w:rsid w:val="00EE2025"/>
    <w:rsid w:val="00EE3CC6"/>
    <w:rsid w:val="00EE417B"/>
    <w:rsid w:val="00F03091"/>
    <w:rsid w:val="00F04C45"/>
    <w:rsid w:val="00F0789E"/>
    <w:rsid w:val="00F11070"/>
    <w:rsid w:val="00F17852"/>
    <w:rsid w:val="00F1789D"/>
    <w:rsid w:val="00F23455"/>
    <w:rsid w:val="00F2366A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370E"/>
    <w:rsid w:val="00FB4F7A"/>
    <w:rsid w:val="00FC3F82"/>
    <w:rsid w:val="00FD3715"/>
    <w:rsid w:val="00FD715B"/>
    <w:rsid w:val="00FE16B9"/>
    <w:rsid w:val="00FE5061"/>
    <w:rsid w:val="00FE6A1F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8844C"/>
  <w15:docId w15:val="{F00A052E-254B-4E6C-B7D1-E70F74A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160D-2380-4A95-B206-D2F56D72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Лукманова Лилия Ансаровна</cp:lastModifiedBy>
  <cp:revision>3</cp:revision>
  <cp:lastPrinted>2017-11-07T10:10:00Z</cp:lastPrinted>
  <dcterms:created xsi:type="dcterms:W3CDTF">2017-11-07T10:10:00Z</dcterms:created>
  <dcterms:modified xsi:type="dcterms:W3CDTF">2017-11-10T06:53:00Z</dcterms:modified>
</cp:coreProperties>
</file>