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2F37A5">
        <w:trPr>
          <w:jc w:val="center"/>
        </w:trPr>
        <w:tc>
          <w:tcPr>
            <w:tcW w:w="142" w:type="dxa"/>
            <w:noWrap/>
          </w:tcPr>
          <w:p w:rsidR="002F37A5" w:rsidRDefault="0016313B">
            <w:pPr>
              <w:spacing w:line="120" w:lineRule="atLeast"/>
              <w:jc w:val="right"/>
              <w:rPr>
                <w:sz w:val="24"/>
                <w:szCs w:val="24"/>
              </w:rPr>
            </w:pPr>
            <w:bookmarkStart w:id="0" w:name="_GoBack"/>
            <w:bookmarkEnd w:id="0"/>
            <w:r>
              <w:rPr>
                <w:sz w:val="24"/>
                <w:szCs w:val="24"/>
              </w:rPr>
              <w:t>«</w:t>
            </w:r>
          </w:p>
        </w:tc>
        <w:tc>
          <w:tcPr>
            <w:tcW w:w="427" w:type="dxa"/>
            <w:tcBorders>
              <w:bottom w:val="single" w:sz="4" w:space="0" w:color="auto"/>
            </w:tcBorders>
          </w:tcPr>
          <w:p w:rsidR="002F37A5" w:rsidRDefault="00B60A7B">
            <w:pPr>
              <w:spacing w:line="120" w:lineRule="atLeast"/>
              <w:jc w:val="center"/>
              <w:rPr>
                <w:sz w:val="24"/>
                <w:szCs w:val="24"/>
                <w:lang w:val="en-US"/>
              </w:rPr>
            </w:pPr>
            <w:r>
              <w:rPr>
                <w:sz w:val="24"/>
                <w:szCs w:val="24"/>
                <w:lang w:val="en-US"/>
              </w:rPr>
              <w:t>05</w:t>
            </w:r>
          </w:p>
        </w:tc>
        <w:tc>
          <w:tcPr>
            <w:tcW w:w="142" w:type="dxa"/>
            <w:noWrap/>
          </w:tcPr>
          <w:p w:rsidR="002F37A5" w:rsidRDefault="0016313B">
            <w:pPr>
              <w:spacing w:line="120" w:lineRule="atLeast"/>
              <w:rPr>
                <w:sz w:val="24"/>
                <w:szCs w:val="24"/>
              </w:rPr>
            </w:pPr>
            <w:r>
              <w:rPr>
                <w:sz w:val="24"/>
                <w:szCs w:val="24"/>
              </w:rPr>
              <w:t>»</w:t>
            </w:r>
          </w:p>
        </w:tc>
        <w:tc>
          <w:tcPr>
            <w:tcW w:w="1561" w:type="dxa"/>
            <w:tcBorders>
              <w:bottom w:val="single" w:sz="4" w:space="0" w:color="auto"/>
            </w:tcBorders>
          </w:tcPr>
          <w:p w:rsidR="002F37A5" w:rsidRPr="00B60A7B" w:rsidRDefault="00B60A7B">
            <w:pPr>
              <w:spacing w:line="120" w:lineRule="atLeast"/>
              <w:jc w:val="center"/>
              <w:rPr>
                <w:sz w:val="24"/>
                <w:szCs w:val="24"/>
                <w:lang w:val="en-US"/>
              </w:rPr>
            </w:pPr>
            <w:r>
              <w:rPr>
                <w:sz w:val="24"/>
                <w:szCs w:val="24"/>
                <w:lang w:val="en-US"/>
              </w:rPr>
              <w:t>04</w:t>
            </w:r>
          </w:p>
        </w:tc>
        <w:tc>
          <w:tcPr>
            <w:tcW w:w="252" w:type="dxa"/>
          </w:tcPr>
          <w:p w:rsidR="002F37A5" w:rsidRDefault="0016313B">
            <w:pPr>
              <w:spacing w:line="120" w:lineRule="atLeast"/>
              <w:rPr>
                <w:sz w:val="24"/>
                <w:szCs w:val="24"/>
              </w:rPr>
            </w:pPr>
            <w:r>
              <w:rPr>
                <w:sz w:val="24"/>
                <w:szCs w:val="24"/>
              </w:rPr>
              <w:t>20</w:t>
            </w:r>
          </w:p>
        </w:tc>
        <w:tc>
          <w:tcPr>
            <w:tcW w:w="364" w:type="dxa"/>
            <w:tcBorders>
              <w:bottom w:val="single" w:sz="4" w:space="0" w:color="auto"/>
            </w:tcBorders>
          </w:tcPr>
          <w:p w:rsidR="002F37A5" w:rsidRDefault="00B60A7B">
            <w:pPr>
              <w:spacing w:line="120" w:lineRule="atLeast"/>
              <w:jc w:val="center"/>
              <w:rPr>
                <w:sz w:val="24"/>
                <w:szCs w:val="24"/>
                <w:lang w:val="en-US"/>
              </w:rPr>
            </w:pPr>
            <w:r>
              <w:rPr>
                <w:sz w:val="24"/>
                <w:szCs w:val="24"/>
                <w:lang w:val="en-US"/>
              </w:rPr>
              <w:t>17</w:t>
            </w:r>
          </w:p>
        </w:tc>
        <w:tc>
          <w:tcPr>
            <w:tcW w:w="182" w:type="dxa"/>
          </w:tcPr>
          <w:p w:rsidR="002F37A5" w:rsidRDefault="0016313B">
            <w:pPr>
              <w:spacing w:line="120" w:lineRule="atLeast"/>
              <w:rPr>
                <w:sz w:val="24"/>
                <w:szCs w:val="24"/>
              </w:rPr>
            </w:pPr>
            <w:r>
              <w:rPr>
                <w:sz w:val="24"/>
                <w:szCs w:val="24"/>
              </w:rPr>
              <w:t>г.</w:t>
            </w:r>
          </w:p>
        </w:tc>
        <w:tc>
          <w:tcPr>
            <w:tcW w:w="5000" w:type="dxa"/>
          </w:tcPr>
          <w:p w:rsidR="002F37A5" w:rsidRDefault="002F37A5">
            <w:pPr>
              <w:spacing w:line="120" w:lineRule="atLeast"/>
              <w:rPr>
                <w:sz w:val="24"/>
                <w:szCs w:val="24"/>
              </w:rPr>
            </w:pPr>
          </w:p>
        </w:tc>
        <w:tc>
          <w:tcPr>
            <w:tcW w:w="235" w:type="dxa"/>
          </w:tcPr>
          <w:p w:rsidR="002F37A5" w:rsidRDefault="0016313B">
            <w:pPr>
              <w:spacing w:line="120" w:lineRule="atLeast"/>
              <w:rPr>
                <w:sz w:val="24"/>
                <w:szCs w:val="24"/>
              </w:rPr>
            </w:pPr>
            <w:r>
              <w:rPr>
                <w:sz w:val="24"/>
                <w:szCs w:val="24"/>
              </w:rPr>
              <w:t>№</w:t>
            </w:r>
          </w:p>
        </w:tc>
        <w:tc>
          <w:tcPr>
            <w:tcW w:w="1340" w:type="dxa"/>
            <w:tcBorders>
              <w:bottom w:val="single" w:sz="4" w:space="0" w:color="auto"/>
            </w:tcBorders>
          </w:tcPr>
          <w:p w:rsidR="002F37A5" w:rsidRPr="00B60A7B" w:rsidRDefault="00B60A7B">
            <w:pPr>
              <w:spacing w:line="120" w:lineRule="atLeast"/>
              <w:jc w:val="center"/>
              <w:rPr>
                <w:sz w:val="24"/>
                <w:szCs w:val="24"/>
                <w:lang w:val="en-US"/>
              </w:rPr>
            </w:pPr>
            <w:r>
              <w:rPr>
                <w:sz w:val="24"/>
                <w:szCs w:val="24"/>
                <w:lang w:val="en-US"/>
              </w:rPr>
              <w:t>558</w:t>
            </w:r>
          </w:p>
        </w:tc>
      </w:tr>
    </w:tbl>
    <w:p w:rsidR="002F37A5" w:rsidRDefault="00E163CB">
      <w:pPr>
        <w:rPr>
          <w:rFonts w:cs="Times New Roman"/>
        </w:rPr>
      </w:pPr>
      <w:r>
        <w:rPr>
          <w:noProof/>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F37A5" w:rsidRDefault="0016313B">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76.5pt" o:ole="">
                                  <v:imagedata r:id="rId8" o:title="" gain="1.5625" blacklevel="3932f" grayscale="t"/>
                                </v:shape>
                                <o:OLEObject Type="Embed" ProgID="CorelDRAW.Graphic.11" ShapeID="_x0000_i1026" DrawAspect="Content" ObjectID="_1570358634" r:id="rId9"/>
                              </w:object>
                            </w:r>
                          </w:p>
                          <w:p w:rsidR="002F37A5" w:rsidRDefault="002F37A5">
                            <w:pPr>
                              <w:spacing w:line="120" w:lineRule="atLeast"/>
                              <w:jc w:val="center"/>
                              <w:rPr>
                                <w:rFonts w:eastAsia="Times New Roman" w:cs="Times New Roman"/>
                                <w:sz w:val="10"/>
                                <w:szCs w:val="24"/>
                                <w:lang w:eastAsia="ru-RU"/>
                              </w:rPr>
                            </w:pPr>
                          </w:p>
                          <w:p w:rsidR="002F37A5" w:rsidRDefault="0016313B">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2F37A5" w:rsidRDefault="0016313B">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2F37A5" w:rsidRDefault="002F37A5">
                            <w:pPr>
                              <w:spacing w:line="120" w:lineRule="atLeast"/>
                              <w:jc w:val="center"/>
                              <w:rPr>
                                <w:rFonts w:eastAsia="Times New Roman" w:cs="Times New Roman"/>
                                <w:b/>
                                <w:sz w:val="18"/>
                                <w:szCs w:val="24"/>
                                <w:lang w:eastAsia="ru-RU"/>
                              </w:rPr>
                            </w:pPr>
                          </w:p>
                          <w:p w:rsidR="002F37A5" w:rsidRDefault="0016313B">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2F37A5" w:rsidRDefault="002F37A5">
                            <w:pPr>
                              <w:spacing w:line="120" w:lineRule="atLeast"/>
                              <w:jc w:val="center"/>
                              <w:rPr>
                                <w:rFonts w:eastAsia="Times New Roman" w:cs="Times New Roman"/>
                                <w:sz w:val="18"/>
                                <w:szCs w:val="24"/>
                                <w:lang w:eastAsia="ru-RU"/>
                              </w:rPr>
                            </w:pPr>
                          </w:p>
                          <w:p w:rsidR="002F37A5" w:rsidRDefault="002F37A5">
                            <w:pPr>
                              <w:spacing w:line="120" w:lineRule="atLeast"/>
                              <w:jc w:val="center"/>
                              <w:rPr>
                                <w:rFonts w:eastAsia="Times New Roman" w:cs="Times New Roman"/>
                                <w:sz w:val="20"/>
                                <w:szCs w:val="24"/>
                                <w:lang w:eastAsia="ru-RU"/>
                              </w:rPr>
                            </w:pPr>
                          </w:p>
                          <w:p w:rsidR="002F37A5" w:rsidRDefault="0016313B">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2F37A5" w:rsidRDefault="002F37A5">
                            <w:pPr>
                              <w:spacing w:line="120" w:lineRule="atLeast"/>
                              <w:jc w:val="center"/>
                              <w:rPr>
                                <w:rFonts w:eastAsia="Times New Roman" w:cs="Times New Roman"/>
                                <w:sz w:val="30"/>
                                <w:szCs w:val="24"/>
                                <w:lang w:eastAsia="ru-RU"/>
                              </w:rPr>
                            </w:pPr>
                          </w:p>
                          <w:p w:rsidR="002F37A5" w:rsidRDefault="002F37A5">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2F37A5" w:rsidRDefault="0016313B">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1185" w:dyaOrig="1530">
                          <v:shape id="_x0000_i1026" type="#_x0000_t75" style="width:59.25pt;height:76.5pt" o:ole="">
                            <v:imagedata r:id="rId8" o:title="" gain="1.5625" blacklevel="3932f" grayscale="t"/>
                          </v:shape>
                          <o:OLEObject Type="Embed" ProgID="CorelDRAW.Graphic.11" ShapeID="_x0000_i1026" DrawAspect="Content" ObjectID="_1570358634" r:id="rId10"/>
                        </w:object>
                      </w:r>
                    </w:p>
                    <w:p w:rsidR="002F37A5" w:rsidRDefault="002F37A5">
                      <w:pPr>
                        <w:spacing w:line="120" w:lineRule="atLeast"/>
                        <w:jc w:val="center"/>
                        <w:rPr>
                          <w:rFonts w:eastAsia="Times New Roman" w:cs="Times New Roman"/>
                          <w:sz w:val="10"/>
                          <w:szCs w:val="24"/>
                          <w:lang w:eastAsia="ru-RU"/>
                        </w:rPr>
                      </w:pPr>
                    </w:p>
                    <w:p w:rsidR="002F37A5" w:rsidRDefault="0016313B">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2F37A5" w:rsidRDefault="0016313B">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2F37A5" w:rsidRDefault="002F37A5">
                      <w:pPr>
                        <w:spacing w:line="120" w:lineRule="atLeast"/>
                        <w:jc w:val="center"/>
                        <w:rPr>
                          <w:rFonts w:eastAsia="Times New Roman" w:cs="Times New Roman"/>
                          <w:b/>
                          <w:sz w:val="18"/>
                          <w:szCs w:val="24"/>
                          <w:lang w:eastAsia="ru-RU"/>
                        </w:rPr>
                      </w:pPr>
                    </w:p>
                    <w:p w:rsidR="002F37A5" w:rsidRDefault="0016313B">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2F37A5" w:rsidRDefault="002F37A5">
                      <w:pPr>
                        <w:spacing w:line="120" w:lineRule="atLeast"/>
                        <w:jc w:val="center"/>
                        <w:rPr>
                          <w:rFonts w:eastAsia="Times New Roman" w:cs="Times New Roman"/>
                          <w:sz w:val="18"/>
                          <w:szCs w:val="24"/>
                          <w:lang w:eastAsia="ru-RU"/>
                        </w:rPr>
                      </w:pPr>
                    </w:p>
                    <w:p w:rsidR="002F37A5" w:rsidRDefault="002F37A5">
                      <w:pPr>
                        <w:spacing w:line="120" w:lineRule="atLeast"/>
                        <w:jc w:val="center"/>
                        <w:rPr>
                          <w:rFonts w:eastAsia="Times New Roman" w:cs="Times New Roman"/>
                          <w:sz w:val="20"/>
                          <w:szCs w:val="24"/>
                          <w:lang w:eastAsia="ru-RU"/>
                        </w:rPr>
                      </w:pPr>
                    </w:p>
                    <w:p w:rsidR="002F37A5" w:rsidRDefault="0016313B">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2F37A5" w:rsidRDefault="002F37A5">
                      <w:pPr>
                        <w:spacing w:line="120" w:lineRule="atLeast"/>
                        <w:jc w:val="center"/>
                        <w:rPr>
                          <w:rFonts w:eastAsia="Times New Roman" w:cs="Times New Roman"/>
                          <w:sz w:val="30"/>
                          <w:szCs w:val="24"/>
                          <w:lang w:eastAsia="ru-RU"/>
                        </w:rPr>
                      </w:pPr>
                    </w:p>
                    <w:p w:rsidR="002F37A5" w:rsidRDefault="002F37A5">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2F37A5" w:rsidRDefault="0016313B">
      <w:pPr>
        <w:widowControl w:val="0"/>
        <w:jc w:val="both"/>
        <w:rPr>
          <w:rFonts w:eastAsia="Times New Roman" w:cs="Times New Roman"/>
        </w:rPr>
      </w:pPr>
      <w:r>
        <w:rPr>
          <w:rFonts w:eastAsia="Times New Roman" w:cs="Times New Roman"/>
        </w:rPr>
        <w:t xml:space="preserve">Об итогах социально-экономического </w:t>
      </w:r>
    </w:p>
    <w:p w:rsidR="002F37A5" w:rsidRDefault="0016313B">
      <w:pPr>
        <w:widowControl w:val="0"/>
        <w:jc w:val="both"/>
        <w:rPr>
          <w:rFonts w:eastAsia="Times New Roman" w:cs="Times New Roman"/>
        </w:rPr>
      </w:pPr>
      <w:r>
        <w:rPr>
          <w:rFonts w:eastAsia="Times New Roman" w:cs="Times New Roman"/>
        </w:rPr>
        <w:t xml:space="preserve">развития муниципального образования </w:t>
      </w:r>
    </w:p>
    <w:p w:rsidR="002F37A5" w:rsidRDefault="0016313B">
      <w:pPr>
        <w:widowControl w:val="0"/>
        <w:jc w:val="both"/>
        <w:rPr>
          <w:rFonts w:eastAsia="Times New Roman" w:cs="Times New Roman"/>
        </w:rPr>
      </w:pPr>
      <w:r>
        <w:rPr>
          <w:rFonts w:eastAsia="Times New Roman" w:cs="Times New Roman"/>
        </w:rPr>
        <w:t>городской округ город Сургут за 2016 год</w:t>
      </w:r>
    </w:p>
    <w:p w:rsidR="002F37A5" w:rsidRDefault="002F37A5">
      <w:pPr>
        <w:ind w:firstLine="567"/>
        <w:jc w:val="both"/>
        <w:rPr>
          <w:rFonts w:eastAsia="Times New Roman" w:cs="Times New Roman"/>
        </w:rPr>
      </w:pPr>
    </w:p>
    <w:p w:rsidR="002F37A5" w:rsidRDefault="002F37A5">
      <w:pPr>
        <w:ind w:firstLine="567"/>
        <w:jc w:val="both"/>
        <w:rPr>
          <w:rFonts w:eastAsia="Times New Roman" w:cs="Times New Roman"/>
        </w:rPr>
      </w:pPr>
    </w:p>
    <w:p w:rsidR="002F37A5" w:rsidRDefault="0016313B">
      <w:pPr>
        <w:ind w:firstLine="567"/>
        <w:jc w:val="both"/>
        <w:rPr>
          <w:rFonts w:eastAsia="Times New Roman" w:cs="Times New Roman"/>
        </w:rPr>
      </w:pPr>
      <w:r>
        <w:rPr>
          <w:rFonts w:eastAsia="Times New Roman" w:cs="Times New Roman"/>
        </w:rPr>
        <w:t>В соответствии с распоряжениями Администрации города от 30.12.2005                 № 3686 «Об утверждении Регламента Администрации города»:</w:t>
      </w:r>
    </w:p>
    <w:p w:rsidR="002F37A5" w:rsidRDefault="0016313B">
      <w:pPr>
        <w:widowControl w:val="0"/>
        <w:autoSpaceDE w:val="0"/>
        <w:autoSpaceDN w:val="0"/>
        <w:adjustRightInd w:val="0"/>
        <w:ind w:firstLine="567"/>
        <w:jc w:val="both"/>
        <w:outlineLvl w:val="0"/>
        <w:rPr>
          <w:rFonts w:eastAsia="Times New Roman" w:cs="Times New Roman"/>
          <w:bCs/>
          <w:szCs w:val="28"/>
        </w:rPr>
      </w:pPr>
      <w:r>
        <w:rPr>
          <w:rFonts w:eastAsia="Times New Roman" w:cs="Times New Roman"/>
          <w:bCs/>
          <w:szCs w:val="28"/>
        </w:rPr>
        <w:t>1. Утвердить итоги социально-экономического развития муниципального образования городской округ город Сургут за 2016 год согласно приложению.</w:t>
      </w:r>
    </w:p>
    <w:p w:rsidR="002F37A5" w:rsidRDefault="0016313B">
      <w:pPr>
        <w:widowControl w:val="0"/>
        <w:ind w:firstLine="567"/>
        <w:jc w:val="both"/>
        <w:rPr>
          <w:rFonts w:eastAsia="Times New Roman" w:cs="Times New Roman"/>
        </w:rPr>
      </w:pPr>
      <w:r>
        <w:rPr>
          <w:rFonts w:eastAsia="Times New Roman" w:cs="Times New Roman"/>
        </w:rPr>
        <w:t>2.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w:t>
      </w:r>
    </w:p>
    <w:p w:rsidR="002F37A5" w:rsidRDefault="0016313B">
      <w:pPr>
        <w:widowControl w:val="0"/>
        <w:ind w:firstLine="567"/>
        <w:jc w:val="both"/>
        <w:rPr>
          <w:rFonts w:eastAsia="Times New Roman" w:cs="Times New Roman"/>
        </w:rPr>
      </w:pPr>
      <w:r>
        <w:rPr>
          <w:rFonts w:eastAsia="Times New Roman" w:cs="Times New Roman"/>
        </w:rPr>
        <w:t>3. Контроль за выполнением распоряжения возложить на заместителя            главы Администрации города Шерстневу А.Ю.</w:t>
      </w:r>
    </w:p>
    <w:p w:rsidR="002F37A5" w:rsidRDefault="002F37A5">
      <w:pPr>
        <w:widowControl w:val="0"/>
        <w:ind w:firstLine="567"/>
        <w:jc w:val="both"/>
        <w:rPr>
          <w:rFonts w:eastAsia="Times New Roman" w:cs="Times New Roman"/>
        </w:rPr>
      </w:pPr>
    </w:p>
    <w:p w:rsidR="002F37A5" w:rsidRDefault="002F37A5">
      <w:pPr>
        <w:widowControl w:val="0"/>
        <w:ind w:firstLine="709"/>
        <w:jc w:val="both"/>
        <w:rPr>
          <w:rFonts w:eastAsia="Times New Roman" w:cs="Times New Roman"/>
        </w:rPr>
      </w:pPr>
    </w:p>
    <w:p w:rsidR="002F37A5" w:rsidRDefault="002F37A5">
      <w:pPr>
        <w:widowControl w:val="0"/>
        <w:ind w:firstLine="709"/>
        <w:jc w:val="both"/>
        <w:rPr>
          <w:rFonts w:eastAsia="Times New Roman" w:cs="Times New Roman"/>
        </w:rPr>
      </w:pPr>
    </w:p>
    <w:p w:rsidR="002F37A5" w:rsidRDefault="0016313B">
      <w:pPr>
        <w:widowControl w:val="0"/>
        <w:jc w:val="both"/>
        <w:rPr>
          <w:rFonts w:eastAsia="Times New Roman" w:cs="Times New Roman"/>
        </w:rPr>
      </w:pPr>
      <w:r>
        <w:rPr>
          <w:rFonts w:eastAsia="Times New Roman" w:cs="Times New Roman"/>
        </w:rPr>
        <w:t>Глава города                                                                                           В.Н. Шувалов</w:t>
      </w:r>
    </w:p>
    <w:p w:rsidR="002F37A5" w:rsidRDefault="002F37A5">
      <w:pPr>
        <w:rPr>
          <w:rFonts w:cs="Times New Roman"/>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2F37A5">
      <w:pPr>
        <w:ind w:left="5954" w:right="-1"/>
        <w:rPr>
          <w:szCs w:val="28"/>
        </w:rPr>
      </w:pPr>
    </w:p>
    <w:p w:rsidR="002F37A5" w:rsidRDefault="0016313B">
      <w:pPr>
        <w:ind w:left="5954" w:right="-1"/>
        <w:rPr>
          <w:szCs w:val="28"/>
        </w:rPr>
      </w:pPr>
      <w:r>
        <w:rPr>
          <w:szCs w:val="28"/>
        </w:rPr>
        <w:lastRenderedPageBreak/>
        <w:t>Приложение</w:t>
      </w:r>
    </w:p>
    <w:p w:rsidR="002F37A5" w:rsidRDefault="0016313B">
      <w:pPr>
        <w:ind w:left="5954" w:right="-1"/>
        <w:rPr>
          <w:szCs w:val="28"/>
        </w:rPr>
      </w:pPr>
      <w:r>
        <w:rPr>
          <w:szCs w:val="28"/>
        </w:rPr>
        <w:t>к распоряжению</w:t>
      </w:r>
    </w:p>
    <w:p w:rsidR="002F37A5" w:rsidRDefault="0016313B">
      <w:pPr>
        <w:ind w:left="5954" w:right="-1"/>
        <w:rPr>
          <w:szCs w:val="28"/>
        </w:rPr>
      </w:pPr>
      <w:r>
        <w:rPr>
          <w:szCs w:val="28"/>
        </w:rPr>
        <w:t>Администрации города</w:t>
      </w:r>
    </w:p>
    <w:p w:rsidR="002F37A5" w:rsidRDefault="0016313B">
      <w:pPr>
        <w:ind w:left="5954" w:right="-1"/>
        <w:rPr>
          <w:szCs w:val="28"/>
        </w:rPr>
      </w:pPr>
      <w:r>
        <w:rPr>
          <w:szCs w:val="28"/>
        </w:rPr>
        <w:t>от ____________ № _________</w:t>
      </w:r>
    </w:p>
    <w:p w:rsidR="002F37A5" w:rsidRDefault="002F37A5">
      <w:pPr>
        <w:ind w:left="5954" w:right="-1"/>
        <w:rPr>
          <w:szCs w:val="28"/>
        </w:rPr>
      </w:pPr>
    </w:p>
    <w:p w:rsidR="002F37A5" w:rsidRDefault="002F37A5">
      <w:pPr>
        <w:jc w:val="center"/>
      </w:pPr>
    </w:p>
    <w:p w:rsidR="002F37A5" w:rsidRDefault="0016313B">
      <w:pPr>
        <w:jc w:val="center"/>
      </w:pPr>
      <w:r>
        <w:t>Итоги</w:t>
      </w:r>
    </w:p>
    <w:p w:rsidR="002F37A5" w:rsidRDefault="0016313B">
      <w:pPr>
        <w:jc w:val="center"/>
      </w:pPr>
      <w:r>
        <w:t>социально-экономического развития муниципального образования</w:t>
      </w:r>
    </w:p>
    <w:p w:rsidR="002F37A5" w:rsidRDefault="0016313B">
      <w:pPr>
        <w:jc w:val="center"/>
      </w:pPr>
      <w:r>
        <w:t>городской округ город Сургут за 2016 год</w:t>
      </w:r>
    </w:p>
    <w:p w:rsidR="002F37A5" w:rsidRDefault="002F37A5">
      <w:pPr>
        <w:widowControl w:val="0"/>
        <w:jc w:val="both"/>
      </w:pPr>
    </w:p>
    <w:tbl>
      <w:tblPr>
        <w:tblW w:w="9724" w:type="dxa"/>
        <w:jc w:val="center"/>
        <w:tblCellMar>
          <w:left w:w="10" w:type="dxa"/>
          <w:right w:w="10" w:type="dxa"/>
        </w:tblCellMar>
        <w:tblLook w:val="0000" w:firstRow="0" w:lastRow="0" w:firstColumn="0" w:lastColumn="0" w:noHBand="0" w:noVBand="0"/>
      </w:tblPr>
      <w:tblGrid>
        <w:gridCol w:w="3869"/>
        <w:gridCol w:w="1516"/>
        <w:gridCol w:w="110"/>
        <w:gridCol w:w="1315"/>
        <w:gridCol w:w="110"/>
        <w:gridCol w:w="1348"/>
        <w:gridCol w:w="45"/>
        <w:gridCol w:w="1411"/>
      </w:tblGrid>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Показатели</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Единица</w:t>
            </w:r>
          </w:p>
          <w:p w:rsidR="002F37A5" w:rsidRDefault="0016313B">
            <w:pPr>
              <w:jc w:val="center"/>
            </w:pPr>
            <w:r>
              <w:t>измерения</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2015 год,</w:t>
            </w:r>
          </w:p>
          <w:p w:rsidR="002F37A5" w:rsidRDefault="0016313B">
            <w:pPr>
              <w:jc w:val="center"/>
            </w:pPr>
            <w:r>
              <w:t>отчет</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2016 год,</w:t>
            </w:r>
          </w:p>
          <w:p w:rsidR="002F37A5" w:rsidRDefault="0016313B">
            <w:pPr>
              <w:jc w:val="center"/>
            </w:pPr>
            <w:r>
              <w:t>отчет</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2016 год</w:t>
            </w:r>
          </w:p>
          <w:p w:rsidR="002F37A5" w:rsidRDefault="0016313B">
            <w:pPr>
              <w:ind w:left="-111" w:right="-66"/>
              <w:jc w:val="center"/>
              <w:rPr>
                <w:spacing w:val="-8"/>
              </w:rPr>
            </w:pPr>
            <w:r>
              <w:rPr>
                <w:spacing w:val="-8"/>
              </w:rPr>
              <w:t>к 2015 году, %</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rPr>
                <w:sz w:val="10"/>
                <w:szCs w:val="10"/>
              </w:rPr>
            </w:pPr>
          </w:p>
          <w:p w:rsidR="002F37A5" w:rsidRDefault="0016313B">
            <w:pPr>
              <w:ind w:firstLine="35"/>
            </w:pPr>
            <w:r>
              <w:t>1. Промышленность</w:t>
            </w:r>
          </w:p>
          <w:p w:rsidR="002F37A5" w:rsidRDefault="002F37A5">
            <w:pPr>
              <w:ind w:firstLine="35"/>
              <w:rPr>
                <w:sz w:val="10"/>
                <w:szCs w:val="10"/>
              </w:rPr>
            </w:pPr>
          </w:p>
        </w:tc>
      </w:tr>
      <w:tr w:rsidR="002F37A5">
        <w:trPr>
          <w:trHeight w:val="660"/>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jc w:val="center"/>
              <w:rPr>
                <w:sz w:val="10"/>
                <w:szCs w:val="10"/>
              </w:rPr>
            </w:pPr>
          </w:p>
          <w:p w:rsidR="002F37A5" w:rsidRDefault="002F37A5">
            <w:pPr>
              <w:rPr>
                <w:sz w:val="10"/>
                <w:szCs w:val="10"/>
              </w:rPr>
            </w:pPr>
          </w:p>
          <w:p w:rsidR="002F37A5" w:rsidRDefault="0016313B">
            <w:pPr>
              <w:jc w:val="both"/>
            </w:pPr>
            <w: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w:t>
            </w:r>
          </w:p>
          <w:p w:rsidR="002F37A5" w:rsidRDefault="002F37A5">
            <w:pP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390 292,6</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397 584,6</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88,0</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99,3</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114,0</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102,6</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том числе</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rFonts w:eastAsia="Calibri"/>
              </w:rPr>
            </w:pPr>
            <w:r>
              <w:rPr>
                <w:rFonts w:eastAsia="Calibri"/>
              </w:rP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1.1.1. Добыча полезных ископаемых</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4 816,3</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4 265,2</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88,6</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106,8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99,9</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1.1.2. Обрабатывающие производства</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304 692,7</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308 832,1</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87,4</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99,0</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117,8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102,4</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1.1.3. Производство и распределение электроэнергии, газа и воды</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80 783,7</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84 487,3</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89,5</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101,0</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103,5</w:t>
            </w: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pPr>
              <w:jc w:val="both"/>
            </w:pPr>
            <w:r>
              <w:t>1.2. Производство основных видов промышленной продукции в натуральном выражении по крупным и средним производителям промышленной продукции</w:t>
            </w:r>
          </w:p>
          <w:p w:rsidR="002F37A5" w:rsidRDefault="002F37A5">
            <w:pPr>
              <w:rPr>
                <w:sz w:val="10"/>
                <w:szCs w:val="10"/>
              </w:rPr>
            </w:pPr>
          </w:p>
        </w:tc>
      </w:tr>
      <w:tr w:rsidR="002F37A5">
        <w:trPr>
          <w:trHeight w:val="27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1.2.1. Электроэнергия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млн. кВт-ч</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53 665,6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56 157,7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104,6</w:t>
            </w:r>
          </w:p>
        </w:tc>
      </w:tr>
      <w:tr w:rsidR="002F37A5">
        <w:trPr>
          <w:trHeight w:val="8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1.2.2. Теплоэнергия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Гкал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3 613,1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3 759,2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104,0</w:t>
            </w:r>
          </w:p>
        </w:tc>
      </w:tr>
      <w:tr w:rsidR="002F37A5">
        <w:trPr>
          <w:trHeight w:val="18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1.2.3. Cборный железобетон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куб. м</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194,4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185,3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95,3</w:t>
            </w:r>
          </w:p>
        </w:tc>
      </w:tr>
      <w:tr w:rsidR="002F37A5">
        <w:trPr>
          <w:trHeight w:val="27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1.2.4. Газеты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млн. шт.</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171,1</w:t>
            </w:r>
          </w:p>
        </w:tc>
      </w:tr>
      <w:tr w:rsidR="002F37A5">
        <w:trPr>
          <w:trHeight w:val="25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lastRenderedPageBreak/>
              <w:t>1.2.5. Хлебобулочные изделия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13 500,0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13 035,2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96,6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1.2.6. Кондитерские изделия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379,5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350,2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92,3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1.2.7. Колбасные изделия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7 480,8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7 290,0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1.2.8. Мясные полуфабрикаты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тонн</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775,6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1 086,1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140,0</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2. Строительство и инвестиции</w:t>
            </w:r>
          </w:p>
          <w:p w:rsidR="002F37A5" w:rsidRDefault="002F37A5">
            <w:pPr>
              <w:rPr>
                <w:sz w:val="10"/>
                <w:szCs w:val="10"/>
              </w:rPr>
            </w:pP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jc w:val="both"/>
              <w:rPr>
                <w:color w:val="000000"/>
                <w:sz w:val="10"/>
                <w:szCs w:val="10"/>
              </w:rPr>
            </w:pPr>
          </w:p>
          <w:p w:rsidR="002F37A5" w:rsidRDefault="0016313B">
            <w:pPr>
              <w:jc w:val="both"/>
              <w:rPr>
                <w:color w:val="000000"/>
              </w:rPr>
            </w:pPr>
            <w:r>
              <w:rPr>
                <w:color w:val="000000"/>
              </w:rPr>
              <w:t xml:space="preserve">2.1. Объем инвестиций в основной капитал за счет всех источников финансирования </w:t>
            </w:r>
            <w:r>
              <w:t>по крупным и средним организациям</w:t>
            </w:r>
            <w:r>
              <w:rPr>
                <w:color w:val="000000"/>
              </w:rPr>
              <w:t xml:space="preserve"> – всего</w:t>
            </w:r>
          </w:p>
          <w:p w:rsidR="002F37A5" w:rsidRDefault="002F37A5">
            <w:pPr>
              <w:jc w:val="both"/>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43 053,5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34 058,5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79,1</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90,8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78,0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 xml:space="preserve">2.2. Ввод в эксплуатацию </w:t>
            </w:r>
          </w:p>
          <w:p w:rsidR="002F37A5" w:rsidRDefault="0016313B">
            <w:r>
              <w:t>жилых домов</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кв. м</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240,2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244,6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том числе индивидуальных жилых домов</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кв. м</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6,7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121,8</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color w:val="000000"/>
                <w:sz w:val="10"/>
                <w:szCs w:val="10"/>
              </w:rPr>
            </w:pPr>
          </w:p>
          <w:p w:rsidR="002F37A5" w:rsidRDefault="0016313B">
            <w:pPr>
              <w:jc w:val="both"/>
              <w:rPr>
                <w:color w:val="000000"/>
                <w:spacing w:val="-6"/>
              </w:rPr>
            </w:pPr>
            <w:r>
              <w:rPr>
                <w:color w:val="000000"/>
                <w:spacing w:val="-8"/>
              </w:rPr>
              <w:t xml:space="preserve">2.3. Объем работ, выполненных по виду деятельности «строительство» </w:t>
            </w:r>
            <w:r>
              <w:rPr>
                <w:spacing w:val="-8"/>
              </w:rPr>
              <w:t>по крупным</w:t>
            </w:r>
            <w:r>
              <w:t xml:space="preserve"> и средним организациям</w:t>
            </w:r>
          </w:p>
          <w:p w:rsidR="002F37A5" w:rsidRDefault="002F37A5">
            <w:pP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36 224,2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32 109,0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88,6</w:t>
            </w:r>
          </w:p>
        </w:tc>
      </w:tr>
      <w:tr w:rsidR="002F37A5">
        <w:trPr>
          <w:trHeight w:val="136"/>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28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100,2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rPr>
                <w:sz w:val="10"/>
                <w:szCs w:val="10"/>
              </w:rPr>
            </w:pPr>
          </w:p>
          <w:p w:rsidR="002F37A5" w:rsidRDefault="0016313B">
            <w:pPr>
              <w:ind w:firstLine="35"/>
            </w:pPr>
            <w:r>
              <w:t>3. Транспорт и связь</w:t>
            </w:r>
          </w:p>
          <w:p w:rsidR="002F37A5" w:rsidRDefault="002F37A5">
            <w:pPr>
              <w:ind w:firstLine="35"/>
              <w:rPr>
                <w:sz w:val="10"/>
                <w:szCs w:val="10"/>
              </w:rPr>
            </w:pPr>
          </w:p>
        </w:tc>
      </w:tr>
      <w:tr w:rsidR="002F37A5">
        <w:trPr>
          <w:trHeight w:val="653"/>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jc w:val="both"/>
              <w:rPr>
                <w:sz w:val="10"/>
                <w:szCs w:val="10"/>
              </w:rPr>
            </w:pPr>
          </w:p>
          <w:p w:rsidR="002F37A5" w:rsidRDefault="0016313B">
            <w:pPr>
              <w:ind w:firstLine="35"/>
              <w:jc w:val="both"/>
            </w:pPr>
            <w:r>
              <w:t xml:space="preserve">Выполнено услуг по виду экономической деятельности «транспорт </w:t>
            </w:r>
            <w:r>
              <w:br/>
              <w:t>и связь» по крупным и средним организациям</w:t>
            </w:r>
          </w:p>
          <w:p w:rsidR="002F37A5" w:rsidRDefault="002F37A5">
            <w:pPr>
              <w:ind w:firstLine="35"/>
              <w:jc w:val="both"/>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firstLine="35"/>
            </w:pPr>
            <w:r>
              <w:rPr>
                <w:color w:val="000000"/>
              </w:rP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155 614,2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173 417,4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111,4</w:t>
            </w:r>
          </w:p>
        </w:tc>
      </w:tr>
      <w:tr w:rsidR="002F37A5">
        <w:trPr>
          <w:trHeight w:val="389"/>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firstLine="35"/>
            </w:pPr>
            <w:r>
              <w:rPr>
                <w:color w:val="000000"/>
              </w:rP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76,0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101,2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w:t>
            </w:r>
          </w:p>
        </w:tc>
      </w:tr>
      <w:tr w:rsidR="002F37A5">
        <w:trPr>
          <w:trHeight w:val="338"/>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firstLine="35"/>
            </w:pPr>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110,7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110,2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4. Малый бизнес</w:t>
            </w:r>
          </w:p>
          <w:p w:rsidR="002F37A5" w:rsidRDefault="002F37A5">
            <w:pPr>
              <w:rPr>
                <w:sz w:val="10"/>
                <w:szCs w:val="10"/>
              </w:rPr>
            </w:pP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4.1. Оборот малого бизнеса</w:t>
            </w:r>
          </w:p>
          <w:p w:rsidR="002F37A5" w:rsidRDefault="002F37A5">
            <w:pPr>
              <w:rPr>
                <w:rFonts w:eastAsia="Calibri"/>
                <w:sz w:val="10"/>
                <w:szCs w:val="10"/>
              </w:rPr>
            </w:pP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140 179,0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147 987,6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105,6</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96,0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317"/>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color w:val="000000"/>
              </w:rPr>
            </w:pPr>
            <w:r>
              <w:rPr>
                <w:color w:val="000000"/>
              </w:rPr>
              <w:t>4.2. Численность занятых</w:t>
            </w:r>
          </w:p>
          <w:p w:rsidR="002F37A5" w:rsidRDefault="0016313B">
            <w:r>
              <w:rPr>
                <w:color w:val="000000"/>
              </w:rPr>
              <w:t>в малом бизнесе</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41,1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szCs w:val="28"/>
              </w:rPr>
            </w:pPr>
            <w:r>
              <w:rPr>
                <w:szCs w:val="28"/>
              </w:rPr>
              <w:t>41,9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szCs w:val="28"/>
              </w:rPr>
            </w:pPr>
            <w:r>
              <w:rPr>
                <w:szCs w:val="28"/>
              </w:rPr>
              <w:t>102,0</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ind w:firstLine="35"/>
              <w:rPr>
                <w:sz w:val="10"/>
              </w:rPr>
            </w:pPr>
          </w:p>
          <w:p w:rsidR="002F37A5" w:rsidRDefault="0016313B">
            <w:pPr>
              <w:ind w:firstLine="35"/>
            </w:pPr>
            <w:r>
              <w:t>5. Рынок товаров и услуг (по крупным и средним организациям)</w:t>
            </w:r>
          </w:p>
          <w:p w:rsidR="002F37A5" w:rsidRDefault="002F37A5">
            <w:pPr>
              <w:ind w:firstLine="35"/>
              <w:rPr>
                <w:sz w:val="10"/>
                <w:szCs w:val="10"/>
              </w:rPr>
            </w:pPr>
          </w:p>
        </w:tc>
      </w:tr>
      <w:tr w:rsidR="002F37A5">
        <w:trPr>
          <w:trHeight w:val="303"/>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5.1. Оборот розничной торговли</w:t>
            </w:r>
          </w:p>
          <w:p w:rsidR="002F37A5" w:rsidRDefault="002F37A5">
            <w:pP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51 527,8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50 262,0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97,5</w:t>
            </w:r>
          </w:p>
        </w:tc>
      </w:tr>
      <w:tr w:rsidR="002F37A5">
        <w:trPr>
          <w:trHeight w:val="20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77,0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89,7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151"/>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jc w:val="center"/>
              <w:rPr>
                <w:sz w:val="10"/>
                <w:szCs w:val="10"/>
              </w:rPr>
            </w:pPr>
          </w:p>
          <w:p w:rsidR="002F37A5" w:rsidRDefault="0016313B">
            <w:r>
              <w:t>5.2. Оборот общественного питания</w:t>
            </w:r>
          </w:p>
          <w:p w:rsidR="002F37A5" w:rsidRDefault="002F37A5">
            <w:pPr>
              <w:jc w:val="cente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2 901,0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2 881,8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99,3</w:t>
            </w:r>
          </w:p>
        </w:tc>
      </w:tr>
      <w:tr w:rsidR="002F37A5">
        <w:trPr>
          <w:trHeight w:val="159"/>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81,2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92,1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248"/>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121,6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107,9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5.3. Объем платных услуг населению</w:t>
            </w:r>
          </w:p>
          <w:p w:rsidR="002F37A5" w:rsidRDefault="002F37A5">
            <w:pPr>
              <w:jc w:val="center"/>
              <w:rPr>
                <w:rFonts w:eastAsia="Calibri"/>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ценах соответствующих лет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22 029,5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20 746,9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94,2</w:t>
            </w:r>
          </w:p>
        </w:tc>
      </w:tr>
      <w:tr w:rsidR="002F37A5">
        <w:trPr>
          <w:trHeight w:val="15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физического объема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87,2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87,2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11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Индекс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356"/>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szCs w:val="10"/>
              </w:rPr>
            </w:pPr>
          </w:p>
          <w:p w:rsidR="002F37A5" w:rsidRDefault="0016313B">
            <w:r>
              <w:t>6. Финансы</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sz w:val="27"/>
                <w:szCs w:val="27"/>
              </w:rPr>
            </w:pPr>
            <w:r>
              <w:rPr>
                <w:sz w:val="27"/>
                <w:szCs w:val="27"/>
              </w:rPr>
              <w:t xml:space="preserve">6.1. Сальдированный финан-совый результат по крупным </w:t>
            </w:r>
          </w:p>
          <w:p w:rsidR="002F37A5" w:rsidRDefault="0016313B">
            <w:pPr>
              <w:rPr>
                <w:sz w:val="27"/>
                <w:szCs w:val="27"/>
              </w:rPr>
            </w:pPr>
            <w:r>
              <w:rPr>
                <w:sz w:val="27"/>
                <w:szCs w:val="27"/>
              </w:rPr>
              <w:t xml:space="preserve">и средним организациям </w:t>
            </w:r>
          </w:p>
          <w:p w:rsidR="002F37A5" w:rsidRDefault="0016313B">
            <w:pPr>
              <w:rPr>
                <w:sz w:val="27"/>
                <w:szCs w:val="27"/>
              </w:rPr>
            </w:pPr>
            <w:r>
              <w:rPr>
                <w:sz w:val="27"/>
                <w:szCs w:val="27"/>
              </w:rPr>
              <w:t>(прибыль минус убыток)</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931 565,8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sz w:val="27"/>
                <w:szCs w:val="27"/>
              </w:rPr>
            </w:pPr>
            <w:r>
              <w:rPr>
                <w:sz w:val="27"/>
                <w:szCs w:val="27"/>
              </w:rPr>
              <w:t>-100 385,2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pPr>
          </w:p>
        </w:tc>
      </w:tr>
      <w:tr w:rsidR="002F37A5">
        <w:trPr>
          <w:trHeight w:val="796"/>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right="-110"/>
              <w:rPr>
                <w:sz w:val="27"/>
                <w:szCs w:val="27"/>
              </w:rPr>
            </w:pPr>
            <w:r>
              <w:rPr>
                <w:sz w:val="27"/>
                <w:szCs w:val="27"/>
              </w:rPr>
              <w:t xml:space="preserve">6.2. Фонд заработной платы </w:t>
            </w:r>
            <w:r>
              <w:rPr>
                <w:spacing w:val="-4"/>
                <w:sz w:val="27"/>
                <w:szCs w:val="27"/>
              </w:rPr>
              <w:t>(фонд оплаты труда) по крупным</w:t>
            </w:r>
            <w:r>
              <w:rPr>
                <w:sz w:val="27"/>
                <w:szCs w:val="27"/>
              </w:rPr>
              <w:t xml:space="preserve"> и средним организациям</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106 853,1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110 387,1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sz w:val="27"/>
                <w:szCs w:val="27"/>
              </w:rPr>
            </w:pPr>
            <w:r>
              <w:rPr>
                <w:sz w:val="27"/>
                <w:szCs w:val="27"/>
              </w:rPr>
              <w:t>6.3. Поступление налоговых доходов в бюджетную систему Российской Федерации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млн. руб.</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477 920,6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374 020,3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78,3</w:t>
            </w:r>
          </w:p>
        </w:tc>
      </w:tr>
      <w:tr w:rsidR="002F37A5">
        <w:trPr>
          <w:trHeight w:val="504"/>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sz w:val="10"/>
              </w:rPr>
            </w:pPr>
          </w:p>
          <w:p w:rsidR="002F37A5" w:rsidRDefault="0016313B">
            <w:r>
              <w:t>7. Демографическая ситуация и занятость населения</w:t>
            </w:r>
          </w:p>
          <w:p w:rsidR="002F37A5" w:rsidRDefault="002F37A5">
            <w:pP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7.1. Естественный прирост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человек</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4 848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4918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101,4</w:t>
            </w:r>
          </w:p>
        </w:tc>
      </w:tr>
      <w:tr w:rsidR="002F37A5">
        <w:trPr>
          <w:trHeight w:val="327"/>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7.2. Миграционный прирост</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человек</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2 950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7071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239,7</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7.3. Численность постоянного</w:t>
            </w:r>
          </w:p>
          <w:p w:rsidR="002F37A5" w:rsidRDefault="0016313B">
            <w:r>
              <w:rPr>
                <w:color w:val="000000"/>
              </w:rPr>
              <w:t>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На начало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340,8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348,6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348,6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360,6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103,4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Среднегодовая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344,7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354,6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102,9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t>7.4. Из общей численности населения (на начало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70"/>
          <w:jc w:val="center"/>
        </w:trPr>
        <w:tc>
          <w:tcPr>
            <w:tcW w:w="38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Моложе трудоспособного возраста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77,7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105,6</w:t>
            </w:r>
          </w:p>
        </w:tc>
      </w:tr>
      <w:tr w:rsidR="002F37A5">
        <w:trPr>
          <w:jc w:val="center"/>
        </w:trPr>
        <w:tc>
          <w:tcPr>
            <w:tcW w:w="38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rPr>
                <w:rFonts w:eastAsia="Calibri"/>
              </w:rPr>
            </w:pP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В трудоспособном возрасте</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224,2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100,2</w:t>
            </w:r>
          </w:p>
        </w:tc>
      </w:tr>
      <w:tr w:rsidR="002F37A5">
        <w:trPr>
          <w:trHeight w:val="194"/>
          <w:jc w:val="center"/>
        </w:trPr>
        <w:tc>
          <w:tcPr>
            <w:tcW w:w="38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rPr>
                <w:rFonts w:eastAsia="Calibri"/>
              </w:rPr>
            </w:pP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65,6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64,3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70"/>
          <w:jc w:val="center"/>
        </w:trPr>
        <w:tc>
          <w:tcPr>
            <w:tcW w:w="38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 xml:space="preserve">Старше трудоспособного </w:t>
            </w:r>
          </w:p>
          <w:p w:rsidR="002F37A5" w:rsidRDefault="0016313B">
            <w:r>
              <w:t>возраста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43,6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46,7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107,1</w:t>
            </w:r>
          </w:p>
        </w:tc>
      </w:tr>
      <w:tr w:rsidR="002F37A5">
        <w:trPr>
          <w:jc w:val="center"/>
        </w:trPr>
        <w:tc>
          <w:tcPr>
            <w:tcW w:w="38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rPr>
                <w:rFonts w:eastAsia="Calibri"/>
              </w:rPr>
            </w:pP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12,8</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13,4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 xml:space="preserve">7.5. Численность детей </w:t>
            </w:r>
          </w:p>
          <w:p w:rsidR="002F37A5" w:rsidRDefault="0016313B">
            <w:r>
              <w:t>(на начало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80,0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84,3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105,3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t>7.6. Численность пенсионеров</w:t>
            </w:r>
          </w:p>
          <w:p w:rsidR="002F37A5" w:rsidRDefault="0016313B">
            <w:r>
              <w:t>(на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91,0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89,3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98,1</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spacing w:val="-4"/>
              </w:rPr>
            </w:pPr>
            <w:r>
              <w:rPr>
                <w:spacing w:val="-4"/>
              </w:rPr>
              <w:t>В том числе пенсионеров</w:t>
            </w:r>
          </w:p>
          <w:p w:rsidR="002F37A5" w:rsidRDefault="0016313B">
            <w:r>
              <w:rPr>
                <w:spacing w:val="-4"/>
              </w:rPr>
              <w:t>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81,3</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79,5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97,9</w:t>
            </w:r>
          </w:p>
        </w:tc>
      </w:tr>
      <w:tr w:rsidR="002F37A5">
        <w:trPr>
          <w:trHeight w:val="439"/>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right="-110"/>
            </w:pPr>
            <w:r>
              <w:rPr>
                <w:color w:val="000000"/>
              </w:rPr>
              <w:t>7.7. Среднегодовая численность экономически активного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166,1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166,6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100,3</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7.8. Среднегодовая численность занятых в экономике </w:t>
            </w:r>
          </w:p>
          <w:p w:rsidR="002F37A5" w:rsidRDefault="0016313B">
            <w:r>
              <w:rPr>
                <w:color w:val="000000"/>
              </w:rPr>
              <w:t>на территории муниципального образования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158,5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157,6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99,4</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right="-110"/>
              <w:rPr>
                <w:color w:val="000000"/>
              </w:rPr>
            </w:pPr>
            <w:r>
              <w:rPr>
                <w:color w:val="000000"/>
              </w:rPr>
              <w:t xml:space="preserve">7.9. Численность безработных, зарегистрированных в органах государственной службы </w:t>
            </w:r>
          </w:p>
          <w:p w:rsidR="002F37A5" w:rsidRDefault="0016313B">
            <w:pPr>
              <w:ind w:right="-110"/>
            </w:pPr>
            <w:r>
              <w:rPr>
                <w:color w:val="000000"/>
              </w:rPr>
              <w:t>занятости (на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тыс. чел.</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0,391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0,422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107,9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7.10. Уровень регистрируемой безработицы (на конец года)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0,23</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0,25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firstLine="18"/>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7.11. Доля численности </w:t>
            </w:r>
          </w:p>
          <w:p w:rsidR="002F37A5" w:rsidRDefault="0016313B">
            <w:pPr>
              <w:rPr>
                <w:color w:val="000000"/>
              </w:rPr>
            </w:pPr>
            <w:r>
              <w:rPr>
                <w:color w:val="000000"/>
              </w:rPr>
              <w:t xml:space="preserve">занятых в экономике </w:t>
            </w:r>
          </w:p>
          <w:p w:rsidR="002F37A5" w:rsidRDefault="0016313B">
            <w:r>
              <w:rPr>
                <w:color w:val="000000"/>
              </w:rPr>
              <w:t>в численности экономически активного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95,4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94,6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firstLine="18"/>
              <w:jc w:val="center"/>
            </w:pPr>
            <w:r>
              <w:t>-</w:t>
            </w:r>
          </w:p>
        </w:tc>
      </w:tr>
      <w:tr w:rsidR="002F37A5">
        <w:trPr>
          <w:jc w:val="center"/>
        </w:trPr>
        <w:tc>
          <w:tcPr>
            <w:tcW w:w="9724"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2F37A5">
            <w:pPr>
              <w:rPr>
                <w:color w:val="000000"/>
                <w:sz w:val="10"/>
                <w:szCs w:val="10"/>
              </w:rPr>
            </w:pPr>
          </w:p>
          <w:p w:rsidR="002F37A5" w:rsidRDefault="0016313B">
            <w:pPr>
              <w:rPr>
                <w:color w:val="000000"/>
              </w:rPr>
            </w:pPr>
            <w:r>
              <w:rPr>
                <w:color w:val="000000"/>
              </w:rPr>
              <w:t>8. Уровень жизни населения</w:t>
            </w:r>
          </w:p>
          <w:p w:rsidR="002F37A5" w:rsidRDefault="002F37A5">
            <w:pPr>
              <w:rPr>
                <w:color w:val="000000"/>
                <w:sz w:val="10"/>
                <w:szCs w:val="10"/>
              </w:rPr>
            </w:pPr>
          </w:p>
          <w:p w:rsidR="002F37A5" w:rsidRDefault="002F37A5">
            <w:pPr>
              <w:jc w:val="center"/>
              <w:rPr>
                <w:sz w:val="10"/>
                <w:szCs w:val="10"/>
              </w:rPr>
            </w:pP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8.1. Среднемесячная </w:t>
            </w:r>
          </w:p>
          <w:p w:rsidR="002F37A5" w:rsidRDefault="0016313B">
            <w:pPr>
              <w:rPr>
                <w:color w:val="000000"/>
              </w:rPr>
            </w:pPr>
            <w:r>
              <w:rPr>
                <w:color w:val="000000"/>
              </w:rPr>
              <w:t xml:space="preserve">заработная плата одного </w:t>
            </w:r>
          </w:p>
          <w:p w:rsidR="002F37A5" w:rsidRDefault="0016313B">
            <w:pPr>
              <w:rPr>
                <w:color w:val="000000"/>
                <w:spacing w:val="-6"/>
              </w:rPr>
            </w:pPr>
            <w:r>
              <w:rPr>
                <w:color w:val="000000"/>
              </w:rPr>
              <w:t xml:space="preserve">работающего </w:t>
            </w:r>
            <w:r>
              <w:rPr>
                <w:color w:val="000000"/>
                <w:spacing w:val="-6"/>
              </w:rPr>
              <w:t>по крупным</w:t>
            </w:r>
          </w:p>
          <w:p w:rsidR="002F37A5" w:rsidRDefault="0016313B">
            <w:r>
              <w:rPr>
                <w:color w:val="000000"/>
                <w:spacing w:val="-6"/>
              </w:rPr>
              <w:t>и средним организациям</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75 839</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79 540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104,9</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8.2. Среднемесячный доход</w:t>
            </w:r>
          </w:p>
          <w:p w:rsidR="002F37A5" w:rsidRDefault="0016313B">
            <w:r>
              <w:rPr>
                <w:color w:val="000000"/>
              </w:rPr>
              <w:t>на душу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49 825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50 550</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101,5</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spacing w:val="-6"/>
              </w:rPr>
            </w:pPr>
            <w:r>
              <w:rPr>
                <w:color w:val="000000"/>
                <w:spacing w:val="-6"/>
              </w:rPr>
              <w:t xml:space="preserve">8.3. Среднемесячный располагаемый доход на душу </w:t>
            </w:r>
          </w:p>
          <w:p w:rsidR="002F37A5" w:rsidRDefault="0016313B">
            <w:pPr>
              <w:rPr>
                <w:color w:val="000000"/>
              </w:rPr>
            </w:pPr>
            <w:r>
              <w:rPr>
                <w:color w:val="000000"/>
                <w:spacing w:val="-6"/>
              </w:rPr>
              <w:t>населения (за вычетом</w:t>
            </w:r>
            <w:r>
              <w:rPr>
                <w:color w:val="000000"/>
              </w:rPr>
              <w:t xml:space="preserve"> </w:t>
            </w:r>
          </w:p>
          <w:p w:rsidR="002F37A5" w:rsidRDefault="0016313B">
            <w:r>
              <w:rPr>
                <w:color w:val="000000"/>
              </w:rPr>
              <w:t>обязательных платежей)</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43 387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44 043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101,5</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color w:val="000000"/>
              </w:rPr>
            </w:pPr>
            <w:r>
              <w:rPr>
                <w:color w:val="000000"/>
              </w:rPr>
              <w:t>8.4. Среднемесячный размер</w:t>
            </w:r>
          </w:p>
          <w:p w:rsidR="002F37A5" w:rsidRDefault="0016313B">
            <w:r>
              <w:rPr>
                <w:color w:val="000000"/>
              </w:rPr>
              <w:t>трудовой пенсии 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19 860</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20 214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r>
      <w:tr w:rsidR="002F37A5">
        <w:trPr>
          <w:trHeight w:val="161"/>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 Социальные индикаторы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8.5.1. Индекс потребительских цен</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r>
      <w:tr w:rsidR="002F37A5">
        <w:trPr>
          <w:trHeight w:val="16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В среднем за год</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114,5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12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Декабрь к декабрю</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113,4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108,5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trHeight w:val="70"/>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8.5.2. Темп роста денежных доходов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8.5.3. Реальные доходы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88,9</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93,4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ind w:right="-110"/>
            </w:pPr>
            <w:r>
              <w:rPr>
                <w:color w:val="000000"/>
              </w:rPr>
              <w:t>8.5.4. Темп роста номинальной заработной платы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104,9</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104,9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r>
              <w:rPr>
                <w:color w:val="000000"/>
              </w:rPr>
              <w:t>8.5.5. Реальная заработная плата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91,7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96,6</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ind w:right="-110"/>
            </w:pPr>
            <w:r>
              <w:rPr>
                <w:color w:val="000000"/>
              </w:rPr>
              <w:t>8.5.6. Темп роста номинальной трудовой пенсии 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111,7</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101,8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 xml:space="preserve">8.5.7. Реальная трудовая </w:t>
            </w:r>
          </w:p>
          <w:p w:rsidR="002F37A5" w:rsidRDefault="0016313B">
            <w:r>
              <w:rPr>
                <w:color w:val="000000"/>
              </w:rPr>
              <w:t>пенсия по старости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97,6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93,7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t>-</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F37A5" w:rsidRDefault="0016313B">
            <w:pPr>
              <w:rPr>
                <w:color w:val="000000"/>
              </w:rPr>
            </w:pPr>
            <w:r>
              <w:rPr>
                <w:color w:val="000000"/>
              </w:rPr>
              <w:t>8.6. Прожиточный минимум</w:t>
            </w:r>
          </w:p>
          <w:p w:rsidR="002F37A5" w:rsidRDefault="0016313B">
            <w:r>
              <w:rPr>
                <w:color w:val="000000"/>
              </w:rPr>
              <w:t>по Ханты-Мансийскому автономному округу – Югре</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ind w:firstLine="18"/>
              <w:jc w:val="center"/>
              <w:rPr>
                <w:rFonts w:eastAsia="Calibri"/>
              </w:rPr>
            </w:pPr>
          </w:p>
        </w:tc>
      </w:tr>
      <w:tr w:rsidR="002F37A5">
        <w:trPr>
          <w:trHeight w:val="24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В среднем на душу 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14 316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14 757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103,1</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rPr>
                <w:color w:val="000000"/>
              </w:rPr>
            </w:pPr>
            <w:r>
              <w:rPr>
                <w:color w:val="000000"/>
              </w:rPr>
              <w:t xml:space="preserve">Для трудоспособного </w:t>
            </w:r>
          </w:p>
          <w:p w:rsidR="002F37A5" w:rsidRDefault="0016313B">
            <w:r>
              <w:rPr>
                <w:color w:val="000000"/>
              </w:rPr>
              <w:t>населения</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14 922</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15 355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102,9</w:t>
            </w:r>
          </w:p>
        </w:tc>
      </w:tr>
      <w:tr w:rsidR="002F37A5">
        <w:trPr>
          <w:trHeight w:val="10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Для пенсионеров</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11 316</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11 632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102,8</w:t>
            </w:r>
          </w:p>
        </w:tc>
      </w:tr>
      <w:tr w:rsidR="002F37A5">
        <w:trPr>
          <w:trHeight w:val="52"/>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Для детей</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рублей</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13 594</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14 105</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103,8</w:t>
            </w:r>
          </w:p>
        </w:tc>
      </w:tr>
      <w:tr w:rsidR="002F37A5">
        <w:trPr>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8.7. Соотношение прожиточного минимума 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jc w:val="center"/>
              <w:rPr>
                <w:rFonts w:eastAsia="Calibri"/>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2F37A5">
            <w:pPr>
              <w:ind w:firstLine="18"/>
              <w:jc w:val="center"/>
              <w:rPr>
                <w:rFonts w:eastAsia="Calibri"/>
              </w:rPr>
            </w:pPr>
          </w:p>
        </w:tc>
      </w:tr>
      <w:tr w:rsidR="002F37A5">
        <w:trPr>
          <w:trHeight w:val="32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Среднедушевого дохода</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k</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3,5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3,4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98,4</w:t>
            </w:r>
          </w:p>
        </w:tc>
      </w:tr>
      <w:tr w:rsidR="002F37A5">
        <w:trPr>
          <w:trHeight w:val="153"/>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Заработной платы</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k</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5,1</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5,2</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101,9</w:t>
            </w:r>
          </w:p>
        </w:tc>
      </w:tr>
      <w:tr w:rsidR="002F37A5">
        <w:trPr>
          <w:trHeight w:val="244"/>
          <w:jc w:val="center"/>
        </w:trPr>
        <w:tc>
          <w:tcPr>
            <w:tcW w:w="3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r>
              <w:rPr>
                <w:color w:val="000000"/>
              </w:rPr>
              <w:t>Трудовой пенсии</w:t>
            </w: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k</w:t>
            </w:r>
          </w:p>
        </w:tc>
        <w:tc>
          <w:tcPr>
            <w:tcW w:w="14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pPr>
            <w:r>
              <w:rPr>
                <w:color w:val="000000"/>
              </w:rPr>
              <w:t>1,75</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1,74</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37A5" w:rsidRDefault="0016313B">
            <w:pPr>
              <w:jc w:val="center"/>
              <w:rPr>
                <w:color w:val="000000"/>
              </w:rPr>
            </w:pPr>
            <w:r>
              <w:rPr>
                <w:color w:val="000000"/>
              </w:rPr>
              <w:t>99,0</w:t>
            </w:r>
          </w:p>
        </w:tc>
      </w:tr>
    </w:tbl>
    <w:p w:rsidR="002F37A5" w:rsidRDefault="002F37A5">
      <w:pPr>
        <w:ind w:firstLine="601"/>
        <w:jc w:val="center"/>
      </w:pPr>
    </w:p>
    <w:p w:rsidR="002F37A5" w:rsidRDefault="002F37A5">
      <w:pPr>
        <w:ind w:firstLine="601"/>
        <w:jc w:val="center"/>
      </w:pPr>
    </w:p>
    <w:p w:rsidR="002F37A5" w:rsidRDefault="0016313B">
      <w:pPr>
        <w:jc w:val="center"/>
      </w:pPr>
      <w:r>
        <w:t xml:space="preserve">Общая оценка </w:t>
      </w:r>
    </w:p>
    <w:p w:rsidR="002F37A5" w:rsidRDefault="0016313B">
      <w:pPr>
        <w:jc w:val="center"/>
      </w:pPr>
      <w:r>
        <w:t>социально-экономической ситуации в муниципальном образовании</w:t>
      </w:r>
    </w:p>
    <w:p w:rsidR="002F37A5" w:rsidRDefault="002F37A5">
      <w:pPr>
        <w:jc w:val="center"/>
      </w:pPr>
    </w:p>
    <w:p w:rsidR="002F37A5" w:rsidRDefault="0016313B">
      <w:pPr>
        <w:ind w:firstLine="567"/>
        <w:jc w:val="both"/>
        <w:rPr>
          <w:szCs w:val="28"/>
        </w:rPr>
      </w:pPr>
      <w:r>
        <w:rPr>
          <w:spacing w:val="-4"/>
          <w:szCs w:val="28"/>
        </w:rPr>
        <w:t>Основные показатели социально-экономического развития муниципального</w:t>
      </w:r>
      <w:r>
        <w:rPr>
          <w:szCs w:val="28"/>
        </w:rPr>
        <w:t xml:space="preserve"> образования за 2016 год (темп роста к уровню 2015 года) составили:</w:t>
      </w:r>
    </w:p>
    <w:p w:rsidR="002F37A5" w:rsidRDefault="0016313B">
      <w:pPr>
        <w:ind w:firstLine="567"/>
        <w:jc w:val="both"/>
        <w:rPr>
          <w:szCs w:val="28"/>
        </w:rPr>
      </w:pPr>
      <w:r>
        <w:rPr>
          <w:szCs w:val="28"/>
        </w:rPr>
        <w:t>- индекс промышленного производства – 99,3%;</w:t>
      </w:r>
    </w:p>
    <w:p w:rsidR="002F37A5" w:rsidRDefault="0016313B">
      <w:pPr>
        <w:ind w:firstLine="567"/>
        <w:jc w:val="both"/>
        <w:rPr>
          <w:szCs w:val="28"/>
        </w:rPr>
      </w:pPr>
      <w:r>
        <w:rPr>
          <w:szCs w:val="28"/>
        </w:rPr>
        <w:t>- инвестиции в основной капитал в сопоставимых ценах – 78%;</w:t>
      </w:r>
    </w:p>
    <w:p w:rsidR="002F37A5" w:rsidRDefault="0016313B">
      <w:pPr>
        <w:ind w:firstLine="567"/>
        <w:jc w:val="both"/>
        <w:rPr>
          <w:szCs w:val="28"/>
        </w:rPr>
      </w:pPr>
      <w:r>
        <w:rPr>
          <w:szCs w:val="28"/>
        </w:rPr>
        <w:t>- объем выполненных работ и услуг по виду деятельности «строительство» в сопоставимых ценах – 88,5%;</w:t>
      </w:r>
    </w:p>
    <w:p w:rsidR="002F37A5" w:rsidRDefault="0016313B">
      <w:pPr>
        <w:ind w:firstLine="567"/>
        <w:jc w:val="both"/>
        <w:rPr>
          <w:szCs w:val="28"/>
        </w:rPr>
      </w:pPr>
      <w:r>
        <w:rPr>
          <w:szCs w:val="28"/>
        </w:rPr>
        <w:t>- ввод в эксплуатацию жилых домов – 101,8%;</w:t>
      </w:r>
    </w:p>
    <w:p w:rsidR="002F37A5" w:rsidRDefault="0016313B">
      <w:pPr>
        <w:ind w:firstLine="567"/>
        <w:jc w:val="both"/>
        <w:rPr>
          <w:szCs w:val="28"/>
        </w:rPr>
      </w:pPr>
      <w:r>
        <w:rPr>
          <w:szCs w:val="28"/>
        </w:rPr>
        <w:t>- выполнено услуг по виду экономической деятельности «транспорт                       и связь» в сопоставимых ценах – 101,2%;</w:t>
      </w:r>
    </w:p>
    <w:p w:rsidR="002F37A5" w:rsidRDefault="0016313B">
      <w:pPr>
        <w:ind w:firstLine="567"/>
        <w:jc w:val="both"/>
        <w:rPr>
          <w:szCs w:val="28"/>
        </w:rPr>
      </w:pPr>
      <w:r>
        <w:rPr>
          <w:szCs w:val="28"/>
        </w:rPr>
        <w:t>- оборот розничной торговли в сопоставимых ценах – 89,7%;</w:t>
      </w:r>
    </w:p>
    <w:p w:rsidR="002F37A5" w:rsidRDefault="0016313B">
      <w:pPr>
        <w:ind w:firstLine="567"/>
        <w:jc w:val="both"/>
        <w:rPr>
          <w:szCs w:val="28"/>
        </w:rPr>
      </w:pPr>
      <w:r>
        <w:rPr>
          <w:szCs w:val="28"/>
        </w:rPr>
        <w:t>- объем платных услуг населению в сопоставимых ценах – 87,2%;</w:t>
      </w:r>
    </w:p>
    <w:p w:rsidR="002F37A5" w:rsidRDefault="0016313B">
      <w:pPr>
        <w:ind w:firstLine="567"/>
        <w:jc w:val="both"/>
        <w:rPr>
          <w:szCs w:val="28"/>
        </w:rPr>
      </w:pPr>
      <w:r>
        <w:rPr>
          <w:szCs w:val="28"/>
        </w:rPr>
        <w:t>- поступление налоговых доходов в бюджетную систему – 78,3%;</w:t>
      </w:r>
    </w:p>
    <w:p w:rsidR="002F37A5" w:rsidRDefault="0016313B">
      <w:pPr>
        <w:ind w:firstLine="567"/>
        <w:jc w:val="both"/>
        <w:rPr>
          <w:szCs w:val="28"/>
        </w:rPr>
      </w:pPr>
      <w:r>
        <w:rPr>
          <w:szCs w:val="28"/>
        </w:rPr>
        <w:t>- численность постоянного населения (на конец года) – 103,4%;</w:t>
      </w:r>
    </w:p>
    <w:p w:rsidR="002F37A5" w:rsidRDefault="0016313B">
      <w:pPr>
        <w:ind w:firstLine="567"/>
        <w:jc w:val="both"/>
        <w:rPr>
          <w:szCs w:val="28"/>
        </w:rPr>
      </w:pPr>
      <w:r>
        <w:rPr>
          <w:szCs w:val="28"/>
        </w:rPr>
        <w:t>- уровень регистрируемой безработицы (на конец года) – 0,25%;</w:t>
      </w:r>
    </w:p>
    <w:p w:rsidR="002F37A5" w:rsidRDefault="0016313B">
      <w:pPr>
        <w:ind w:firstLine="567"/>
        <w:jc w:val="both"/>
        <w:rPr>
          <w:szCs w:val="28"/>
        </w:rPr>
      </w:pPr>
      <w:r>
        <w:rPr>
          <w:szCs w:val="28"/>
        </w:rPr>
        <w:t>- среднемесячный душевой доход – 101,5%;</w:t>
      </w:r>
    </w:p>
    <w:p w:rsidR="002F37A5" w:rsidRDefault="0016313B">
      <w:pPr>
        <w:ind w:firstLine="567"/>
        <w:jc w:val="both"/>
        <w:rPr>
          <w:szCs w:val="28"/>
        </w:rPr>
      </w:pPr>
      <w:r>
        <w:rPr>
          <w:szCs w:val="28"/>
        </w:rPr>
        <w:t xml:space="preserve">- среднемесячная заработная плата – 104,9%; </w:t>
      </w:r>
    </w:p>
    <w:p w:rsidR="002F37A5" w:rsidRDefault="0016313B">
      <w:pPr>
        <w:ind w:firstLine="567"/>
        <w:jc w:val="both"/>
        <w:rPr>
          <w:szCs w:val="28"/>
        </w:rPr>
      </w:pPr>
      <w:r>
        <w:rPr>
          <w:szCs w:val="28"/>
        </w:rPr>
        <w:t>- среднемесячная трудовая пенсия по старости – 101,8%;</w:t>
      </w:r>
    </w:p>
    <w:p w:rsidR="002F37A5" w:rsidRDefault="0016313B">
      <w:pPr>
        <w:ind w:firstLine="567"/>
        <w:jc w:val="both"/>
        <w:rPr>
          <w:szCs w:val="28"/>
        </w:rPr>
      </w:pPr>
      <w:r>
        <w:rPr>
          <w:szCs w:val="28"/>
        </w:rPr>
        <w:t>- реальные доходы населения – 93,4%;</w:t>
      </w:r>
    </w:p>
    <w:p w:rsidR="002F37A5" w:rsidRDefault="0016313B">
      <w:pPr>
        <w:ind w:firstLine="567"/>
        <w:jc w:val="both"/>
        <w:rPr>
          <w:szCs w:val="28"/>
        </w:rPr>
      </w:pPr>
      <w:r>
        <w:rPr>
          <w:szCs w:val="28"/>
        </w:rPr>
        <w:t>- реальная заработная плата – 96,6%;</w:t>
      </w:r>
    </w:p>
    <w:p w:rsidR="002F37A5" w:rsidRDefault="0016313B">
      <w:pPr>
        <w:ind w:firstLine="567"/>
        <w:jc w:val="both"/>
        <w:rPr>
          <w:szCs w:val="28"/>
        </w:rPr>
      </w:pPr>
      <w:r>
        <w:rPr>
          <w:szCs w:val="28"/>
        </w:rPr>
        <w:t>- реальная трудовая пенсия по старости – 93,7%.</w:t>
      </w:r>
    </w:p>
    <w:p w:rsidR="002F37A5" w:rsidRDefault="0016313B">
      <w:pPr>
        <w:ind w:firstLine="567"/>
        <w:jc w:val="both"/>
        <w:rPr>
          <w:color w:val="000000"/>
          <w:szCs w:val="28"/>
        </w:rPr>
      </w:pPr>
      <w:r>
        <w:rPr>
          <w:color w:val="000000"/>
          <w:szCs w:val="28"/>
        </w:rPr>
        <w:t>Город Сургут, в первую очередь, благодаря устойчивой деятельности             системообразующих предприятий остается лидером среди муниципалитетов автономного округа по многим показателям.</w:t>
      </w:r>
    </w:p>
    <w:p w:rsidR="002F37A5" w:rsidRDefault="0016313B">
      <w:pPr>
        <w:ind w:firstLine="567"/>
        <w:jc w:val="both"/>
        <w:rPr>
          <w:szCs w:val="28"/>
        </w:rPr>
      </w:pPr>
      <w:r>
        <w:rPr>
          <w:szCs w:val="28"/>
        </w:rPr>
        <w:t xml:space="preserve">Распоряжением Администрации города от 18.04.2016 № 589 утвержден план мероприятий по обеспечению стабильного социально-экономического </w:t>
      </w:r>
      <w:r>
        <w:rPr>
          <w:spacing w:val="-4"/>
          <w:szCs w:val="28"/>
        </w:rPr>
        <w:t>развития в муниципальном образовании городской округ город Сургут на 2016 –</w:t>
      </w:r>
      <w:r>
        <w:rPr>
          <w:szCs w:val="28"/>
        </w:rPr>
        <w:t xml:space="preserve"> 2018 годы (далее – план). План составлен в соответствии с рекомендациями Правительства Российской Федерации и Правительства </w:t>
      </w:r>
      <w:r>
        <w:rPr>
          <w:color w:val="000000"/>
          <w:szCs w:val="28"/>
        </w:rPr>
        <w:t>Ханты-Мансийского автономного округа – Югры</w:t>
      </w:r>
      <w:r>
        <w:rPr>
          <w:szCs w:val="28"/>
        </w:rPr>
        <w:t>. Отчет по выполнению плана ежеквартально             размещается на официальном портале Администрации города.</w:t>
      </w:r>
    </w:p>
    <w:p w:rsidR="002F37A5" w:rsidRDefault="0016313B">
      <w:pPr>
        <w:ind w:firstLine="567"/>
        <w:jc w:val="both"/>
        <w:rPr>
          <w:color w:val="000000"/>
          <w:szCs w:val="28"/>
        </w:rPr>
      </w:pPr>
      <w:r>
        <w:rPr>
          <w:szCs w:val="28"/>
        </w:rPr>
        <w:t xml:space="preserve">В 2016 году продолжалась работа по реализации указов </w:t>
      </w:r>
      <w:r>
        <w:rPr>
          <w:color w:val="000000"/>
          <w:szCs w:val="28"/>
        </w:rPr>
        <w:t xml:space="preserve">Президента                    Российской Федерации. </w:t>
      </w:r>
    </w:p>
    <w:p w:rsidR="002F37A5" w:rsidRDefault="0016313B">
      <w:pPr>
        <w:ind w:firstLine="567"/>
        <w:jc w:val="both"/>
      </w:pPr>
      <w:r>
        <w:t xml:space="preserve">Как и в предыдущие годы, в 2016 году продолжилась реализация задач, обозначенных в Послании Президента Российской </w:t>
      </w:r>
      <w:r>
        <w:rPr>
          <w:spacing w:val="-4"/>
        </w:rPr>
        <w:t xml:space="preserve">Федерации Федеральному Собранию Российской Федерации, </w:t>
      </w:r>
      <w:r>
        <w:t>а также нормативными документами Правительства Российской Федерации и Ханты-Мансийского автономного округа – Югры, Стратегией социально-экономического развития Ханты-Мансийского автономного округа – Югры до 2030 года и Стратегией социально-экономического развития муниципального образования городской округ город Сургут на период до 2030 года (далее – Стратегия 2030 города Сургута).</w:t>
      </w:r>
    </w:p>
    <w:p w:rsidR="002F37A5" w:rsidRDefault="002F37A5">
      <w:pPr>
        <w:ind w:firstLine="567"/>
        <w:jc w:val="both"/>
      </w:pPr>
    </w:p>
    <w:p w:rsidR="002F37A5" w:rsidRDefault="0016313B">
      <w:pPr>
        <w:ind w:firstLine="567"/>
        <w:jc w:val="both"/>
      </w:pPr>
      <w:r>
        <w:t>Промышленность.</w:t>
      </w:r>
    </w:p>
    <w:p w:rsidR="002F37A5" w:rsidRDefault="0016313B">
      <w:pPr>
        <w:ind w:firstLine="567"/>
        <w:jc w:val="both"/>
      </w:pPr>
      <w:r>
        <w:t xml:space="preserve">Стратегией 2030 города Сургута, утвержденной решением Думы города </w:t>
      </w:r>
      <w:r>
        <w:br/>
        <w:t>от 08.06.2015 № 718-</w:t>
      </w:r>
      <w:r>
        <w:rPr>
          <w:lang w:val="en-US"/>
        </w:rPr>
        <w:t>V</w:t>
      </w:r>
      <w:r>
        <w:t xml:space="preserve"> ДГ, определена Генеральная стратегическая цель –                         формирование промышленно-научного центра с инновационной диверсифицированной экономикой, широкими возможностями осуществления предпринимательской деятельности, высоким потенциалом экономического и гражданского развития для горожан.</w:t>
      </w:r>
    </w:p>
    <w:p w:rsidR="002F37A5" w:rsidRDefault="0016313B">
      <w:pPr>
        <w:ind w:firstLine="567"/>
        <w:jc w:val="both"/>
        <w:rPr>
          <w:szCs w:val="28"/>
        </w:rPr>
      </w:pPr>
      <w:r>
        <w:rPr>
          <w:szCs w:val="28"/>
        </w:rPr>
        <w:t xml:space="preserve">За 2016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397,6 млрд. рублей,               индекс промышленного производства к уровню предыдущего года – 99,3%,         индекс цен – 102,6%. </w:t>
      </w:r>
    </w:p>
    <w:p w:rsidR="002F37A5" w:rsidRDefault="0016313B">
      <w:pPr>
        <w:ind w:firstLine="567"/>
        <w:jc w:val="both"/>
        <w:rPr>
          <w:spacing w:val="-4"/>
        </w:rPr>
      </w:pPr>
      <w:r>
        <w:rPr>
          <w:spacing w:val="-4"/>
        </w:rPr>
        <w:t xml:space="preserve">Структура отгруженного продукта промышленных производств за отчетный </w:t>
      </w:r>
      <w:r>
        <w:rPr>
          <w:spacing w:val="-6"/>
        </w:rPr>
        <w:t>период в разрезе видов экономической деятельности (прирост к уровню 2015 года):</w:t>
      </w:r>
    </w:p>
    <w:p w:rsidR="002F37A5" w:rsidRDefault="0016313B">
      <w:pPr>
        <w:ind w:firstLine="567"/>
        <w:jc w:val="both"/>
        <w:rPr>
          <w:spacing w:val="-4"/>
        </w:rPr>
      </w:pPr>
      <w:r>
        <w:rPr>
          <w:spacing w:val="-4"/>
        </w:rPr>
        <w:t>- добыча полезных ископаемых – 1,1% (– 0,1%);</w:t>
      </w:r>
    </w:p>
    <w:p w:rsidR="002F37A5" w:rsidRDefault="0016313B">
      <w:pPr>
        <w:ind w:firstLine="567"/>
        <w:jc w:val="both"/>
        <w:rPr>
          <w:spacing w:val="-4"/>
        </w:rPr>
      </w:pPr>
      <w:r>
        <w:rPr>
          <w:spacing w:val="-4"/>
        </w:rPr>
        <w:t xml:space="preserve">- обрабатывающие производства – 77,7% (– 0,4%); </w:t>
      </w:r>
    </w:p>
    <w:p w:rsidR="002F37A5" w:rsidRDefault="0016313B">
      <w:pPr>
        <w:ind w:firstLine="567"/>
        <w:jc w:val="both"/>
        <w:rPr>
          <w:spacing w:val="-4"/>
        </w:rPr>
      </w:pPr>
      <w:r>
        <w:rPr>
          <w:spacing w:val="-4"/>
        </w:rPr>
        <w:t>- производство и распределение электроэнергии, газа и воды – 21,2% (+ 0,5%).</w:t>
      </w:r>
    </w:p>
    <w:p w:rsidR="002F37A5" w:rsidRDefault="0016313B">
      <w:pPr>
        <w:ind w:firstLine="567"/>
        <w:jc w:val="both"/>
        <w:rPr>
          <w:szCs w:val="28"/>
        </w:rPr>
      </w:pPr>
      <w:r>
        <w:rPr>
          <w:szCs w:val="28"/>
        </w:rPr>
        <w:t>По виду экономической деятельности «добыча полезных ископаемых» объем отгруженных товаров собственного производства за 2016 год составил 4,3 млрд. рублей, индекс производства к уровню 2015 года – 88,6%, индекс            цен – 99,9%.</w:t>
      </w:r>
    </w:p>
    <w:p w:rsidR="002F37A5" w:rsidRDefault="0016313B">
      <w:pPr>
        <w:ind w:firstLine="567"/>
        <w:jc w:val="both"/>
        <w:rPr>
          <w:szCs w:val="28"/>
        </w:rPr>
      </w:pPr>
      <w:r>
        <w:rPr>
          <w:szCs w:val="28"/>
        </w:rPr>
        <w:t>По виду экономической деятельности «производство и распределение электроэнергии, газа и воды» объем отгруженных товаров собственного производства за 2016 год – 84,5 млрд. рублей, индекс производства к уровню предыдущего года – 101,0%, индекс цен – 103,5%.</w:t>
      </w:r>
    </w:p>
    <w:p w:rsidR="002F37A5" w:rsidRDefault="0016313B">
      <w:pPr>
        <w:ind w:firstLine="567"/>
        <w:jc w:val="both"/>
        <w:rPr>
          <w:szCs w:val="28"/>
        </w:rPr>
      </w:pPr>
      <w:r>
        <w:rPr>
          <w:szCs w:val="28"/>
        </w:rPr>
        <w:t>Предприятиями энергетической отрасли за отчетный период произведено:</w:t>
      </w:r>
    </w:p>
    <w:p w:rsidR="002F37A5" w:rsidRDefault="0016313B">
      <w:pPr>
        <w:ind w:firstLine="567"/>
        <w:jc w:val="both"/>
        <w:rPr>
          <w:spacing w:val="-4"/>
          <w:szCs w:val="28"/>
        </w:rPr>
      </w:pPr>
      <w:r>
        <w:rPr>
          <w:spacing w:val="-4"/>
          <w:szCs w:val="28"/>
        </w:rPr>
        <w:t xml:space="preserve">- электроэнергии – 56,2 млрд. кВт-час, что на 4,6% больше, чем в 2015 году; </w:t>
      </w:r>
    </w:p>
    <w:p w:rsidR="002F37A5" w:rsidRDefault="0016313B">
      <w:pPr>
        <w:ind w:firstLine="567"/>
        <w:jc w:val="both"/>
        <w:rPr>
          <w:szCs w:val="28"/>
        </w:rPr>
      </w:pPr>
      <w:r>
        <w:rPr>
          <w:szCs w:val="28"/>
        </w:rPr>
        <w:t xml:space="preserve">- теплоэнергии – 3,8 млн. Гкал (на 4%).  </w:t>
      </w:r>
    </w:p>
    <w:p w:rsidR="002F37A5" w:rsidRDefault="0016313B">
      <w:pPr>
        <w:ind w:firstLine="567"/>
        <w:jc w:val="both"/>
        <w:rPr>
          <w:szCs w:val="28"/>
        </w:rPr>
      </w:pPr>
      <w:r>
        <w:rPr>
          <w:spacing w:val="-6"/>
          <w:szCs w:val="28"/>
        </w:rPr>
        <w:t>На темпы роста объемов выработки электроэнергии повлияло происшествие</w:t>
      </w:r>
      <w:r>
        <w:rPr>
          <w:szCs w:val="28"/>
        </w:rPr>
        <w:t xml:space="preserve"> </w:t>
      </w:r>
      <w:r>
        <w:rPr>
          <w:spacing w:val="-4"/>
          <w:szCs w:val="28"/>
        </w:rPr>
        <w:t>на Сургутской ГРЭС-2 от 04.01.2015: вследствие обрушения кровли в машинном</w:t>
      </w:r>
      <w:r>
        <w:rPr>
          <w:szCs w:val="28"/>
        </w:rPr>
        <w:t xml:space="preserve"> отделении была приостановлена работа энергоблока № 4 с последующим                       его простоем в длительном ремонте до восстановления. </w:t>
      </w:r>
    </w:p>
    <w:p w:rsidR="002F37A5" w:rsidRDefault="0016313B">
      <w:pPr>
        <w:ind w:firstLine="567"/>
        <w:jc w:val="both"/>
        <w:rPr>
          <w:szCs w:val="28"/>
        </w:rPr>
      </w:pPr>
      <w:r>
        <w:rPr>
          <w:szCs w:val="28"/>
        </w:rPr>
        <w:t>Изменение объемов отпуска теплоэнергии определяется температурами наружного воздуха.</w:t>
      </w:r>
    </w:p>
    <w:p w:rsidR="002F37A5" w:rsidRDefault="0016313B">
      <w:pPr>
        <w:ind w:firstLine="567"/>
        <w:jc w:val="both"/>
        <w:rPr>
          <w:szCs w:val="28"/>
        </w:rPr>
      </w:pPr>
      <w:r>
        <w:rPr>
          <w:szCs w:val="28"/>
        </w:rPr>
        <w:t>По виду экономической деятельности «обрабатывающие производства» объем отгруженных товаров собственного производства за отчетный год              составил 308,8 млрд. рублей, индекс производства к уровню предыдущего               года – 99,0%, индекс цен – 102,4%.</w:t>
      </w:r>
    </w:p>
    <w:p w:rsidR="002F37A5" w:rsidRDefault="0016313B">
      <w:pPr>
        <w:ind w:firstLine="567"/>
        <w:jc w:val="both"/>
        <w:rPr>
          <w:szCs w:val="28"/>
        </w:rPr>
      </w:pPr>
      <w:r>
        <w:rPr>
          <w:spacing w:val="-4"/>
          <w:szCs w:val="28"/>
        </w:rPr>
        <w:t xml:space="preserve">В структуре отгруженного продукта обрабатывающих производств основная </w:t>
      </w:r>
      <w:r>
        <w:rPr>
          <w:szCs w:val="28"/>
        </w:rPr>
        <w:t>доля приходится на вид деятельности «производство кокса и нефтепродуктов», темпы роста объемов которого, в свою очередь, определяются конъюнктурой на мировом рынке нефтепродуктов.</w:t>
      </w:r>
    </w:p>
    <w:p w:rsidR="002F37A5" w:rsidRDefault="0016313B">
      <w:pPr>
        <w:ind w:firstLine="567"/>
        <w:jc w:val="both"/>
        <w:rPr>
          <w:szCs w:val="28"/>
        </w:rPr>
      </w:pPr>
      <w:r>
        <w:rPr>
          <w:szCs w:val="28"/>
        </w:rPr>
        <w:t>С 01.01.2016 в статистической отчетности выпуск агрополотна (нетканых материалов из химических нитей с поверхностной плотностью более 150 г/м) открытым акционерным обществом «Сибур Геосинт» на территории города                  не учитывается. Таким образом, основным направлением по данному виду                 деятельности остается производство швейной продукций.</w:t>
      </w:r>
    </w:p>
    <w:p w:rsidR="002F37A5" w:rsidRDefault="0016313B">
      <w:pPr>
        <w:ind w:firstLine="567"/>
        <w:jc w:val="both"/>
        <w:rPr>
          <w:szCs w:val="28"/>
        </w:rPr>
      </w:pPr>
      <w:r>
        <w:rPr>
          <w:spacing w:val="-6"/>
          <w:szCs w:val="28"/>
        </w:rPr>
        <w:t>Структура отгруженного продукта обрабатывающих производств за отчетный</w:t>
      </w:r>
      <w:r>
        <w:rPr>
          <w:szCs w:val="28"/>
        </w:rPr>
        <w:t xml:space="preserve"> период (прирост к уровню 2015 года):</w:t>
      </w:r>
    </w:p>
    <w:p w:rsidR="002F37A5" w:rsidRDefault="0016313B">
      <w:pPr>
        <w:ind w:firstLine="567"/>
        <w:jc w:val="both"/>
        <w:rPr>
          <w:szCs w:val="28"/>
        </w:rPr>
      </w:pPr>
      <w:r>
        <w:rPr>
          <w:szCs w:val="28"/>
        </w:rPr>
        <w:t xml:space="preserve">- 98,07% – кокс и нефтепродукты (– 0,01%) – стоимость давальческого           сырья для производства нефтепродуктов за пределами субъекта Российской Федерации; </w:t>
      </w:r>
    </w:p>
    <w:p w:rsidR="002F37A5" w:rsidRDefault="0016313B">
      <w:pPr>
        <w:ind w:firstLine="567"/>
        <w:jc w:val="both"/>
        <w:rPr>
          <w:szCs w:val="28"/>
        </w:rPr>
      </w:pPr>
      <w:r>
        <w:rPr>
          <w:szCs w:val="28"/>
        </w:rPr>
        <w:t xml:space="preserve">- 0,69% – продукция стройиндустрии (– 0,07%); </w:t>
      </w:r>
    </w:p>
    <w:p w:rsidR="002F37A5" w:rsidRDefault="0016313B">
      <w:pPr>
        <w:ind w:firstLine="567"/>
        <w:jc w:val="both"/>
        <w:rPr>
          <w:szCs w:val="28"/>
        </w:rPr>
      </w:pPr>
      <w:r>
        <w:rPr>
          <w:szCs w:val="28"/>
        </w:rPr>
        <w:t>- 0,42% – продукция пищевой отрасли (+ 0,04%);</w:t>
      </w:r>
    </w:p>
    <w:p w:rsidR="002F37A5" w:rsidRDefault="0016313B">
      <w:pPr>
        <w:ind w:firstLine="567"/>
        <w:jc w:val="both"/>
        <w:rPr>
          <w:szCs w:val="28"/>
        </w:rPr>
      </w:pPr>
      <w:r>
        <w:rPr>
          <w:szCs w:val="28"/>
        </w:rPr>
        <w:t xml:space="preserve">- 0,66% – услуги по техобслуживанию и ремонту оборудования (+ 0,03%); </w:t>
      </w:r>
    </w:p>
    <w:p w:rsidR="002F37A5" w:rsidRDefault="0016313B">
      <w:pPr>
        <w:ind w:firstLine="567"/>
        <w:jc w:val="both"/>
        <w:rPr>
          <w:szCs w:val="28"/>
        </w:rPr>
      </w:pPr>
      <w:r>
        <w:rPr>
          <w:szCs w:val="28"/>
        </w:rPr>
        <w:t xml:space="preserve">- 0,04% – полиграфическая продукция (+0,01%); </w:t>
      </w:r>
    </w:p>
    <w:p w:rsidR="002F37A5" w:rsidRDefault="0016313B">
      <w:pPr>
        <w:ind w:firstLine="567"/>
        <w:jc w:val="both"/>
        <w:rPr>
          <w:szCs w:val="28"/>
        </w:rPr>
      </w:pPr>
      <w:r>
        <w:rPr>
          <w:szCs w:val="28"/>
        </w:rPr>
        <w:t>- 0,12% – продукция прочих производств, в основном переработка               вторичного сырья (– 0,01%).</w:t>
      </w:r>
    </w:p>
    <w:p w:rsidR="002F37A5" w:rsidRDefault="0016313B">
      <w:pPr>
        <w:ind w:firstLine="567"/>
        <w:jc w:val="both"/>
        <w:rPr>
          <w:szCs w:val="28"/>
        </w:rPr>
      </w:pPr>
      <w:r>
        <w:rPr>
          <w:szCs w:val="28"/>
        </w:rPr>
        <w:t>Обрабатывающими предприятиями за 2016 год произведено в натуральном выражении (в процентах к уровню предыдущего года):</w:t>
      </w:r>
    </w:p>
    <w:p w:rsidR="002F37A5" w:rsidRDefault="0016313B">
      <w:pPr>
        <w:ind w:firstLine="567"/>
        <w:jc w:val="both"/>
        <w:rPr>
          <w:szCs w:val="28"/>
        </w:rPr>
      </w:pPr>
      <w:r>
        <w:rPr>
          <w:szCs w:val="28"/>
        </w:rPr>
        <w:t>- конструкций и деталей железобетонных – 185,3 тыс. куб. м (95,3%);</w:t>
      </w:r>
    </w:p>
    <w:p w:rsidR="002F37A5" w:rsidRDefault="0016313B">
      <w:pPr>
        <w:ind w:firstLine="567"/>
        <w:jc w:val="both"/>
        <w:rPr>
          <w:szCs w:val="28"/>
        </w:rPr>
      </w:pPr>
      <w:r>
        <w:rPr>
          <w:szCs w:val="28"/>
        </w:rPr>
        <w:t>- газет – 14,1 млн. штук (171,1%);</w:t>
      </w:r>
    </w:p>
    <w:p w:rsidR="002F37A5" w:rsidRDefault="0016313B">
      <w:pPr>
        <w:ind w:firstLine="567"/>
        <w:jc w:val="both"/>
        <w:rPr>
          <w:szCs w:val="28"/>
        </w:rPr>
      </w:pPr>
      <w:r>
        <w:rPr>
          <w:szCs w:val="28"/>
        </w:rPr>
        <w:t>- хлебобулочных изделий – 13 035,2 тонн (96,6%);</w:t>
      </w:r>
    </w:p>
    <w:p w:rsidR="002F37A5" w:rsidRDefault="0016313B">
      <w:pPr>
        <w:ind w:firstLine="567"/>
        <w:jc w:val="both"/>
        <w:rPr>
          <w:szCs w:val="28"/>
        </w:rPr>
      </w:pPr>
      <w:r>
        <w:rPr>
          <w:szCs w:val="28"/>
        </w:rPr>
        <w:t>- кондитерских изделий – 350,2 тонн (92,3%);</w:t>
      </w:r>
    </w:p>
    <w:p w:rsidR="002F37A5" w:rsidRDefault="0016313B">
      <w:pPr>
        <w:ind w:firstLine="567"/>
        <w:jc w:val="both"/>
        <w:rPr>
          <w:szCs w:val="28"/>
        </w:rPr>
      </w:pPr>
      <w:r>
        <w:rPr>
          <w:szCs w:val="28"/>
        </w:rPr>
        <w:t>- колбасных изделий – 7 290 тонн (97,4%);</w:t>
      </w:r>
    </w:p>
    <w:p w:rsidR="002F37A5" w:rsidRDefault="0016313B">
      <w:pPr>
        <w:ind w:firstLine="567"/>
        <w:jc w:val="both"/>
        <w:rPr>
          <w:szCs w:val="28"/>
        </w:rPr>
      </w:pPr>
      <w:r>
        <w:rPr>
          <w:szCs w:val="28"/>
        </w:rPr>
        <w:t>- мясных полуфабрикатов – 1 086,1 тонн (140%).</w:t>
      </w:r>
    </w:p>
    <w:p w:rsidR="002F37A5" w:rsidRDefault="0016313B">
      <w:pPr>
        <w:ind w:firstLine="567"/>
        <w:jc w:val="both"/>
        <w:rPr>
          <w:szCs w:val="28"/>
        </w:rPr>
      </w:pPr>
      <w:r>
        <w:rPr>
          <w:szCs w:val="28"/>
        </w:rPr>
        <w:t xml:space="preserve">На снижение выпуска конструкций и деталей железобетонных оказали влияние проводимые ремонтные работы, вследствие поломок кранов и оборудования на заводе промышленных строительных деталей. </w:t>
      </w:r>
    </w:p>
    <w:p w:rsidR="002F37A5" w:rsidRDefault="0016313B">
      <w:pPr>
        <w:ind w:firstLine="567"/>
        <w:jc w:val="both"/>
        <w:rPr>
          <w:szCs w:val="28"/>
        </w:rPr>
      </w:pPr>
      <w:r>
        <w:rPr>
          <w:szCs w:val="28"/>
        </w:rPr>
        <w:t xml:space="preserve">Основной причиной сокращения объемов производства хлеба и хлебобулочных изделий по крупным и средним предприятиям остается растущая            конкуренция со стороны мини-производств. </w:t>
      </w:r>
    </w:p>
    <w:p w:rsidR="002F37A5" w:rsidRDefault="0016313B">
      <w:pPr>
        <w:ind w:firstLine="567"/>
        <w:jc w:val="both"/>
        <w:rPr>
          <w:szCs w:val="28"/>
        </w:rPr>
      </w:pPr>
      <w:r>
        <w:rPr>
          <w:spacing w:val="-4"/>
          <w:szCs w:val="28"/>
        </w:rPr>
        <w:t xml:space="preserve">Снижение объемов производства колбасных изделий обусловлено падением </w:t>
      </w:r>
      <w:r>
        <w:rPr>
          <w:szCs w:val="28"/>
        </w:rPr>
        <w:t>покупательского спроса в связи с ростом сетевых торговых точек и увеличе-нием поставщиков мясной продукции из других городов.</w:t>
      </w:r>
    </w:p>
    <w:p w:rsidR="002F37A5" w:rsidRDefault="0016313B">
      <w:pPr>
        <w:ind w:firstLine="567"/>
        <w:jc w:val="both"/>
        <w:rPr>
          <w:szCs w:val="28"/>
        </w:rPr>
      </w:pPr>
      <w:r>
        <w:rPr>
          <w:szCs w:val="28"/>
        </w:rPr>
        <w:t>Предвыборная кампания и выборы 2016 года повлияли на значительный рост печатной продукции.</w:t>
      </w:r>
    </w:p>
    <w:p w:rsidR="002F37A5" w:rsidRDefault="002F37A5">
      <w:pPr>
        <w:ind w:firstLine="567"/>
        <w:jc w:val="both"/>
        <w:rPr>
          <w:szCs w:val="28"/>
        </w:rPr>
      </w:pPr>
    </w:p>
    <w:p w:rsidR="002F37A5" w:rsidRDefault="0016313B">
      <w:pPr>
        <w:ind w:firstLine="567"/>
        <w:jc w:val="both"/>
        <w:rPr>
          <w:szCs w:val="28"/>
        </w:rPr>
      </w:pPr>
      <w:r>
        <w:rPr>
          <w:szCs w:val="28"/>
        </w:rPr>
        <w:t>Строительство и инвестиции.</w:t>
      </w:r>
    </w:p>
    <w:p w:rsidR="002F37A5" w:rsidRDefault="0016313B">
      <w:pPr>
        <w:ind w:firstLine="567"/>
        <w:jc w:val="both"/>
      </w:pPr>
      <w:r>
        <w:t xml:space="preserve">Объем инвестиций в основной капитал за счет всех источников </w:t>
      </w:r>
      <w:r>
        <w:rPr>
          <w:spacing w:val="-4"/>
        </w:rPr>
        <w:t>финансирования за 2016 год составил 34,1 млрд. рублей, в сопоставимых ценах к уровню</w:t>
      </w:r>
      <w:r>
        <w:t xml:space="preserve"> предыдущего года – 78%. Доля бюджетных средств в общем объеме                        инвестиций – 10,3% (3,5 млрд. рублей). </w:t>
      </w:r>
    </w:p>
    <w:p w:rsidR="002F37A5" w:rsidRDefault="0016313B">
      <w:pPr>
        <w:shd w:val="clear" w:color="auto" w:fill="FFFFFF"/>
        <w:tabs>
          <w:tab w:val="left" w:pos="567"/>
        </w:tabs>
        <w:ind w:firstLine="567"/>
        <w:jc w:val="both"/>
        <w:rPr>
          <w:szCs w:val="28"/>
        </w:rPr>
      </w:pPr>
      <w:r>
        <w:rPr>
          <w:szCs w:val="28"/>
        </w:rPr>
        <w:t xml:space="preserve">Наибольшая доля в объеме инвестиций в основной капитал приходится          на топливно-энергетический комплекс – 46,5%. </w:t>
      </w:r>
    </w:p>
    <w:p w:rsidR="002F37A5" w:rsidRDefault="0016313B">
      <w:pPr>
        <w:shd w:val="clear" w:color="auto" w:fill="FFFFFF"/>
        <w:tabs>
          <w:tab w:val="left" w:pos="567"/>
        </w:tabs>
        <w:ind w:firstLine="567"/>
        <w:jc w:val="both"/>
        <w:rPr>
          <w:szCs w:val="28"/>
        </w:rPr>
      </w:pPr>
      <w:r>
        <w:rPr>
          <w:szCs w:val="28"/>
        </w:rPr>
        <w:t xml:space="preserve">Бюджетные средства в отчетном году были направлены в следующие          сферы деятельности: </w:t>
      </w:r>
    </w:p>
    <w:p w:rsidR="002F37A5" w:rsidRDefault="0016313B">
      <w:pPr>
        <w:shd w:val="clear" w:color="auto" w:fill="FFFFFF"/>
        <w:tabs>
          <w:tab w:val="left" w:pos="567"/>
        </w:tabs>
        <w:ind w:firstLine="567"/>
        <w:jc w:val="both"/>
        <w:rPr>
          <w:szCs w:val="28"/>
        </w:rPr>
      </w:pPr>
      <w:r>
        <w:rPr>
          <w:szCs w:val="28"/>
        </w:rPr>
        <w:t xml:space="preserve">- операции с недвижимым имуществом – 53,4%; </w:t>
      </w:r>
    </w:p>
    <w:p w:rsidR="002F37A5" w:rsidRDefault="0016313B">
      <w:pPr>
        <w:shd w:val="clear" w:color="auto" w:fill="FFFFFF"/>
        <w:tabs>
          <w:tab w:val="left" w:pos="567"/>
        </w:tabs>
        <w:ind w:firstLine="567"/>
        <w:jc w:val="both"/>
        <w:rPr>
          <w:szCs w:val="28"/>
        </w:rPr>
      </w:pPr>
      <w:r>
        <w:rPr>
          <w:szCs w:val="28"/>
        </w:rPr>
        <w:t xml:space="preserve">- образование и здравоохранение – 17,1%; </w:t>
      </w:r>
    </w:p>
    <w:p w:rsidR="002F37A5" w:rsidRDefault="0016313B">
      <w:pPr>
        <w:shd w:val="clear" w:color="auto" w:fill="FFFFFF"/>
        <w:tabs>
          <w:tab w:val="left" w:pos="567"/>
        </w:tabs>
        <w:ind w:firstLine="567"/>
        <w:jc w:val="both"/>
        <w:rPr>
          <w:szCs w:val="28"/>
        </w:rPr>
      </w:pPr>
      <w:r>
        <w:rPr>
          <w:szCs w:val="28"/>
        </w:rPr>
        <w:t xml:space="preserve">- транспорт –11%; </w:t>
      </w:r>
    </w:p>
    <w:p w:rsidR="002F37A5" w:rsidRDefault="0016313B">
      <w:pPr>
        <w:shd w:val="clear" w:color="auto" w:fill="FFFFFF"/>
        <w:tabs>
          <w:tab w:val="left" w:pos="567"/>
        </w:tabs>
        <w:ind w:firstLine="567"/>
        <w:jc w:val="both"/>
        <w:rPr>
          <w:szCs w:val="28"/>
        </w:rPr>
      </w:pPr>
      <w:r>
        <w:rPr>
          <w:szCs w:val="28"/>
        </w:rPr>
        <w:t>- культура и спорт – 10%;</w:t>
      </w:r>
    </w:p>
    <w:p w:rsidR="002F37A5" w:rsidRDefault="0016313B">
      <w:pPr>
        <w:shd w:val="clear" w:color="auto" w:fill="FFFFFF"/>
        <w:tabs>
          <w:tab w:val="left" w:pos="567"/>
        </w:tabs>
        <w:ind w:firstLine="567"/>
        <w:jc w:val="both"/>
        <w:rPr>
          <w:szCs w:val="28"/>
        </w:rPr>
      </w:pPr>
      <w:r>
        <w:rPr>
          <w:szCs w:val="28"/>
        </w:rPr>
        <w:t>- коммунальное хозяйство и благоустройство – 4,4%;</w:t>
      </w:r>
    </w:p>
    <w:p w:rsidR="002F37A5" w:rsidRDefault="0016313B">
      <w:pPr>
        <w:shd w:val="clear" w:color="auto" w:fill="FFFFFF"/>
        <w:tabs>
          <w:tab w:val="left" w:pos="567"/>
        </w:tabs>
        <w:ind w:firstLine="567"/>
        <w:jc w:val="both"/>
        <w:rPr>
          <w:szCs w:val="28"/>
        </w:rPr>
      </w:pPr>
      <w:r>
        <w:rPr>
          <w:szCs w:val="28"/>
        </w:rPr>
        <w:t>- прочие – 4,1%.</w:t>
      </w:r>
    </w:p>
    <w:p w:rsidR="002F37A5" w:rsidRDefault="0016313B">
      <w:pPr>
        <w:ind w:firstLine="567"/>
        <w:jc w:val="both"/>
      </w:pPr>
      <w:r>
        <w:t>За отчетный год объем работ и услуг, выполненных по виду деятельности «строительство», составил 32,1 млрд. рублей, индекс физического объема – 88,5%.</w:t>
      </w:r>
    </w:p>
    <w:p w:rsidR="002F37A5" w:rsidRDefault="0016313B">
      <w:pPr>
        <w:ind w:firstLine="567"/>
        <w:jc w:val="both"/>
      </w:pPr>
      <w:r>
        <w:t xml:space="preserve">Так, в отчетном году отмечается замедление темпов снижения показателя, что обусловлено положительной динамикой строительства зданий жилого                   и нежилого назначения, объем ввода которых составил 517,4 тыс. кв. метров или 112,2% к уровню 2015 года. </w:t>
      </w:r>
    </w:p>
    <w:p w:rsidR="002F37A5" w:rsidRDefault="0016313B">
      <w:pPr>
        <w:ind w:firstLine="567"/>
        <w:jc w:val="both"/>
      </w:pPr>
      <w:r>
        <w:t xml:space="preserve">После сокращения объемов жилищного строительства в 2015 году,                                  в 2016 году отмечается незначительный рост показателя – на 1,8%. Введено                       244,6 тыс. кв. метров жилья, в том числе индивидуальными застройщиками             построено 8,2 тыс. кв. метров жилья или 121,8% к уровню 2015 года. </w:t>
      </w:r>
    </w:p>
    <w:p w:rsidR="002F37A5" w:rsidRDefault="0016313B">
      <w:pPr>
        <w:ind w:firstLine="567"/>
        <w:jc w:val="both"/>
      </w:pPr>
      <w:r>
        <w:t>В общей площади построенных зданий, доля нежилых составляет около        50% (250 тыс. кв. метров). В структуре нежилых зданий 85,6% приходится                   на здания коммерческого назначения, построенные за счет средств частных        инвесторов, 14,4% – это здания социальной направленности, построенные              с привлечением бюджетных средств.</w:t>
      </w:r>
    </w:p>
    <w:p w:rsidR="002F37A5" w:rsidRDefault="002F37A5">
      <w:pPr>
        <w:ind w:firstLine="567"/>
        <w:jc w:val="both"/>
        <w:rPr>
          <w:spacing w:val="-8"/>
        </w:rPr>
      </w:pPr>
    </w:p>
    <w:p w:rsidR="002F37A5" w:rsidRDefault="002F37A5">
      <w:pPr>
        <w:ind w:firstLine="567"/>
        <w:jc w:val="both"/>
        <w:rPr>
          <w:spacing w:val="-8"/>
        </w:rPr>
      </w:pPr>
    </w:p>
    <w:p w:rsidR="002F37A5" w:rsidRDefault="0016313B">
      <w:pPr>
        <w:ind w:firstLine="567"/>
        <w:jc w:val="both"/>
        <w:rPr>
          <w:spacing w:val="-8"/>
        </w:rPr>
      </w:pPr>
      <w:r>
        <w:rPr>
          <w:spacing w:val="-8"/>
        </w:rPr>
        <w:t>За счет бюджетных средств построены (выкуплены) и введены в эксплуатацию:</w:t>
      </w:r>
    </w:p>
    <w:p w:rsidR="002F37A5" w:rsidRDefault="0016313B">
      <w:pPr>
        <w:ind w:firstLine="567"/>
        <w:jc w:val="both"/>
      </w:pPr>
      <w:r>
        <w:t xml:space="preserve">- спортивный центр с универсальным игровым залом на территории          средней образовательной школы № 26 площадью 1,5 тыс. кв. метров; </w:t>
      </w:r>
    </w:p>
    <w:p w:rsidR="002F37A5" w:rsidRDefault="0016313B">
      <w:pPr>
        <w:ind w:firstLine="567"/>
        <w:jc w:val="both"/>
      </w:pPr>
      <w:r>
        <w:t>- детский сад № 2 на 300 мест в 38 микрорайоне площадью 6,5 тыс. кв. метров;</w:t>
      </w:r>
    </w:p>
    <w:p w:rsidR="002F37A5" w:rsidRDefault="0016313B">
      <w:pPr>
        <w:ind w:firstLine="567"/>
        <w:jc w:val="both"/>
      </w:pPr>
      <w:r>
        <w:t>- детская школа искусств в микрорайоне ПИКС на 300 мест площадью 7,4 тыс. кв. метров;</w:t>
      </w:r>
    </w:p>
    <w:p w:rsidR="002F37A5" w:rsidRDefault="0016313B">
      <w:pPr>
        <w:ind w:firstLine="567"/>
        <w:jc w:val="both"/>
      </w:pPr>
      <w:r>
        <w:t>- поликлиника «Нефтяник» в 37 микрорайоне на 700 посещений в смену площадью 12 тыс. кв. метров;</w:t>
      </w:r>
    </w:p>
    <w:p w:rsidR="002F37A5" w:rsidRDefault="0016313B">
      <w:pPr>
        <w:ind w:firstLine="567"/>
        <w:jc w:val="both"/>
      </w:pPr>
      <w:r>
        <w:t>- операционно-реанимационный корпус кардиологического диспансера          на 18 коек площадью 8 тыс. кв. метров;</w:t>
      </w:r>
    </w:p>
    <w:p w:rsidR="002F37A5" w:rsidRDefault="0016313B">
      <w:pPr>
        <w:ind w:firstLine="567"/>
        <w:jc w:val="both"/>
        <w:rPr>
          <w:spacing w:val="-4"/>
        </w:rPr>
      </w:pPr>
      <w:r>
        <w:rPr>
          <w:spacing w:val="-4"/>
        </w:rPr>
        <w:t>- общественный центр в поселке Снежный площадью 0,542 тыс. кв. метров;</w:t>
      </w:r>
    </w:p>
    <w:p w:rsidR="002F37A5" w:rsidRDefault="0016313B">
      <w:pPr>
        <w:ind w:firstLine="567"/>
        <w:jc w:val="both"/>
      </w:pPr>
      <w:r>
        <w:t>- новое кладбище «Чернореченское-2», 1 этап строительства площадью карт захоронения 23,3 тыс. кв. метров;</w:t>
      </w:r>
    </w:p>
    <w:p w:rsidR="002F37A5" w:rsidRDefault="0016313B">
      <w:pPr>
        <w:ind w:firstLine="567"/>
        <w:jc w:val="both"/>
      </w:pPr>
      <w:r>
        <w:t>- объездная автомобильная дорога 1 «З», VI пусковой комплекс, съезд             на улицу Дзержинского протяженностью 1,9 км;</w:t>
      </w:r>
    </w:p>
    <w:p w:rsidR="002F37A5" w:rsidRDefault="0016313B">
      <w:pPr>
        <w:ind w:firstLine="567"/>
        <w:jc w:val="both"/>
      </w:pPr>
      <w:r>
        <w:t xml:space="preserve">- объездная автомобильная дорога к дачным кооперативам «Черемушки», </w:t>
      </w:r>
      <w:r>
        <w:rPr>
          <w:spacing w:val="-4"/>
        </w:rPr>
        <w:t>«Север-1» и «Север-2» в обход гидротехнических сооружений ГРЭС-1, ГРЭС-2»</w:t>
      </w:r>
      <w:r>
        <w:t xml:space="preserve"> протяженностью 5,8 км с сетями уличного электроосвещения протяженностью 6,3 км, сетями электроснабжения протяженностью 4,1 км.</w:t>
      </w:r>
    </w:p>
    <w:p w:rsidR="002F37A5" w:rsidRDefault="0016313B">
      <w:pPr>
        <w:ind w:firstLine="567"/>
        <w:jc w:val="both"/>
      </w:pPr>
      <w:r>
        <w:t xml:space="preserve">Частными инвесторами в отчетном году введено 214 тыс. кв. метров </w:t>
      </w:r>
      <w:r>
        <w:br/>
        <w:t xml:space="preserve">(2015 год – 183 тыс. кв. метров) объектов коммерческого и социального назначения, в том числе:  </w:t>
      </w:r>
    </w:p>
    <w:p w:rsidR="002F37A5" w:rsidRDefault="0016313B">
      <w:pPr>
        <w:ind w:firstLine="567"/>
        <w:jc w:val="both"/>
      </w:pPr>
      <w:r>
        <w:t xml:space="preserve">- дворец искусств «Нефтяник»; </w:t>
      </w:r>
    </w:p>
    <w:p w:rsidR="002F37A5" w:rsidRDefault="0016313B">
      <w:pPr>
        <w:ind w:firstLine="567"/>
        <w:jc w:val="both"/>
      </w:pPr>
      <w:r>
        <w:t xml:space="preserve">- водно-оздоровительный комплекс по улице Профсоюзов; </w:t>
      </w:r>
    </w:p>
    <w:p w:rsidR="002F37A5" w:rsidRDefault="0016313B">
      <w:pPr>
        <w:ind w:firstLine="567"/>
        <w:jc w:val="both"/>
      </w:pPr>
      <w:r>
        <w:t xml:space="preserve">- гостиничный комплекс со встроенно-пристроенными помещениями                </w:t>
      </w:r>
      <w:r>
        <w:rPr>
          <w:spacing w:val="-4"/>
        </w:rPr>
        <w:t>общественного назначения и пристроенными гаражами закрытого типа, стоянкой</w:t>
      </w:r>
      <w:r>
        <w:t xml:space="preserve"> большегрузного транспорта с погрузо-разгрузочной площадкой;</w:t>
      </w:r>
    </w:p>
    <w:p w:rsidR="002F37A5" w:rsidRDefault="0016313B">
      <w:pPr>
        <w:ind w:firstLine="567"/>
        <w:jc w:val="both"/>
      </w:pPr>
      <w:r>
        <w:t xml:space="preserve">- ресторан с системой автораздачи; </w:t>
      </w:r>
    </w:p>
    <w:p w:rsidR="002F37A5" w:rsidRDefault="0016313B">
      <w:pPr>
        <w:ind w:firstLine="567"/>
        <w:jc w:val="both"/>
      </w:pPr>
      <w:r>
        <w:t>- 50,8 тыс. кв. метров административных и офисных помещений;</w:t>
      </w:r>
    </w:p>
    <w:p w:rsidR="002F37A5" w:rsidRDefault="0016313B">
      <w:pPr>
        <w:ind w:firstLine="567"/>
        <w:jc w:val="both"/>
      </w:pPr>
      <w:r>
        <w:t>- автодром в зоне ГРЭС площадью 5,0 тыс. кв. метров;</w:t>
      </w:r>
    </w:p>
    <w:p w:rsidR="002F37A5" w:rsidRDefault="0016313B">
      <w:pPr>
        <w:ind w:firstLine="567"/>
        <w:jc w:val="both"/>
      </w:pPr>
      <w:r>
        <w:t xml:space="preserve">- 9,5 тыс. кв. метров предприятий торговли; </w:t>
      </w:r>
    </w:p>
    <w:p w:rsidR="002F37A5" w:rsidRDefault="0016313B">
      <w:pPr>
        <w:ind w:firstLine="567"/>
        <w:jc w:val="both"/>
      </w:pPr>
      <w:r>
        <w:t>- 89,1 тыс. кв. метров коммерческой недвижимости производственного             назначения, в том числе: производственный корпус, предприятие по розливу питьевой воды (цех и два склада), деревообрабатывающая мастерская,                       два сервисных центра, две автомойки, одна АЗС, семь стоянок закрытого типа.</w:t>
      </w:r>
    </w:p>
    <w:p w:rsidR="002F37A5" w:rsidRDefault="0016313B">
      <w:pPr>
        <w:shd w:val="clear" w:color="auto" w:fill="FFFFFF"/>
        <w:tabs>
          <w:tab w:val="left" w:pos="-142"/>
          <w:tab w:val="left" w:pos="567"/>
        </w:tabs>
        <w:ind w:firstLine="567"/>
        <w:contextualSpacing/>
        <w:jc w:val="both"/>
      </w:pPr>
      <w:r>
        <w:t>Кроме того, в 2016 году было завершено строительство подстанций 110 кВ Западной, расположенной по Тюменскому тракту, и 110 кВ Геолог, расположенной по Югорскому тракту, ввод которых позволяет повысить надежность электроснабжения потребителей электроэнергии города.</w:t>
      </w:r>
    </w:p>
    <w:p w:rsidR="002F37A5" w:rsidRDefault="0016313B">
      <w:pPr>
        <w:ind w:firstLine="567"/>
        <w:jc w:val="both"/>
      </w:pPr>
      <w:r>
        <w:rPr>
          <w:szCs w:val="28"/>
        </w:rPr>
        <w:t xml:space="preserve">В городе активно ведется работа по реализации мер, направленных           на осуществление поддержки жилищного строительства в рамках мероприятий государственной программы «Обеспечение доступным и комфортным жильем </w:t>
      </w:r>
      <w:r>
        <w:rPr>
          <w:spacing w:val="-4"/>
          <w:szCs w:val="28"/>
        </w:rPr>
        <w:t>жителей Ханты-Мансийского автономного округа – Югры в 2016 – 2020 годах».</w:t>
      </w:r>
      <w:r>
        <w:t xml:space="preserve"> </w:t>
      </w:r>
    </w:p>
    <w:p w:rsidR="002F37A5" w:rsidRDefault="0016313B">
      <w:pPr>
        <w:ind w:firstLine="567"/>
        <w:jc w:val="both"/>
        <w:rPr>
          <w:szCs w:val="28"/>
        </w:rPr>
      </w:pPr>
      <w:r>
        <w:rPr>
          <w:szCs w:val="28"/>
        </w:rPr>
        <w:t>Государственная поддержка в виде предоставления гражданам и семьям жилых помещений, субсидий, субвенций, государственных жилищных сертификатов, ипотечных кредитов в 2016 году оказана на общую сумму                          3 970,9 млн. рублей.</w:t>
      </w:r>
    </w:p>
    <w:p w:rsidR="002F37A5" w:rsidRDefault="0016313B">
      <w:pPr>
        <w:ind w:firstLine="567"/>
        <w:jc w:val="both"/>
        <w:rPr>
          <w:szCs w:val="28"/>
        </w:rPr>
      </w:pPr>
      <w:r>
        <w:rPr>
          <w:szCs w:val="28"/>
        </w:rPr>
        <w:t>В результате проводимых мероприятий по оказанию мер государственной поддержки населению по приобретению жилья наблюдается тенденция сокращения количества граждан, нуждающихся в жилых помещениях, предоставляемых на условиях социального найма. За отчетный год их количество уменьшилось на 126 до 4 309 семей.</w:t>
      </w:r>
    </w:p>
    <w:p w:rsidR="002F37A5" w:rsidRDefault="0016313B">
      <w:pPr>
        <w:shd w:val="clear" w:color="auto" w:fill="FFFFFF"/>
        <w:ind w:firstLine="567"/>
        <w:contextualSpacing/>
        <w:jc w:val="both"/>
        <w:rPr>
          <w:rFonts w:eastAsia="Calibri"/>
          <w:color w:val="000000"/>
          <w:spacing w:val="-6"/>
          <w:szCs w:val="28"/>
        </w:rPr>
      </w:pPr>
      <w:r>
        <w:rPr>
          <w:color w:val="000000"/>
          <w:szCs w:val="28"/>
        </w:rPr>
        <w:t xml:space="preserve">За 2016 год было проведено два заседания инвестиционного совета               при Главе города Сургута, на которых </w:t>
      </w:r>
      <w:r>
        <w:rPr>
          <w:rFonts w:eastAsia="Calibri"/>
          <w:color w:val="000000"/>
          <w:szCs w:val="28"/>
        </w:rPr>
        <w:t xml:space="preserve">были рассмотрены результаты работы           по обеспечению благоприятного инвестиционного климата в городе Сургуте            в части реализации дорожной карты по внедрению муниципальных практик, вошедших в Атлас муниципальных практик автономной некоммерческой </w:t>
      </w:r>
      <w:r>
        <w:rPr>
          <w:rFonts w:eastAsia="Calibri"/>
          <w:color w:val="000000"/>
          <w:spacing w:val="-6"/>
          <w:szCs w:val="28"/>
        </w:rPr>
        <w:t>организации «Агентство стратегических инициатив по продвижению новых проектов».</w:t>
      </w:r>
    </w:p>
    <w:p w:rsidR="002F37A5" w:rsidRDefault="0016313B">
      <w:pPr>
        <w:ind w:firstLine="567"/>
        <w:jc w:val="both"/>
        <w:rPr>
          <w:szCs w:val="28"/>
        </w:rPr>
      </w:pPr>
      <w:r>
        <w:rPr>
          <w:szCs w:val="28"/>
        </w:rPr>
        <w:t>По итогам проведения ведомственной оценки в 2016 году полностью             внедрено пять успешных муниципальных практик:</w:t>
      </w:r>
    </w:p>
    <w:p w:rsidR="002F37A5" w:rsidRDefault="0016313B">
      <w:pPr>
        <w:tabs>
          <w:tab w:val="left" w:pos="993"/>
        </w:tabs>
        <w:ind w:firstLine="567"/>
        <w:contextualSpacing/>
        <w:jc w:val="both"/>
        <w:rPr>
          <w:szCs w:val="28"/>
        </w:rPr>
      </w:pPr>
      <w:r>
        <w:rPr>
          <w:szCs w:val="28"/>
        </w:rPr>
        <w:t>- создание структурного подразделения для управления деятельностью                               по улучшению инвестиционного климата;</w:t>
      </w:r>
    </w:p>
    <w:p w:rsidR="002F37A5" w:rsidRDefault="0016313B">
      <w:pPr>
        <w:tabs>
          <w:tab w:val="left" w:pos="993"/>
          <w:tab w:val="left" w:pos="1134"/>
        </w:tabs>
        <w:ind w:firstLine="567"/>
        <w:contextualSpacing/>
        <w:jc w:val="both"/>
        <w:rPr>
          <w:rFonts w:eastAsia="Calibri"/>
          <w:szCs w:val="28"/>
        </w:rPr>
      </w:pPr>
      <w:r>
        <w:rPr>
          <w:rFonts w:eastAsia="Calibri"/>
          <w:szCs w:val="28"/>
        </w:rPr>
        <w:t>- ежегодное инвестиционное послание Главы муниципального образования с принятием инвестиционной декларации;</w:t>
      </w:r>
    </w:p>
    <w:p w:rsidR="002F37A5" w:rsidRDefault="0016313B">
      <w:pPr>
        <w:tabs>
          <w:tab w:val="left" w:pos="993"/>
          <w:tab w:val="left" w:pos="1134"/>
        </w:tabs>
        <w:ind w:firstLine="567"/>
        <w:contextualSpacing/>
        <w:jc w:val="both"/>
        <w:rPr>
          <w:szCs w:val="28"/>
        </w:rPr>
      </w:pPr>
      <w:r>
        <w:rPr>
          <w:szCs w:val="28"/>
        </w:rPr>
        <w:t xml:space="preserve">-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 </w:t>
      </w:r>
    </w:p>
    <w:p w:rsidR="002F37A5" w:rsidRDefault="0016313B">
      <w:pPr>
        <w:tabs>
          <w:tab w:val="left" w:pos="993"/>
        </w:tabs>
        <w:ind w:firstLine="567"/>
        <w:contextualSpacing/>
        <w:jc w:val="both"/>
        <w:rPr>
          <w:szCs w:val="28"/>
        </w:rPr>
      </w:pPr>
      <w:r>
        <w:rPr>
          <w:szCs w:val="28"/>
        </w:rPr>
        <w:t>- обеспечение присутствия на территории муниципального образования институтов развития и объектов финансовой инфраструктуры;</w:t>
      </w:r>
    </w:p>
    <w:p w:rsidR="002F37A5" w:rsidRDefault="0016313B">
      <w:pPr>
        <w:tabs>
          <w:tab w:val="left" w:pos="993"/>
        </w:tabs>
        <w:ind w:firstLine="567"/>
        <w:contextualSpacing/>
        <w:jc w:val="both"/>
        <w:rPr>
          <w:szCs w:val="28"/>
        </w:rPr>
      </w:pPr>
      <w:r>
        <w:rPr>
          <w:szCs w:val="28"/>
        </w:rPr>
        <w:t xml:space="preserve">- принятие комплекса нормативных актов, устанавливающих основные                      </w:t>
      </w:r>
      <w:r>
        <w:rPr>
          <w:spacing w:val="-4"/>
          <w:szCs w:val="28"/>
        </w:rPr>
        <w:t>направления инвестиционной политики, в том числе развития малого и среднего</w:t>
      </w:r>
      <w:r>
        <w:rPr>
          <w:szCs w:val="28"/>
        </w:rPr>
        <w:t xml:space="preserve"> предпринимательства.</w:t>
      </w:r>
    </w:p>
    <w:p w:rsidR="002F37A5" w:rsidRDefault="0016313B">
      <w:pPr>
        <w:ind w:firstLine="567"/>
        <w:jc w:val="both"/>
        <w:rPr>
          <w:szCs w:val="28"/>
        </w:rPr>
      </w:pPr>
      <w:r>
        <w:rPr>
          <w:rFonts w:eastAsia="Calibri"/>
          <w:szCs w:val="28"/>
        </w:rPr>
        <w:t xml:space="preserve">Протоколом заседания Проектного комитета Ханты-Мансийского автономного округа – Югры от 06.06.2016 № 6 муниципальное образование </w:t>
      </w:r>
      <w:r>
        <w:rPr>
          <w:rFonts w:eastAsia="Calibri"/>
          <w:spacing w:val="-4"/>
          <w:szCs w:val="28"/>
        </w:rPr>
        <w:t>городской округ город Сургут выбрано «пилотной площадкой» по внедрению системы</w:t>
      </w:r>
      <w:r>
        <w:rPr>
          <w:rFonts w:eastAsia="Calibri"/>
          <w:szCs w:val="28"/>
        </w:rPr>
        <w:t xml:space="preserve"> управления проектной деятельностью в органах местного самоуправления               муниципальных образований автономного округа.</w:t>
      </w:r>
    </w:p>
    <w:p w:rsidR="002F37A5" w:rsidRDefault="0016313B">
      <w:pPr>
        <w:ind w:firstLine="567"/>
        <w:jc w:val="both"/>
        <w:rPr>
          <w:rFonts w:eastAsia="Calibri"/>
          <w:szCs w:val="28"/>
        </w:rPr>
      </w:pPr>
      <w:r>
        <w:rPr>
          <w:rFonts w:eastAsia="Calibri"/>
          <w:szCs w:val="28"/>
        </w:rPr>
        <w:t>В 2016 году приняты основополагающие документы проектного управ-ления:</w:t>
      </w:r>
    </w:p>
    <w:p w:rsidR="002F37A5" w:rsidRDefault="0016313B">
      <w:pPr>
        <w:widowControl w:val="0"/>
        <w:suppressAutoHyphens/>
        <w:autoSpaceDE w:val="0"/>
        <w:autoSpaceDN w:val="0"/>
        <w:adjustRightInd w:val="0"/>
        <w:ind w:firstLine="567"/>
        <w:jc w:val="both"/>
        <w:rPr>
          <w:rFonts w:eastAsia="Calibri"/>
          <w:szCs w:val="28"/>
        </w:rPr>
      </w:pPr>
      <w:r>
        <w:rPr>
          <w:rFonts w:eastAsia="Calibri"/>
          <w:szCs w:val="28"/>
        </w:rPr>
        <w:t>- распоряжение Администрации города от 09.08.2016 № 1477 «О системе управления проектной деятельностью в Администрации города»;</w:t>
      </w:r>
    </w:p>
    <w:p w:rsidR="002F37A5" w:rsidRDefault="0016313B">
      <w:pPr>
        <w:ind w:firstLine="567"/>
        <w:contextualSpacing/>
        <w:jc w:val="both"/>
        <w:rPr>
          <w:kern w:val="28"/>
          <w:szCs w:val="28"/>
        </w:rPr>
      </w:pPr>
      <w:r>
        <w:rPr>
          <w:spacing w:val="-6"/>
          <w:kern w:val="28"/>
          <w:szCs w:val="28"/>
        </w:rPr>
        <w:t>- распоряжение Администрации города от 11.08.2016 № 1513 «О Проектном</w:t>
      </w:r>
      <w:r>
        <w:rPr>
          <w:kern w:val="28"/>
          <w:szCs w:val="28"/>
        </w:rPr>
        <w:t xml:space="preserve">         комитете</w:t>
      </w:r>
      <w:r>
        <w:rPr>
          <w:bCs/>
          <w:kern w:val="28"/>
          <w:szCs w:val="28"/>
        </w:rPr>
        <w:t xml:space="preserve"> </w:t>
      </w:r>
      <w:r>
        <w:rPr>
          <w:kern w:val="28"/>
          <w:szCs w:val="28"/>
        </w:rPr>
        <w:t>Администрации города».</w:t>
      </w: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16313B">
      <w:pPr>
        <w:ind w:firstLine="567"/>
        <w:jc w:val="both"/>
      </w:pPr>
      <w:r>
        <w:t>Транспорт и связь.</w:t>
      </w:r>
    </w:p>
    <w:p w:rsidR="002F37A5" w:rsidRDefault="0016313B">
      <w:pPr>
        <w:ind w:firstLine="567"/>
        <w:jc w:val="both"/>
      </w:pPr>
      <w:r>
        <w:t xml:space="preserve">По виду экономической деятельности «транспорт и связь» в отчетном году объем оказанных услуг составил 173,4 млрд. рублей, в сопоставимых ценах          к предыдущему году – 101,2%. </w:t>
      </w:r>
    </w:p>
    <w:p w:rsidR="002F37A5" w:rsidRDefault="0016313B">
      <w:pPr>
        <w:ind w:firstLine="567"/>
        <w:jc w:val="both"/>
      </w:pPr>
      <w:r>
        <w:t>По состоянию на 31.12.2016:</w:t>
      </w:r>
    </w:p>
    <w:p w:rsidR="002F37A5" w:rsidRDefault="0016313B">
      <w:pPr>
        <w:ind w:firstLine="567"/>
        <w:jc w:val="both"/>
      </w:pPr>
      <w:r>
        <w:t>- протяженность эксплуатационного пассажирского автобусного пути              города составила 1 047 км (на 31.12.2015 – 1 098 км);</w:t>
      </w:r>
    </w:p>
    <w:p w:rsidR="002F37A5" w:rsidRDefault="0016313B">
      <w:pPr>
        <w:ind w:firstLine="567"/>
        <w:jc w:val="both"/>
        <w:rPr>
          <w:szCs w:val="28"/>
        </w:rPr>
      </w:pPr>
      <w:r>
        <w:rPr>
          <w:szCs w:val="28"/>
        </w:rPr>
        <w:t>- городская маршрутная сеть включала в себя 55 регулярных маршрутов                     (по состоянию на 31.12.2015 – 56 регулярных маршрутов);</w:t>
      </w:r>
    </w:p>
    <w:p w:rsidR="002F37A5" w:rsidRDefault="0016313B">
      <w:pPr>
        <w:ind w:firstLine="567"/>
        <w:jc w:val="both"/>
        <w:rPr>
          <w:szCs w:val="28"/>
        </w:rPr>
      </w:pPr>
      <w:r>
        <w:rPr>
          <w:szCs w:val="28"/>
        </w:rPr>
        <w:t>- максимальное количество транспортных средств, задействованных                    на муниципальной маршрутной сети, составило 301 единицу, в том числе:               142 автобуса большого и среднего класса, 159 автобусов малого и особо малого класса.</w:t>
      </w:r>
    </w:p>
    <w:p w:rsidR="002F37A5" w:rsidRDefault="0016313B">
      <w:pPr>
        <w:ind w:firstLine="567"/>
        <w:jc w:val="both"/>
        <w:rPr>
          <w:rFonts w:eastAsia="BatangChe"/>
          <w:bCs/>
          <w:szCs w:val="28"/>
        </w:rPr>
      </w:pPr>
      <w:r>
        <w:rPr>
          <w:rFonts w:eastAsia="BatangChe"/>
          <w:szCs w:val="28"/>
        </w:rPr>
        <w:t>Обновление и модернизация парка пассажирских автотранспортных средств направлены на улучшение их эксплуатационных показателей, уровня безопасности, качества перевозок пассажиров и обеспечения доступности           маломобильных групп населения.</w:t>
      </w:r>
    </w:p>
    <w:p w:rsidR="002F37A5" w:rsidRDefault="0016313B">
      <w:pPr>
        <w:ind w:firstLine="567"/>
        <w:jc w:val="both"/>
        <w:rPr>
          <w:rFonts w:eastAsia="BatangChe"/>
          <w:szCs w:val="28"/>
        </w:rPr>
      </w:pPr>
      <w:r>
        <w:rPr>
          <w:rFonts w:eastAsia="BatangChe"/>
          <w:spacing w:val="-1"/>
          <w:szCs w:val="28"/>
        </w:rPr>
        <w:t xml:space="preserve">В апреле 2016 года акционерное общество «СПОПАТ» приобрело за счет собственных средств четыре автобуса большого класса марки ЛиАЗ-529360. </w:t>
      </w:r>
    </w:p>
    <w:p w:rsidR="002F37A5" w:rsidRDefault="0016313B">
      <w:pPr>
        <w:ind w:firstLine="567"/>
        <w:jc w:val="both"/>
        <w:rPr>
          <w:rFonts w:eastAsia="BatangChe"/>
          <w:szCs w:val="28"/>
        </w:rPr>
      </w:pPr>
      <w:r>
        <w:rPr>
          <w:rFonts w:eastAsia="BatangChe"/>
          <w:spacing w:val="-4"/>
          <w:szCs w:val="28"/>
        </w:rPr>
        <w:t>В настоящее время доля низкопольного подвижного состава составляет 76%</w:t>
      </w:r>
      <w:r>
        <w:rPr>
          <w:rFonts w:eastAsia="BatangChe"/>
          <w:spacing w:val="-1"/>
          <w:szCs w:val="28"/>
        </w:rPr>
        <w:t xml:space="preserve"> от общего объема автобусов большого и среднего класса (</w:t>
      </w:r>
      <w:r>
        <w:rPr>
          <w:rFonts w:eastAsia="BatangChe"/>
          <w:szCs w:val="28"/>
        </w:rPr>
        <w:t xml:space="preserve">МАЗ, ЛиАЗ, </w:t>
      </w:r>
      <w:r>
        <w:rPr>
          <w:rFonts w:eastAsia="BatangChe"/>
          <w:szCs w:val="28"/>
          <w:lang w:val="en-US"/>
        </w:rPr>
        <w:t>Scania</w:t>
      </w:r>
      <w:r>
        <w:rPr>
          <w:rFonts w:eastAsia="BatangChe"/>
          <w:szCs w:val="28"/>
        </w:rPr>
        <w:t xml:space="preserve">, </w:t>
      </w:r>
      <w:r>
        <w:rPr>
          <w:rFonts w:eastAsia="BatangChe"/>
          <w:szCs w:val="28"/>
          <w:lang w:val="en-US"/>
        </w:rPr>
        <w:t>Volvo</w:t>
      </w:r>
      <w:r>
        <w:rPr>
          <w:rFonts w:eastAsia="BatangChe"/>
          <w:szCs w:val="28"/>
        </w:rPr>
        <w:t>)</w:t>
      </w:r>
      <w:r>
        <w:rPr>
          <w:rFonts w:eastAsia="BatangChe"/>
          <w:spacing w:val="-1"/>
          <w:szCs w:val="28"/>
        </w:rPr>
        <w:t>, задействованного на субсидируемых городских маршрутах (в 2015 – 70%).</w:t>
      </w:r>
    </w:p>
    <w:p w:rsidR="002F37A5" w:rsidRDefault="0016313B">
      <w:pPr>
        <w:widowControl w:val="0"/>
        <w:ind w:firstLine="567"/>
        <w:jc w:val="both"/>
        <w:rPr>
          <w:szCs w:val="28"/>
        </w:rPr>
      </w:pPr>
      <w:r>
        <w:rPr>
          <w:spacing w:val="-4"/>
          <w:szCs w:val="28"/>
        </w:rPr>
        <w:t>Качество перевозок определяется, в том числе, и доступностью информации</w:t>
      </w:r>
      <w:r>
        <w:rPr>
          <w:szCs w:val="28"/>
        </w:rPr>
        <w:t xml:space="preserve"> о работе общественного транспорта. В 2016 году было заменено                        65 маршрутных указателей на остановочных пунктах общественного пассажирского транспорта с целью актуализации информации.</w:t>
      </w:r>
    </w:p>
    <w:p w:rsidR="002F37A5" w:rsidRDefault="0016313B">
      <w:pPr>
        <w:widowControl w:val="0"/>
        <w:tabs>
          <w:tab w:val="left" w:pos="540"/>
        </w:tabs>
        <w:ind w:firstLine="567"/>
        <w:jc w:val="both"/>
        <w:rPr>
          <w:szCs w:val="28"/>
        </w:rPr>
      </w:pPr>
      <w:r>
        <w:rPr>
          <w:szCs w:val="28"/>
        </w:rPr>
        <w:t>Также в</w:t>
      </w:r>
      <w:r>
        <w:rPr>
          <w:spacing w:val="-1"/>
          <w:szCs w:val="28"/>
        </w:rPr>
        <w:t xml:space="preserve"> целях информирования населения н</w:t>
      </w:r>
      <w:r>
        <w:rPr>
          <w:szCs w:val="28"/>
        </w:rPr>
        <w:t xml:space="preserve">а официальном портале Администрации города доступен интерактивный сервис движения маршрутного </w:t>
      </w:r>
      <w:r>
        <w:rPr>
          <w:spacing w:val="-4"/>
          <w:szCs w:val="28"/>
        </w:rPr>
        <w:t>транспорта в режиме реального времени, на котором можно отследить движение</w:t>
      </w:r>
      <w:r>
        <w:rPr>
          <w:szCs w:val="28"/>
        </w:rPr>
        <w:t xml:space="preserve"> маршрутных автобусов.</w:t>
      </w:r>
    </w:p>
    <w:p w:rsidR="002F37A5" w:rsidRDefault="0016313B">
      <w:pPr>
        <w:widowControl w:val="0"/>
        <w:ind w:firstLine="567"/>
        <w:contextualSpacing/>
        <w:jc w:val="both"/>
        <w:rPr>
          <w:szCs w:val="28"/>
        </w:rPr>
      </w:pPr>
      <w:r>
        <w:rPr>
          <w:szCs w:val="28"/>
        </w:rPr>
        <w:t>В последние годы наблюдается рост финансирования на ремонт дорог                                 ввиду приоритетности данных расходов для города.</w:t>
      </w:r>
    </w:p>
    <w:p w:rsidR="002F37A5" w:rsidRDefault="0016313B">
      <w:pPr>
        <w:widowControl w:val="0"/>
        <w:ind w:firstLine="567"/>
        <w:contextualSpacing/>
        <w:jc w:val="both"/>
        <w:rPr>
          <w:szCs w:val="28"/>
        </w:rPr>
      </w:pPr>
      <w:r>
        <w:rPr>
          <w:szCs w:val="28"/>
        </w:rPr>
        <w:t>В 2016 году выполнены ремонтные работы автомобильных дорог в объеме 192,65 тыс. кв. метров (без учета ямочного ремонта), из них сплошным асфальтированием – 68,65 тыс. кв. метров. В рамках выполнения работ по содержанию автодорог выполнены работы по устранению повреждений дорожных                    покрытий (ямочный ремонт) в объеме 21,91 тыс. кв. метров, выполнены работы по устранению колейности на 46 участках дорог.</w:t>
      </w:r>
    </w:p>
    <w:p w:rsidR="002F37A5" w:rsidRDefault="0016313B">
      <w:pPr>
        <w:ind w:firstLine="567"/>
        <w:jc w:val="both"/>
        <w:rPr>
          <w:szCs w:val="28"/>
        </w:rPr>
      </w:pPr>
      <w:r>
        <w:rPr>
          <w:szCs w:val="28"/>
        </w:rPr>
        <w:t xml:space="preserve">Кроме того, в рамках соглашения, заключенного между Администрацией города и открытым акционерным обществом «Сургутнефтегаз», о соблюдении социально-экономических и экологических интересов населения муниципального образования городской округ город Сургут силами и за счет средств               </w:t>
      </w:r>
      <w:r>
        <w:rPr>
          <w:spacing w:val="-4"/>
          <w:szCs w:val="28"/>
        </w:rPr>
        <w:t>открытого акционерного общества «Сургутнефтегаз» в летний период 2016 года</w:t>
      </w:r>
      <w:r>
        <w:rPr>
          <w:szCs w:val="28"/>
        </w:rPr>
        <w:t xml:space="preserve"> выполнен ремонт покрытия проезжей части в объеме 42,62 тыс. кв. метров. </w:t>
      </w:r>
    </w:p>
    <w:p w:rsidR="002F37A5" w:rsidRDefault="0016313B">
      <w:pPr>
        <w:ind w:firstLine="567"/>
        <w:jc w:val="both"/>
      </w:pPr>
      <w:r>
        <w:t>Продолжается рост современных телекоммуникационных технологий,             которые приходят на смену традиционным, не пользующимся спросом у населения, услугам.</w:t>
      </w:r>
    </w:p>
    <w:p w:rsidR="002F37A5" w:rsidRDefault="0016313B">
      <w:pPr>
        <w:ind w:firstLine="567"/>
        <w:jc w:val="both"/>
      </w:pPr>
      <w:r>
        <w:t xml:space="preserve">Услуги фиксированной телефонной связи на 31.12.2016 предоставляли              17 операторов. Количество квартирных телефонных аппаратов сокращается,               так как горожане отдают предпочтение сотовой связи, качество которой                    ежегодно улучшается, а стоимость услуг снижается. Уверенно развивается сеть </w:t>
      </w:r>
      <w:r>
        <w:rPr>
          <w:spacing w:val="-4"/>
        </w:rPr>
        <w:t>цифрового телевидения. У сургутян есть возможность просмотра телевизионных</w:t>
      </w:r>
      <w:r>
        <w:t xml:space="preserve"> программ в отличном цифровом формате.</w:t>
      </w:r>
    </w:p>
    <w:p w:rsidR="002F37A5" w:rsidRDefault="002F37A5">
      <w:pPr>
        <w:ind w:firstLine="567"/>
        <w:jc w:val="both"/>
      </w:pPr>
    </w:p>
    <w:p w:rsidR="002F37A5" w:rsidRDefault="0016313B">
      <w:pPr>
        <w:widowControl w:val="0"/>
        <w:tabs>
          <w:tab w:val="center" w:pos="709"/>
        </w:tabs>
        <w:ind w:firstLine="567"/>
        <w:jc w:val="both"/>
        <w:rPr>
          <w:szCs w:val="28"/>
        </w:rPr>
      </w:pPr>
      <w:r>
        <w:rPr>
          <w:szCs w:val="28"/>
        </w:rPr>
        <w:t>Жилищно-коммунальный комплекс.</w:t>
      </w:r>
    </w:p>
    <w:p w:rsidR="002F37A5" w:rsidRDefault="0016313B">
      <w:pPr>
        <w:widowControl w:val="0"/>
        <w:tabs>
          <w:tab w:val="center" w:pos="709"/>
        </w:tabs>
        <w:ind w:firstLine="567"/>
        <w:jc w:val="both"/>
        <w:rPr>
          <w:szCs w:val="28"/>
        </w:rPr>
      </w:pPr>
      <w:r>
        <w:rPr>
          <w:szCs w:val="28"/>
        </w:rPr>
        <w:t>За год общая площадь жилищного фонда (квартир) муниципального образования увеличилась на 3% и на 31.12.2016 составила 7,8 млн. кв. метров. Обеспеченность жильем за год не изменилась – 21,8 кв. метра на 1 человека (121% от социальной нормы, установленной на территории).</w:t>
      </w:r>
    </w:p>
    <w:p w:rsidR="002F37A5" w:rsidRDefault="0016313B">
      <w:pPr>
        <w:ind w:firstLine="567"/>
        <w:jc w:val="both"/>
      </w:pPr>
      <w:r>
        <w:t xml:space="preserve">Управление жилищным фондом осуществляется на конкурсной основе </w:t>
      </w:r>
      <w:r>
        <w:rPr>
          <w:spacing w:val="-4"/>
        </w:rPr>
        <w:t>управляющими организациями различных форм собственности. 31 управляющая</w:t>
      </w:r>
      <w:r>
        <w:t xml:space="preserve"> компания обслуживает 9 064 тыс. кв. метров. Общая площадь жилищного          фонда, находящегося в управлении 41 товарищества собственников жилья, – 657 тыс. кв. метров.</w:t>
      </w:r>
    </w:p>
    <w:p w:rsidR="002F37A5" w:rsidRDefault="0016313B">
      <w:pPr>
        <w:ind w:firstLine="567"/>
        <w:jc w:val="both"/>
      </w:pPr>
      <w:r>
        <w:t>В течение года снесено 60 домов и строений общей площадью 3,1 тыс. кв. метров, из них: 55 балков (2,8 тыс. кв. метров) и 5 домов  (0,3 тыс. кв. метров).</w:t>
      </w:r>
    </w:p>
    <w:p w:rsidR="002F37A5" w:rsidRDefault="0016313B">
      <w:pPr>
        <w:ind w:firstLine="567"/>
        <w:jc w:val="both"/>
        <w:rPr>
          <w:szCs w:val="28"/>
        </w:rPr>
      </w:pPr>
      <w:r>
        <w:t>Реестр жилищного фонда временных ветхих, аварийных и непригодных для жилья строений по состоянию на 31.12.2016 включал 697 строений общей площадью 119,8 тыс. кв. метров, в том числе</w:t>
      </w:r>
      <w:r>
        <w:rPr>
          <w:szCs w:val="28"/>
        </w:rPr>
        <w:t>:</w:t>
      </w:r>
    </w:p>
    <w:p w:rsidR="002F37A5" w:rsidRDefault="0016313B">
      <w:pPr>
        <w:ind w:firstLine="567"/>
        <w:jc w:val="both"/>
        <w:rPr>
          <w:szCs w:val="28"/>
        </w:rPr>
      </w:pPr>
      <w:r>
        <w:rPr>
          <w:szCs w:val="28"/>
        </w:rPr>
        <w:t xml:space="preserve">- 406 строений – бесхозяйные жилые ветхие строения общей площадью              17,9 тыс. кв. метров; </w:t>
      </w:r>
    </w:p>
    <w:p w:rsidR="002F37A5" w:rsidRDefault="0016313B">
      <w:pPr>
        <w:shd w:val="clear" w:color="auto" w:fill="FFFFFF"/>
        <w:ind w:firstLine="567"/>
        <w:jc w:val="both"/>
        <w:rPr>
          <w:szCs w:val="28"/>
        </w:rPr>
      </w:pPr>
      <w:r>
        <w:rPr>
          <w:szCs w:val="28"/>
        </w:rPr>
        <w:t xml:space="preserve">- 214 домов – жилищный фонд, признанный аварийным, общей площадью 81,99 тыс. кв. метров; </w:t>
      </w:r>
    </w:p>
    <w:p w:rsidR="002F37A5" w:rsidRDefault="0016313B">
      <w:pPr>
        <w:ind w:firstLine="567"/>
        <w:jc w:val="both"/>
        <w:rPr>
          <w:szCs w:val="28"/>
        </w:rPr>
      </w:pPr>
      <w:r>
        <w:rPr>
          <w:szCs w:val="28"/>
        </w:rPr>
        <w:t>- 63 дома – ветхий жилищный фонд, общей площадью 19,3 тыс. кв. метров,</w:t>
      </w:r>
    </w:p>
    <w:p w:rsidR="002F37A5" w:rsidRDefault="0016313B">
      <w:pPr>
        <w:ind w:firstLine="567"/>
        <w:jc w:val="both"/>
        <w:rPr>
          <w:szCs w:val="28"/>
        </w:rPr>
      </w:pPr>
      <w:r>
        <w:rPr>
          <w:szCs w:val="28"/>
        </w:rPr>
        <w:t>- 14 домов – непригодный для проживания, общей площадью 0,57 тыс. кв. метров.</w:t>
      </w:r>
    </w:p>
    <w:p w:rsidR="002F37A5" w:rsidRDefault="0016313B">
      <w:pPr>
        <w:ind w:firstLine="567"/>
        <w:jc w:val="both"/>
      </w:pPr>
      <w:r>
        <w:t xml:space="preserve">Муниципальным казённым учреждением «Управление информационных </w:t>
      </w:r>
      <w:r>
        <w:rPr>
          <w:spacing w:val="-6"/>
        </w:rPr>
        <w:t>технологий и связи города Сургута» разработан и внедрен проект «Интерактивные</w:t>
      </w:r>
      <w:r>
        <w:rPr>
          <w:spacing w:val="-4"/>
        </w:rPr>
        <w:t xml:space="preserve"> карты города Сургута», который содержит информацию по 29-и актуальным           </w:t>
      </w:r>
      <w:r>
        <w:t xml:space="preserve"> аспектам жизни горожан, в том числе:</w:t>
      </w:r>
    </w:p>
    <w:p w:rsidR="002F37A5" w:rsidRDefault="0016313B">
      <w:pPr>
        <w:ind w:firstLine="567"/>
        <w:jc w:val="both"/>
      </w:pPr>
      <w:r>
        <w:t>- диспетчерская ЖКХ;</w:t>
      </w:r>
    </w:p>
    <w:p w:rsidR="002F37A5" w:rsidRDefault="0016313B">
      <w:pPr>
        <w:ind w:firstLine="567"/>
        <w:jc w:val="both"/>
      </w:pPr>
      <w:r>
        <w:t>- распределение жилищного фонда по управляющим компаниям;</w:t>
      </w:r>
    </w:p>
    <w:p w:rsidR="002F37A5" w:rsidRDefault="0016313B">
      <w:pPr>
        <w:ind w:firstLine="567"/>
        <w:jc w:val="both"/>
      </w:pPr>
      <w:r>
        <w:t>- благоустройство придомовых территорий;</w:t>
      </w:r>
    </w:p>
    <w:p w:rsidR="002F37A5" w:rsidRDefault="0016313B">
      <w:pPr>
        <w:ind w:firstLine="567"/>
        <w:jc w:val="both"/>
      </w:pPr>
      <w:r>
        <w:t>- капитальные ремонты домов;</w:t>
      </w:r>
    </w:p>
    <w:p w:rsidR="002F37A5" w:rsidRDefault="0016313B">
      <w:pPr>
        <w:ind w:firstLine="567"/>
        <w:jc w:val="both"/>
      </w:pPr>
      <w:r>
        <w:t>- ремонты сетей тепло-, водоснабжения.</w:t>
      </w: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2F37A5">
      <w:pPr>
        <w:ind w:firstLine="567"/>
        <w:jc w:val="both"/>
      </w:pPr>
    </w:p>
    <w:p w:rsidR="002F37A5" w:rsidRDefault="0016313B">
      <w:pPr>
        <w:ind w:firstLine="567"/>
        <w:jc w:val="both"/>
      </w:pPr>
      <w:r>
        <w:t>Малый бизнес.</w:t>
      </w:r>
    </w:p>
    <w:p w:rsidR="002F37A5" w:rsidRDefault="0016313B">
      <w:pPr>
        <w:ind w:firstLine="567"/>
        <w:jc w:val="both"/>
        <w:rPr>
          <w:rFonts w:eastAsia="Calibri"/>
          <w:szCs w:val="28"/>
        </w:rPr>
      </w:pPr>
      <w:r>
        <w:rPr>
          <w:rFonts w:eastAsia="Calibri"/>
          <w:szCs w:val="28"/>
        </w:rPr>
        <w:t>Одним из условий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2F37A5" w:rsidRDefault="0016313B">
      <w:pPr>
        <w:ind w:firstLine="567"/>
        <w:jc w:val="both"/>
        <w:rPr>
          <w:rFonts w:eastAsia="Calibri"/>
          <w:szCs w:val="28"/>
        </w:rPr>
      </w:pPr>
      <w:r>
        <w:rPr>
          <w:rFonts w:eastAsia="Calibri"/>
          <w:szCs w:val="28"/>
        </w:rPr>
        <w:t xml:space="preserve">В 2016 году на территории города осуществляли свою деятельность около 9 тысяч малых предприятий и 12,1 тысяч индивидуальных предпринимателей. Доля занятых в малом бизнесе около 27% от общей численности занятых             на территории города. </w:t>
      </w:r>
    </w:p>
    <w:p w:rsidR="002F37A5" w:rsidRDefault="0016313B">
      <w:pPr>
        <w:ind w:firstLine="567"/>
        <w:jc w:val="both"/>
      </w:pPr>
      <w:r>
        <w:t>Оборот малого бизнеса за отчетный год составил 148 млрд. рублей,                           в сопоставимых ценах к уровню предыдущего года – 97,3%.</w:t>
      </w:r>
    </w:p>
    <w:p w:rsidR="002F37A5" w:rsidRDefault="0016313B">
      <w:pPr>
        <w:ind w:firstLine="567"/>
        <w:jc w:val="both"/>
      </w:pPr>
      <w:r>
        <w:t>Доля налогов, поступающих от субъектов малого предпринимательства,                   в налоговых поступлениях бюджета города составила 17,5% или 1 446,2 млн. рублей (105,8% к уровню 2015 года).</w:t>
      </w:r>
    </w:p>
    <w:p w:rsidR="002F37A5" w:rsidRDefault="0016313B">
      <w:pPr>
        <w:widowControl w:val="0"/>
        <w:ind w:firstLine="567"/>
        <w:jc w:val="both"/>
        <w:rPr>
          <w:rFonts w:eastAsia="Calibri"/>
          <w:szCs w:val="28"/>
        </w:rPr>
      </w:pPr>
      <w:r>
        <w:rPr>
          <w:rFonts w:eastAsia="Calibri"/>
          <w:szCs w:val="28"/>
        </w:rPr>
        <w:t>На территории муниципального образования созданы позитивные условия для предпринимательской активности, заложены основы финансовой, информационной, консультационной, образовательной и других элементов системы поддержки малого и среднего предпринимательства, активно функционирует инфраструктура поддержки предпринимательства.</w:t>
      </w:r>
    </w:p>
    <w:p w:rsidR="002F37A5" w:rsidRDefault="0016313B">
      <w:pPr>
        <w:widowControl w:val="0"/>
        <w:ind w:firstLine="567"/>
        <w:jc w:val="both"/>
        <w:rPr>
          <w:szCs w:val="28"/>
        </w:rPr>
      </w:pPr>
      <w:r>
        <w:rPr>
          <w:szCs w:val="28"/>
        </w:rPr>
        <w:t>В городе ежегодно проводится социологическое исследование на тему: «Развитие малого и среднего предпринимательства в городе Сургуте».</w:t>
      </w:r>
    </w:p>
    <w:p w:rsidR="002F37A5" w:rsidRDefault="0016313B">
      <w:pPr>
        <w:ind w:firstLine="567"/>
        <w:jc w:val="both"/>
        <w:rPr>
          <w:szCs w:val="28"/>
        </w:rPr>
      </w:pPr>
      <w:r>
        <w:rPr>
          <w:szCs w:val="28"/>
        </w:rPr>
        <w:t xml:space="preserve">С целью повышения роли малого и среднего предпринимательства                           в экономике города осуществляется реализация муниципальной программы «Развитие малого и среднего предпринимательства в городе Сургуте на 2016 – </w:t>
      </w:r>
      <w:r>
        <w:rPr>
          <w:spacing w:val="-4"/>
          <w:szCs w:val="28"/>
        </w:rPr>
        <w:t>2030 годы». В 2016 году финансирование программы составило 15,2 млн. рублей,</w:t>
      </w:r>
      <w:r>
        <w:rPr>
          <w:szCs w:val="28"/>
        </w:rPr>
        <w:t xml:space="preserve"> в том числе: 5,8 млн. рублей за счет средств местного бюджета, 9,4 млн. рублей за счет средств окружного бюджета. </w:t>
      </w:r>
    </w:p>
    <w:p w:rsidR="002F37A5" w:rsidRDefault="0016313B">
      <w:pPr>
        <w:widowControl w:val="0"/>
        <w:ind w:firstLine="567"/>
        <w:jc w:val="both"/>
        <w:rPr>
          <w:szCs w:val="28"/>
        </w:rPr>
      </w:pPr>
      <w:r>
        <w:rPr>
          <w:szCs w:val="28"/>
        </w:rPr>
        <w:t>В рамках реализации мероприятий муниципальной программы проведены 78 мероприятий, участниками которых стали более 2000 предпринимателей, опубликованы шесть статей в печатных СМИ, создано и транслировано семь новостных сюжетов. Финансовая поддержка оказана одной организации                          и 37 субъектам малого и среднего предпринимательства на общую сумму                9,9 млн. рублей.</w:t>
      </w:r>
    </w:p>
    <w:p w:rsidR="002F37A5" w:rsidRDefault="0016313B">
      <w:pPr>
        <w:widowControl w:val="0"/>
        <w:ind w:firstLine="567"/>
        <w:jc w:val="both"/>
        <w:rPr>
          <w:szCs w:val="28"/>
        </w:rPr>
      </w:pPr>
      <w:r>
        <w:rPr>
          <w:szCs w:val="28"/>
        </w:rPr>
        <w:t xml:space="preserve">В 2016 году общее количество заключенных контрактов у субъектов                    малого предпринимательства, социально ориентированных некоммерческих             организаций составило 27,5% от совокупного годового объема закупок. </w:t>
      </w:r>
    </w:p>
    <w:p w:rsidR="002F37A5" w:rsidRDefault="002F37A5">
      <w:pPr>
        <w:ind w:firstLine="567"/>
        <w:jc w:val="both"/>
        <w:rPr>
          <w:szCs w:val="28"/>
        </w:rPr>
      </w:pPr>
    </w:p>
    <w:p w:rsidR="002F37A5" w:rsidRDefault="0016313B">
      <w:pPr>
        <w:ind w:firstLine="567"/>
        <w:jc w:val="both"/>
        <w:rPr>
          <w:szCs w:val="28"/>
        </w:rPr>
      </w:pPr>
      <w:r>
        <w:rPr>
          <w:szCs w:val="28"/>
        </w:rPr>
        <w:t>Рынок товаров и услуг.</w:t>
      </w:r>
    </w:p>
    <w:p w:rsidR="002F37A5" w:rsidRDefault="0016313B">
      <w:pPr>
        <w:widowControl w:val="0"/>
        <w:ind w:firstLine="567"/>
        <w:jc w:val="both"/>
        <w:rPr>
          <w:szCs w:val="28"/>
        </w:rPr>
      </w:pPr>
      <w:r>
        <w:rPr>
          <w:szCs w:val="28"/>
          <w:shd w:val="clear" w:color="auto" w:fill="FFFFFF"/>
        </w:rPr>
        <w:t>Рынок товаров и услуг является одним из важнейших сегментов жизнеобеспечения города.</w:t>
      </w:r>
      <w:r>
        <w:rPr>
          <w:szCs w:val="28"/>
        </w:rPr>
        <w:t xml:space="preserve"> В целом потребительский рынок города характеризуется </w:t>
      </w:r>
      <w:r>
        <w:rPr>
          <w:spacing w:val="-4"/>
          <w:szCs w:val="28"/>
        </w:rPr>
        <w:t>как стабильный и устойчивый, имеющий достаточно высокую степень товарного</w:t>
      </w:r>
      <w:r>
        <w:rPr>
          <w:szCs w:val="28"/>
        </w:rPr>
        <w:t xml:space="preserve"> насыщения и положительную динамику развития. </w:t>
      </w:r>
    </w:p>
    <w:p w:rsidR="002F37A5" w:rsidRDefault="0016313B">
      <w:pPr>
        <w:widowControl w:val="0"/>
        <w:ind w:firstLine="567"/>
        <w:jc w:val="both"/>
        <w:rPr>
          <w:szCs w:val="28"/>
        </w:rPr>
      </w:pPr>
      <w:r>
        <w:rPr>
          <w:szCs w:val="28"/>
        </w:rPr>
        <w:t xml:space="preserve">В целях исполнения распоряжения Правительства Ханты-Мансийского                     автономного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w:t>
      </w:r>
      <w:r>
        <w:rPr>
          <w:spacing w:val="-4"/>
          <w:szCs w:val="28"/>
        </w:rPr>
        <w:t>Правительства Ханты-Мансийского автономного округа – Югры от 04.07.2014 № 382-рп</w:t>
      </w:r>
      <w:r>
        <w:rPr>
          <w:szCs w:val="28"/>
        </w:rPr>
        <w:t xml:space="preserve"> «О плане мероприятий («дорожной карте») «Развитие конкуренции в Ханты-Мансийском автономном округе – Югре», на территории города Сургута </w:t>
      </w:r>
      <w:r>
        <w:rPr>
          <w:spacing w:val="-4"/>
          <w:szCs w:val="28"/>
        </w:rPr>
        <w:t>реализуется «дорожная карта» «Развитие конкуренции в муниципальном образовании</w:t>
      </w:r>
      <w:r>
        <w:rPr>
          <w:szCs w:val="28"/>
        </w:rPr>
        <w:t xml:space="preserve"> городской округ город Сургут», проводятся мониторинги состояния                      </w:t>
      </w:r>
      <w:r>
        <w:rPr>
          <w:spacing w:val="-4"/>
          <w:szCs w:val="28"/>
        </w:rPr>
        <w:t>и развития конкурентной среды, принимаются своевременные меры по снижению</w:t>
      </w:r>
      <w:r>
        <w:rPr>
          <w:szCs w:val="28"/>
        </w:rPr>
        <w:t xml:space="preserve"> административных и иных барьеров входа на товарный рынок.</w:t>
      </w:r>
    </w:p>
    <w:p w:rsidR="002F37A5" w:rsidRDefault="0016313B">
      <w:pPr>
        <w:ind w:firstLine="567"/>
        <w:jc w:val="both"/>
      </w:pPr>
      <w:r>
        <w:t>В 2016 году по крупным и средним организациям:</w:t>
      </w:r>
    </w:p>
    <w:p w:rsidR="002F37A5" w:rsidRDefault="0016313B">
      <w:pPr>
        <w:ind w:firstLine="567"/>
        <w:jc w:val="both"/>
        <w:rPr>
          <w:szCs w:val="28"/>
        </w:rPr>
      </w:pPr>
      <w:r>
        <w:rPr>
          <w:szCs w:val="28"/>
        </w:rPr>
        <w:t xml:space="preserve">- оборот розничной торговли составил 50,3 млрд. рублей, в сопоставимых ценах к уровню предыдущего года – 89,7%;  </w:t>
      </w:r>
    </w:p>
    <w:p w:rsidR="002F37A5" w:rsidRDefault="0016313B">
      <w:pPr>
        <w:ind w:firstLine="567"/>
        <w:jc w:val="both"/>
        <w:rPr>
          <w:szCs w:val="28"/>
        </w:rPr>
      </w:pPr>
      <w:r>
        <w:rPr>
          <w:szCs w:val="28"/>
        </w:rPr>
        <w:t xml:space="preserve">- оборот общественного питания – 2,9 млрд. рублей, в сопоставимых ценах к уровню предыдущего года – 92,1%;  </w:t>
      </w:r>
    </w:p>
    <w:p w:rsidR="002F37A5" w:rsidRDefault="0016313B">
      <w:pPr>
        <w:ind w:firstLine="567"/>
        <w:jc w:val="both"/>
        <w:rPr>
          <w:szCs w:val="28"/>
        </w:rPr>
      </w:pPr>
      <w:r>
        <w:rPr>
          <w:szCs w:val="28"/>
        </w:rPr>
        <w:t xml:space="preserve">- объем платных услуг населению – 20,7 млрд. рублей, в сопоставимых      ценах к уровню предыдущего года – 87,2%. </w:t>
      </w:r>
    </w:p>
    <w:p w:rsidR="002F37A5" w:rsidRDefault="0016313B">
      <w:pPr>
        <w:ind w:firstLine="567"/>
        <w:jc w:val="both"/>
        <w:rPr>
          <w:szCs w:val="28"/>
        </w:rPr>
      </w:pPr>
      <w:r>
        <w:rPr>
          <w:szCs w:val="28"/>
        </w:rPr>
        <w:t xml:space="preserve">Цены на товары возросли на 8,8%, на продукцию общественного питания – на 7,9%, на платные услуги в среднем по всем видам – на 8%. </w:t>
      </w:r>
    </w:p>
    <w:p w:rsidR="002F37A5" w:rsidRDefault="0016313B">
      <w:pPr>
        <w:ind w:firstLine="567"/>
        <w:jc w:val="both"/>
        <w:rPr>
          <w:szCs w:val="28"/>
        </w:rPr>
      </w:pPr>
      <w:r>
        <w:rPr>
          <w:spacing w:val="-6"/>
          <w:szCs w:val="28"/>
        </w:rPr>
        <w:t>Сохраняется тенденция снижения объемов рынка товаров и услуг, связанная</w:t>
      </w:r>
      <w:r>
        <w:rPr>
          <w:szCs w:val="28"/>
        </w:rPr>
        <w:t xml:space="preserve">              с уменьшением потребительского спроса домашних хозяйств, обусловленного продолжающимся сокращением покупательной способности доходов насе-ления.</w:t>
      </w:r>
    </w:p>
    <w:p w:rsidR="002F37A5" w:rsidRDefault="0016313B">
      <w:pPr>
        <w:ind w:firstLine="567"/>
        <w:jc w:val="both"/>
        <w:rPr>
          <w:szCs w:val="28"/>
        </w:rPr>
      </w:pPr>
      <w:r>
        <w:rPr>
          <w:spacing w:val="-6"/>
          <w:szCs w:val="28"/>
        </w:rPr>
        <w:t>При этом рынок товаров и услуг города остается самым емким на территории</w:t>
      </w:r>
      <w:r>
        <w:rPr>
          <w:szCs w:val="28"/>
        </w:rPr>
        <w:t xml:space="preserve"> округа. Доля оборота розничной торговли крупных и средних предприятий              города в общем обороте крупных и средних предприятий по автономному                округу более 40%, общественного питания – более 30%, объема платных услуг населению – около 40%. </w:t>
      </w:r>
    </w:p>
    <w:p w:rsidR="002F37A5" w:rsidRDefault="0016313B">
      <w:pPr>
        <w:ind w:firstLine="567"/>
        <w:jc w:val="both"/>
        <w:rPr>
          <w:szCs w:val="28"/>
        </w:rPr>
      </w:pPr>
      <w:r>
        <w:rPr>
          <w:szCs w:val="28"/>
        </w:rPr>
        <w:t>За 2016 год введены в эксплуатацию 28 торговых объектов общей торговой площадью 14,7 тыс. кв. метра. В результате открытия новых торговых объектов создано 200 новых рабочих мест.</w:t>
      </w:r>
    </w:p>
    <w:p w:rsidR="002F37A5" w:rsidRDefault="0016313B">
      <w:pPr>
        <w:ind w:firstLine="567"/>
        <w:jc w:val="both"/>
        <w:rPr>
          <w:szCs w:val="28"/>
        </w:rPr>
      </w:pPr>
      <w:r>
        <w:rPr>
          <w:szCs w:val="28"/>
        </w:rPr>
        <w:t>Состояние розничной торговли определяют розничные торговые сети             различной специализации и ценовой политики. Развитие предприятий сетевых компаний оказывает влияние на удовлетворение покупательского спроса, улучшение качества торгового обслуживания населения, а также способствует росту конкуренции на потребительском рынке. Предприятия представлены                 в различных форматах: гипермаркеты, супермаркеты, магазины эконом-класса.</w:t>
      </w:r>
    </w:p>
    <w:p w:rsidR="002F37A5" w:rsidRDefault="0016313B">
      <w:pPr>
        <w:ind w:firstLine="567"/>
        <w:jc w:val="both"/>
        <w:rPr>
          <w:szCs w:val="28"/>
        </w:rPr>
      </w:pPr>
      <w:r>
        <w:rPr>
          <w:szCs w:val="28"/>
        </w:rPr>
        <w:t xml:space="preserve">Лидером потребительского рынка в городе по количеству торговых                    объектов является компания АО «Тандер» розничной сети «Магнит». </w:t>
      </w:r>
    </w:p>
    <w:p w:rsidR="002F37A5" w:rsidRDefault="0016313B">
      <w:pPr>
        <w:ind w:firstLine="567"/>
        <w:jc w:val="both"/>
        <w:rPr>
          <w:szCs w:val="28"/>
        </w:rPr>
      </w:pPr>
      <w:r>
        <w:rPr>
          <w:szCs w:val="28"/>
        </w:rPr>
        <w:t>Идет процесс замещения предприятий розничной торговли, испыты-вающих финансовые сложности, предприятиями, имеющими устойчивое                   финансовое состояние. В 2016 году прекратили свою деятельность на терри-</w:t>
      </w:r>
      <w:r>
        <w:rPr>
          <w:spacing w:val="-4"/>
          <w:szCs w:val="28"/>
        </w:rPr>
        <w:t>тории города крупные сургутские торговые сети «Лабаз» (восемь супермаркетов)</w:t>
      </w:r>
      <w:r>
        <w:rPr>
          <w:szCs w:val="28"/>
        </w:rPr>
        <w:t xml:space="preserve">                   и «Рост» (11 супермаркетов). Приобрела торговые объекты X5 RetailGroup – одна из ведущих продуктовых розничных компаний в России. </w:t>
      </w:r>
    </w:p>
    <w:p w:rsidR="002F37A5" w:rsidRDefault="002F37A5">
      <w:pPr>
        <w:tabs>
          <w:tab w:val="center" w:pos="709"/>
        </w:tabs>
        <w:ind w:firstLine="567"/>
        <w:jc w:val="both"/>
        <w:rPr>
          <w:szCs w:val="28"/>
        </w:rPr>
      </w:pPr>
    </w:p>
    <w:p w:rsidR="002F37A5" w:rsidRDefault="0016313B">
      <w:pPr>
        <w:tabs>
          <w:tab w:val="center" w:pos="709"/>
        </w:tabs>
        <w:ind w:firstLine="567"/>
        <w:jc w:val="both"/>
        <w:rPr>
          <w:szCs w:val="28"/>
        </w:rPr>
      </w:pPr>
      <w:r>
        <w:rPr>
          <w:szCs w:val="28"/>
        </w:rPr>
        <w:t>По состоянию на 31.12.2016 в городе функционировало 1 333 объекта                 розничной торговли общей торговой площадью 688 тыс. кв. метров, в том             числе 1 015 магазинов и 318 объектов мелкорозничной торговли. За год общая торговая площадь увеличилась на 10,6 тыс. кв. метров или на 1,6%.</w:t>
      </w:r>
    </w:p>
    <w:p w:rsidR="002F37A5" w:rsidRDefault="0016313B">
      <w:pPr>
        <w:tabs>
          <w:tab w:val="center" w:pos="567"/>
        </w:tabs>
        <w:ind w:firstLine="567"/>
        <w:jc w:val="both"/>
        <w:rPr>
          <w:szCs w:val="28"/>
        </w:rPr>
      </w:pPr>
      <w:r>
        <w:rPr>
          <w:szCs w:val="28"/>
        </w:rPr>
        <w:t xml:space="preserve">При достаточной обеспеченности торговыми площадями сохраняется                 мелкорозничная торговая сеть. Упорядочение размещения мелкорозничной торговой сети – одно из направлений улучшения качества торгового </w:t>
      </w:r>
      <w:r>
        <w:rPr>
          <w:spacing w:val="-6"/>
          <w:szCs w:val="28"/>
        </w:rPr>
        <w:t>обслуживания. Происходит процесс замещения киосков, не имеющих торговой площади,</w:t>
      </w:r>
      <w:r>
        <w:rPr>
          <w:szCs w:val="28"/>
        </w:rPr>
        <w:t xml:space="preserve">                 на павильоны, что, в свою очередь, увеличивает обеспеченность жителей                     города торговой площадью.</w:t>
      </w:r>
    </w:p>
    <w:p w:rsidR="002F37A5" w:rsidRDefault="0016313B">
      <w:pPr>
        <w:ind w:firstLine="567"/>
        <w:jc w:val="both"/>
        <w:rPr>
          <w:szCs w:val="28"/>
        </w:rPr>
      </w:pPr>
      <w:r>
        <w:rPr>
          <w:szCs w:val="28"/>
        </w:rPr>
        <w:t xml:space="preserve">Благодаря высокому потребительскому потенциалу сфера общественного питания остается наиболее динамично развивающимся сектором экономики                 города. Приоритетом является развитие сети предприятий быстрого питания               и предприятий, предоставляющих посетителям дополнительные услуги, а также создающие доступную среду для людей с ограниченными возможностями           здоровья. Развиваются сетевые формы организации предприятий обществен-ного питания, включая специализированные. </w:t>
      </w:r>
    </w:p>
    <w:p w:rsidR="002F37A5" w:rsidRDefault="0016313B">
      <w:pPr>
        <w:ind w:firstLine="567"/>
        <w:jc w:val="both"/>
        <w:rPr>
          <w:szCs w:val="28"/>
        </w:rPr>
      </w:pPr>
      <w:r>
        <w:rPr>
          <w:szCs w:val="28"/>
        </w:rPr>
        <w:t>За отчетный год открыто 37 предприятий общественного питания на 2 276 посадочных мест, их них общедоступной сети – 36 на 1 996 посадочных мест. За счет открытия новых объектов дополнительно создано 265 рабочих мест.</w:t>
      </w:r>
    </w:p>
    <w:p w:rsidR="002F37A5" w:rsidRDefault="0016313B">
      <w:pPr>
        <w:ind w:firstLine="567"/>
        <w:jc w:val="both"/>
        <w:rPr>
          <w:iCs/>
          <w:color w:val="333300"/>
          <w:szCs w:val="28"/>
        </w:rPr>
      </w:pPr>
      <w:r>
        <w:rPr>
          <w:iCs/>
          <w:szCs w:val="28"/>
        </w:rPr>
        <w:t xml:space="preserve">Дальнейшее развитие получили </w:t>
      </w:r>
      <w:r>
        <w:rPr>
          <w:szCs w:val="28"/>
        </w:rPr>
        <w:t xml:space="preserve">небольшие магазины-пекарни, булочные               с широким ассортиментом хлебобулочных изделий, пиццы. В организации              быстрого питания города возникло новое направление – «антикафе». Их посетители могут не только выпить чашечку кофе, но провести свой досуг – организовать тематические встречи, выставки, просмотреть фильмы. </w:t>
      </w:r>
    </w:p>
    <w:p w:rsidR="002F37A5" w:rsidRDefault="0016313B">
      <w:pPr>
        <w:widowControl w:val="0"/>
        <w:ind w:firstLine="567"/>
        <w:jc w:val="both"/>
        <w:rPr>
          <w:szCs w:val="28"/>
        </w:rPr>
      </w:pPr>
      <w:r>
        <w:rPr>
          <w:szCs w:val="28"/>
        </w:rPr>
        <w:t>Несмотря на динамичное развитие, ежегодно ряд объектов общедоступной сети закрывается. Причинами закрытия являются: возросшая арендная плата, запрет на курение, увеличение стоимости продуктов, снижение покупательной способности населения, высокие цены на качественные продукты и алко-</w:t>
      </w:r>
      <w:r>
        <w:rPr>
          <w:spacing w:val="-4"/>
          <w:szCs w:val="28"/>
        </w:rPr>
        <w:t>гольные напитки, сложности с подбором высококвалифицированного персонала,</w:t>
      </w:r>
      <w:r>
        <w:rPr>
          <w:szCs w:val="28"/>
        </w:rPr>
        <w:t xml:space="preserve"> открытие крупных торговых центров с фаст-фудами, переоборудование помещений под другие цели. </w:t>
      </w:r>
    </w:p>
    <w:p w:rsidR="002F37A5" w:rsidRDefault="0016313B">
      <w:pPr>
        <w:ind w:firstLine="567"/>
        <w:jc w:val="both"/>
        <w:rPr>
          <w:szCs w:val="28"/>
        </w:rPr>
      </w:pPr>
      <w:r>
        <w:rPr>
          <w:szCs w:val="28"/>
        </w:rPr>
        <w:t>По состоянию на 31.12.2016 в городе функционировало 581 предприятие общественного питания на 40 903 посадочных места, из них 414 – общедос-тупной сети на 23 287 посадочных мест. За год общедоступная сеть увеличилась на 1 532 места или на 7%.</w:t>
      </w:r>
    </w:p>
    <w:p w:rsidR="002F37A5" w:rsidRDefault="0016313B">
      <w:pPr>
        <w:ind w:firstLine="567"/>
        <w:jc w:val="both"/>
        <w:rPr>
          <w:szCs w:val="28"/>
        </w:rPr>
      </w:pPr>
      <w:r>
        <w:rPr>
          <w:szCs w:val="28"/>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2F37A5" w:rsidRDefault="0016313B">
      <w:pPr>
        <w:ind w:firstLine="567"/>
        <w:jc w:val="both"/>
      </w:pPr>
      <w:r>
        <w:t xml:space="preserve">По состоянию на 31.12.2016 в городе функционировало 59 объектов гостиничного хозяйства на 2 529 мест. За год мощность гостиниц увеличилась                </w:t>
      </w:r>
      <w:r>
        <w:rPr>
          <w:spacing w:val="-4"/>
        </w:rPr>
        <w:t>на 268 мест или на 12%. Конкуренция на рынке гостиничных услуг способствует</w:t>
      </w:r>
      <w:r>
        <w:t xml:space="preserve"> повышению стандартов обслуживания и расширению спектра услуг. </w:t>
      </w:r>
    </w:p>
    <w:p w:rsidR="002F37A5" w:rsidRDefault="002F37A5">
      <w:pPr>
        <w:ind w:firstLine="567"/>
        <w:jc w:val="both"/>
      </w:pPr>
    </w:p>
    <w:p w:rsidR="002F37A5" w:rsidRDefault="0016313B">
      <w:pPr>
        <w:ind w:firstLine="567"/>
        <w:jc w:val="both"/>
      </w:pPr>
      <w:r>
        <w:t xml:space="preserve">В городе функционируют окружные лидеры гостиничного бизнеса, </w:t>
      </w:r>
      <w:r>
        <w:rPr>
          <w:spacing w:val="-4"/>
        </w:rPr>
        <w:t>эффективно использующие рекреационные возможности и туристские ресурсы нашего</w:t>
      </w:r>
      <w:r>
        <w:t xml:space="preserve"> региона. Недостаток доступных по категории «цена-качество» гостиничных номеров привел к изменению структуры рынка гостиничных услуг и активному увеличению предложений от частных предпринимателей, предлагающих свои услуги для размещения – квартиры и апартаменты. </w:t>
      </w:r>
    </w:p>
    <w:p w:rsidR="002F37A5" w:rsidRDefault="0016313B">
      <w:pPr>
        <w:pStyle w:val="af1"/>
        <w:spacing w:after="0"/>
        <w:ind w:firstLine="567"/>
        <w:jc w:val="both"/>
        <w:rPr>
          <w:sz w:val="28"/>
          <w:szCs w:val="22"/>
          <w:lang w:eastAsia="ru-RU"/>
        </w:rPr>
      </w:pPr>
      <w:r>
        <w:rPr>
          <w:sz w:val="28"/>
          <w:szCs w:val="22"/>
          <w:lang w:eastAsia="ru-RU"/>
        </w:rPr>
        <w:t>Рост численности населения, развитие торговой и развлекательной инфраструктуры способствуют увеличению количества объектов бытового обслуживания и, соответственно, рабочих мест в этой сфере, росту конкуренции,                    и, как следствие, повышению качества оказываемых услуг.</w:t>
      </w:r>
    </w:p>
    <w:p w:rsidR="002F37A5" w:rsidRDefault="0016313B">
      <w:pPr>
        <w:pStyle w:val="af1"/>
        <w:spacing w:after="0"/>
        <w:ind w:firstLine="567"/>
        <w:jc w:val="both"/>
        <w:rPr>
          <w:sz w:val="28"/>
          <w:szCs w:val="28"/>
        </w:rPr>
      </w:pPr>
      <w:r>
        <w:rPr>
          <w:sz w:val="28"/>
          <w:szCs w:val="28"/>
        </w:rPr>
        <w:t xml:space="preserve">По состоянию на 31.12.2016 бытовые услуги населению города                 оказывали 1 015 предприятия с общим количеством рабочих мест более                         4 тыс. единиц. За год количество предприятий бытового обслуживания </w:t>
      </w:r>
      <w:r>
        <w:rPr>
          <w:spacing w:val="-4"/>
          <w:sz w:val="28"/>
          <w:szCs w:val="28"/>
        </w:rPr>
        <w:t>увеличилось на 3,9% (на 38 единиц), количество рабочих мест – на 4% (на 156 единиц).</w:t>
      </w:r>
    </w:p>
    <w:p w:rsidR="002F37A5" w:rsidRDefault="0016313B">
      <w:pPr>
        <w:ind w:firstLine="567"/>
        <w:jc w:val="both"/>
      </w:pPr>
      <w:r>
        <w:t>За год обеспеченность жителей города:</w:t>
      </w:r>
    </w:p>
    <w:p w:rsidR="002F37A5" w:rsidRDefault="0016313B">
      <w:pPr>
        <w:ind w:firstLine="567"/>
        <w:jc w:val="both"/>
      </w:pPr>
      <w:r>
        <w:t>- торговыми площадями снизилась на 2% до 1 909 кв. метров на одну           тысячу жителей (257% к нормативу);</w:t>
      </w:r>
    </w:p>
    <w:p w:rsidR="002F37A5" w:rsidRDefault="0016313B">
      <w:pPr>
        <w:ind w:firstLine="567"/>
        <w:jc w:val="both"/>
      </w:pPr>
      <w:r>
        <w:t xml:space="preserve">- предприятиями общепита общедоступной сети увеличилась на 3,5%                    </w:t>
      </w:r>
      <w:r>
        <w:rPr>
          <w:spacing w:val="-4"/>
        </w:rPr>
        <w:t>и составила 64,6 посадочного места на одну тысячу жителей (161% к нормативу);</w:t>
      </w:r>
    </w:p>
    <w:p w:rsidR="002F37A5" w:rsidRDefault="0016313B">
      <w:pPr>
        <w:ind w:firstLine="567"/>
        <w:jc w:val="both"/>
      </w:pPr>
      <w:r>
        <w:t>- гостиницами увеличилась на 8% до 7 койко-мест на одну тысячу жителей (117% к нормативу);</w:t>
      </w:r>
    </w:p>
    <w:p w:rsidR="002F37A5" w:rsidRDefault="0016313B">
      <w:pPr>
        <w:ind w:firstLine="567"/>
        <w:jc w:val="both"/>
      </w:pPr>
      <w:r>
        <w:t>- предприятиями бытового обслуживания изменилась незначительно                         и составила 11,3 рабочих места на одну тысячу жителей (125% от норматива).</w:t>
      </w:r>
    </w:p>
    <w:p w:rsidR="002F37A5" w:rsidRDefault="002F37A5">
      <w:pPr>
        <w:widowControl w:val="0"/>
        <w:tabs>
          <w:tab w:val="center" w:pos="709"/>
        </w:tabs>
        <w:ind w:firstLine="567"/>
        <w:jc w:val="both"/>
        <w:rPr>
          <w:szCs w:val="28"/>
        </w:rPr>
      </w:pPr>
    </w:p>
    <w:p w:rsidR="002F37A5" w:rsidRDefault="0016313B">
      <w:pPr>
        <w:ind w:firstLine="567"/>
        <w:jc w:val="both"/>
        <w:rPr>
          <w:szCs w:val="28"/>
        </w:rPr>
      </w:pPr>
      <w:r>
        <w:rPr>
          <w:szCs w:val="28"/>
        </w:rPr>
        <w:t>Финансы.</w:t>
      </w:r>
    </w:p>
    <w:p w:rsidR="002F37A5" w:rsidRDefault="0016313B">
      <w:pPr>
        <w:ind w:firstLine="567"/>
        <w:jc w:val="both"/>
      </w:pPr>
      <w:r>
        <w:t>За отчетный год налогоплательщиками города во все уровни бюджета          перечислено 374 млрд. рублей, что на 22% меньше уровня предыдущего года.         В общем объеме налоговых поступлений в бюджетную систему по округу доля города составила 22%.</w:t>
      </w:r>
    </w:p>
    <w:p w:rsidR="002F37A5" w:rsidRDefault="0016313B">
      <w:pPr>
        <w:widowControl w:val="0"/>
        <w:ind w:firstLine="567"/>
        <w:jc w:val="both"/>
        <w:rPr>
          <w:szCs w:val="28"/>
        </w:rPr>
      </w:pPr>
      <w:r>
        <w:rPr>
          <w:szCs w:val="28"/>
        </w:rPr>
        <w:t xml:space="preserve">По сравнению с предыдущим годом объемы поступлений увеличились: </w:t>
      </w:r>
    </w:p>
    <w:p w:rsidR="002F37A5" w:rsidRDefault="0016313B">
      <w:pPr>
        <w:widowControl w:val="0"/>
        <w:ind w:firstLine="567"/>
        <w:jc w:val="both"/>
        <w:rPr>
          <w:szCs w:val="28"/>
        </w:rPr>
      </w:pPr>
      <w:r>
        <w:rPr>
          <w:szCs w:val="28"/>
        </w:rPr>
        <w:t>- налогов на имущество – на 18,6%;</w:t>
      </w:r>
    </w:p>
    <w:p w:rsidR="002F37A5" w:rsidRDefault="0016313B">
      <w:pPr>
        <w:widowControl w:val="0"/>
        <w:ind w:firstLine="567"/>
        <w:jc w:val="both"/>
        <w:rPr>
          <w:szCs w:val="28"/>
        </w:rPr>
      </w:pPr>
      <w:r>
        <w:rPr>
          <w:szCs w:val="28"/>
        </w:rPr>
        <w:t>- налогов на совокупный доход – на 5,8%;</w:t>
      </w:r>
    </w:p>
    <w:p w:rsidR="002F37A5" w:rsidRDefault="0016313B">
      <w:pPr>
        <w:widowControl w:val="0"/>
        <w:ind w:firstLine="567"/>
        <w:jc w:val="both"/>
        <w:rPr>
          <w:szCs w:val="28"/>
        </w:rPr>
      </w:pPr>
      <w:r>
        <w:rPr>
          <w:szCs w:val="28"/>
        </w:rPr>
        <w:t>- налога на доходы физических лиц – на 4,2%.</w:t>
      </w:r>
    </w:p>
    <w:p w:rsidR="002F37A5" w:rsidRDefault="0016313B">
      <w:pPr>
        <w:ind w:firstLine="567"/>
        <w:jc w:val="both"/>
      </w:pPr>
      <w:r>
        <w:t>Снижение в 2016 году поступлений по сравнению с уровнем 2015 года           по налогу на прибыль (на 53%) и налогам и сборам за пользование природными ресурсами (на 14%) определялось конъюнктурой на мировых сырьевых рынках.</w:t>
      </w:r>
    </w:p>
    <w:p w:rsidR="002F37A5" w:rsidRDefault="0016313B">
      <w:pPr>
        <w:widowControl w:val="0"/>
        <w:ind w:firstLine="567"/>
        <w:jc w:val="both"/>
        <w:rPr>
          <w:szCs w:val="28"/>
        </w:rPr>
      </w:pPr>
      <w:r>
        <w:rPr>
          <w:szCs w:val="28"/>
        </w:rPr>
        <w:t>Основным источником налога на доходы физических лиц является заработная плата наемных работников предприятий и организаций.</w:t>
      </w:r>
    </w:p>
    <w:p w:rsidR="002F37A5" w:rsidRDefault="0016313B">
      <w:pPr>
        <w:widowControl w:val="0"/>
        <w:ind w:firstLine="567"/>
        <w:jc w:val="both"/>
        <w:rPr>
          <w:szCs w:val="28"/>
        </w:rPr>
      </w:pPr>
      <w:r>
        <w:rPr>
          <w:szCs w:val="28"/>
        </w:rPr>
        <w:t xml:space="preserve">Основные факторы, влияющие на формирование темпов роста фонда              заработной платы: темпы роста номинальной начисленной заработной платы               и численности работников организаций. </w:t>
      </w:r>
    </w:p>
    <w:p w:rsidR="002F37A5" w:rsidRDefault="0016313B">
      <w:pPr>
        <w:widowControl w:val="0"/>
        <w:ind w:firstLine="567"/>
        <w:jc w:val="both"/>
        <w:rPr>
          <w:szCs w:val="28"/>
        </w:rPr>
      </w:pPr>
      <w:r>
        <w:rPr>
          <w:szCs w:val="28"/>
        </w:rPr>
        <w:t>К уровню 2015 года:</w:t>
      </w:r>
    </w:p>
    <w:p w:rsidR="002F37A5" w:rsidRDefault="0016313B">
      <w:pPr>
        <w:widowControl w:val="0"/>
        <w:ind w:firstLine="567"/>
        <w:jc w:val="both"/>
        <w:rPr>
          <w:szCs w:val="28"/>
        </w:rPr>
      </w:pPr>
      <w:r>
        <w:rPr>
          <w:szCs w:val="28"/>
        </w:rPr>
        <w:t xml:space="preserve">- численность работников организаций снизилась на 1,5% (темп роста                     к 2015 году – 98,5%); </w:t>
      </w:r>
    </w:p>
    <w:p w:rsidR="002F37A5" w:rsidRDefault="002F37A5">
      <w:pPr>
        <w:widowControl w:val="0"/>
        <w:ind w:firstLine="567"/>
        <w:jc w:val="both"/>
        <w:rPr>
          <w:szCs w:val="28"/>
        </w:rPr>
      </w:pPr>
    </w:p>
    <w:p w:rsidR="002F37A5" w:rsidRDefault="0016313B">
      <w:pPr>
        <w:widowControl w:val="0"/>
        <w:ind w:firstLine="567"/>
        <w:jc w:val="both"/>
        <w:rPr>
          <w:szCs w:val="28"/>
        </w:rPr>
      </w:pPr>
      <w:r>
        <w:rPr>
          <w:szCs w:val="28"/>
        </w:rPr>
        <w:t xml:space="preserve">- номинальная начисленная заработная плата одного работника возросла                на 4,9% (темп роста к 2015 году – 104,9%).  </w:t>
      </w:r>
    </w:p>
    <w:p w:rsidR="002F37A5" w:rsidRDefault="0016313B">
      <w:pPr>
        <w:widowControl w:val="0"/>
        <w:ind w:firstLine="567"/>
        <w:jc w:val="both"/>
        <w:rPr>
          <w:szCs w:val="28"/>
        </w:rPr>
      </w:pPr>
      <w:r>
        <w:rPr>
          <w:szCs w:val="28"/>
        </w:rPr>
        <w:t>Фонд заработной платы работников крупных и средних организаций,                       осуществляющих хозяйственную деятельность на территории города, увеличился к уровню 2015 года на 3,3% и составил 110,4 млрд. рублей.</w:t>
      </w:r>
    </w:p>
    <w:p w:rsidR="002F37A5" w:rsidRDefault="0016313B">
      <w:pPr>
        <w:widowControl w:val="0"/>
        <w:ind w:firstLine="567"/>
        <w:jc w:val="both"/>
        <w:rPr>
          <w:szCs w:val="28"/>
        </w:rPr>
      </w:pPr>
      <w:r>
        <w:rPr>
          <w:szCs w:val="28"/>
        </w:rPr>
        <w:t>Общий объем доходов, поступивших в бюджет города за отчетный период, составил 21,6 млрд. рублей или 92,9% к уровню предыдущего года.</w:t>
      </w:r>
    </w:p>
    <w:p w:rsidR="002F37A5" w:rsidRDefault="0016313B">
      <w:pPr>
        <w:widowControl w:val="0"/>
        <w:tabs>
          <w:tab w:val="left" w:pos="-360"/>
        </w:tabs>
        <w:ind w:firstLine="567"/>
        <w:jc w:val="both"/>
        <w:rPr>
          <w:bCs/>
          <w:szCs w:val="28"/>
        </w:rPr>
      </w:pPr>
      <w:r>
        <w:rPr>
          <w:bCs/>
          <w:szCs w:val="28"/>
        </w:rPr>
        <w:t xml:space="preserve">По сравнению с уровнем предыдущего года объем безвозмездных поступлений от других бюджетов бюджетной системы Российской Федерации                             </w:t>
      </w:r>
      <w:r>
        <w:rPr>
          <w:szCs w:val="28"/>
        </w:rPr>
        <w:t>в форме дотаций, субвенций на реализацию муниципалитетом переданных                  государственных полномочий, субсидий на софинансирование инвестиционных программ и иных межбюджетных трансфертов снизился на 13,2% и составил 11,9 млрд. рублей.</w:t>
      </w:r>
    </w:p>
    <w:p w:rsidR="002F37A5" w:rsidRDefault="0016313B">
      <w:pPr>
        <w:ind w:firstLine="567"/>
        <w:jc w:val="both"/>
      </w:pPr>
      <w:r>
        <w:t>В отчетном году налоговые доходы бюджета города составили 8,3 млрд. рублей или 103,4% к уровню предыдущего года, неналоговые доходы –                     1,4 млрд. рублей (92,3%).</w:t>
      </w:r>
    </w:p>
    <w:p w:rsidR="002F37A5" w:rsidRDefault="0016313B">
      <w:pPr>
        <w:ind w:firstLine="567"/>
        <w:jc w:val="both"/>
      </w:pPr>
      <w:r>
        <w:t>Рост поступлений налоговых доходов в 2016 году обусловлен увеличением поступлений налога на доходы физических лиц (104,2% к 2015 году).</w:t>
      </w:r>
    </w:p>
    <w:p w:rsidR="002F37A5" w:rsidRDefault="0016313B">
      <w:pPr>
        <w:ind w:firstLine="567"/>
        <w:jc w:val="both"/>
      </w:pPr>
      <w:r>
        <w:t>Падение объемов поступлений неналоговых доходов к уровню 2015 года обусловлено, в основном, снижением поступлений по доходам от продажи               муниципального имущества (65,6%) в связи с уменьшением заявителей                         на выкуп земельных участков.</w:t>
      </w:r>
    </w:p>
    <w:p w:rsidR="002F37A5" w:rsidRDefault="0016313B">
      <w:pPr>
        <w:ind w:firstLine="567"/>
        <w:jc w:val="both"/>
      </w:pPr>
      <w:r>
        <w:t xml:space="preserve">Расходы бюджета за отчетный год остались на уровне 2015 года и соста-вили 22,8 млрд. рублей. </w:t>
      </w:r>
    </w:p>
    <w:p w:rsidR="002F37A5" w:rsidRDefault="0016313B">
      <w:pPr>
        <w:ind w:firstLine="567"/>
        <w:jc w:val="both"/>
        <w:rPr>
          <w:szCs w:val="28"/>
        </w:rPr>
      </w:pPr>
      <w:r>
        <w:rPr>
          <w:szCs w:val="28"/>
        </w:rPr>
        <w:t>Распоряжением Администрации города от 29.01.2016 № 103 «О мерах                по реализации решения Думы города от 22.12.2015 № 820-V ДГ «О бюджете городского округа город Сургут на 2016 год» и постановления Администрации города от 06.10.2015 № 7047 «Об основных направлениях бюджетной и нало-говой политики городского округа город Сургут на 2016 год и плановый период 2017 – 2018 годов» утвержден план мероприятий по мобилизации доходов,                 оптимизации расходов и муниципального долга бюджета городского округа           город Сургут на 2016 год.</w:t>
      </w:r>
    </w:p>
    <w:p w:rsidR="002F37A5" w:rsidRDefault="0016313B">
      <w:pPr>
        <w:ind w:firstLine="567"/>
        <w:jc w:val="both"/>
        <w:rPr>
          <w:szCs w:val="28"/>
        </w:rPr>
      </w:pPr>
      <w:r>
        <w:rPr>
          <w:szCs w:val="28"/>
        </w:rPr>
        <w:t>За год полученный эффект от реализации мероприятий плана составил:</w:t>
      </w:r>
    </w:p>
    <w:p w:rsidR="002F37A5" w:rsidRDefault="0016313B">
      <w:pPr>
        <w:ind w:firstLine="567"/>
        <w:jc w:val="both"/>
        <w:rPr>
          <w:szCs w:val="28"/>
        </w:rPr>
      </w:pPr>
      <w:r>
        <w:rPr>
          <w:szCs w:val="28"/>
        </w:rPr>
        <w:t>- по мобилизации доходов 507,8 млн. рублей (152,6% к плановым назначениям), главным образом за счет мобилизации неналоговых доходов, учтенных в бюджете города;</w:t>
      </w:r>
    </w:p>
    <w:p w:rsidR="002F37A5" w:rsidRDefault="0016313B">
      <w:pPr>
        <w:ind w:firstLine="567"/>
        <w:jc w:val="both"/>
      </w:pPr>
      <w:r>
        <w:t>- по оптимизации расходов 418,0 млн. рублей (99,5% к плановым назначениям).</w:t>
      </w:r>
    </w:p>
    <w:p w:rsidR="002F37A5" w:rsidRDefault="002F37A5">
      <w:pPr>
        <w:widowControl w:val="0"/>
        <w:tabs>
          <w:tab w:val="center" w:pos="709"/>
        </w:tabs>
        <w:ind w:firstLine="567"/>
        <w:jc w:val="both"/>
        <w:rPr>
          <w:szCs w:val="28"/>
        </w:rPr>
      </w:pPr>
    </w:p>
    <w:p w:rsidR="002F37A5" w:rsidRDefault="0016313B">
      <w:pPr>
        <w:ind w:firstLine="567"/>
        <w:jc w:val="both"/>
      </w:pPr>
      <w:r>
        <w:t>Демографическая ситуация и занятость населения.</w:t>
      </w:r>
    </w:p>
    <w:p w:rsidR="002F37A5" w:rsidRDefault="0016313B">
      <w:pPr>
        <w:ind w:firstLine="567"/>
        <w:jc w:val="both"/>
      </w:pPr>
      <w:r>
        <w:t>Демографическая ситуация в муниципальном образовании в отчетном              году, как и в предыдущие годы, характеризовалась положительными естест-венным и механическим приростом населения, что обеспечивало стабильный прирост постоянного населения.</w:t>
      </w:r>
    </w:p>
    <w:p w:rsidR="002F37A5" w:rsidRDefault="002F37A5">
      <w:pPr>
        <w:ind w:firstLine="567"/>
        <w:jc w:val="both"/>
      </w:pPr>
    </w:p>
    <w:p w:rsidR="002F37A5" w:rsidRDefault="0016313B">
      <w:pPr>
        <w:ind w:firstLine="567"/>
        <w:jc w:val="both"/>
      </w:pPr>
      <w:r>
        <w:t>По итогам 2016 года:</w:t>
      </w:r>
    </w:p>
    <w:p w:rsidR="002F37A5" w:rsidRDefault="0016313B">
      <w:pPr>
        <w:ind w:firstLine="567"/>
        <w:jc w:val="both"/>
      </w:pPr>
      <w:r>
        <w:t>- общий прирост постоянного населения составил 12 тыс. человек                   или 3,4%;</w:t>
      </w:r>
    </w:p>
    <w:p w:rsidR="002F37A5" w:rsidRDefault="0016313B">
      <w:pPr>
        <w:ind w:firstLine="567"/>
        <w:jc w:val="both"/>
      </w:pPr>
      <w:r>
        <w:t>- естественный прирост населения – 4,9 тыс. человек, что на 1,4% выше уровня 2015 года, в основном за счет снижения смертности;</w:t>
      </w:r>
    </w:p>
    <w:p w:rsidR="002F37A5" w:rsidRDefault="0016313B">
      <w:pPr>
        <w:ind w:firstLine="567"/>
        <w:jc w:val="both"/>
      </w:pPr>
      <w:r>
        <w:t>- уровень рождаемости в 3,5 раза превысил уровень смертности;</w:t>
      </w:r>
    </w:p>
    <w:p w:rsidR="002F37A5" w:rsidRDefault="0016313B">
      <w:pPr>
        <w:ind w:firstLine="567"/>
        <w:jc w:val="both"/>
      </w:pPr>
      <w:r>
        <w:t>- миграционный прирост населения в 2,4 раза превысил уровень 2015 года и составил 7,1 тыс. человек;</w:t>
      </w:r>
    </w:p>
    <w:p w:rsidR="002F37A5" w:rsidRDefault="0016313B">
      <w:pPr>
        <w:ind w:firstLine="567"/>
        <w:jc w:val="both"/>
      </w:pPr>
      <w:r>
        <w:t>- численность постоянного населения города на 31.12.2016 – 360,6 тыс.                          человек.</w:t>
      </w:r>
    </w:p>
    <w:p w:rsidR="002F37A5" w:rsidRDefault="0016313B">
      <w:pPr>
        <w:ind w:firstLine="567"/>
        <w:jc w:val="both"/>
      </w:pPr>
      <w:r>
        <w:t xml:space="preserve">Сургут на первом месте среди муниципалитетов автономного округа              по естественному приросту населения. </w:t>
      </w:r>
    </w:p>
    <w:p w:rsidR="002F37A5" w:rsidRDefault="0016313B">
      <w:pPr>
        <w:ind w:firstLine="567"/>
        <w:jc w:val="both"/>
      </w:pPr>
      <w:r>
        <w:t>Один из самых высоких уровней жизни в округе, развитая инженерная, транспортная и социальная инфраструктуры способствуют тому, что Сургут является самым привлекательным для жизни муниципальным образованием округа. По коэффициенту миграционного прироста за 2016 год город также                  на первом месте среди муниципалитетов. Положительный или почти нулевой миграционный прирост наблюдался в отчетном году только в девяти муниципалитетах округа из 22-х.</w:t>
      </w:r>
    </w:p>
    <w:p w:rsidR="002F37A5" w:rsidRDefault="0016313B">
      <w:pPr>
        <w:ind w:firstLine="567"/>
        <w:jc w:val="both"/>
      </w:pPr>
      <w:r>
        <w:t>Продолжается процесс изменения возрастной структуры населения,                 обусловленный вступлением в трудоспособный возраст малочисленного молодого поколения и выбытием из трудоспособного возраста многочисленного    пожилого поколения.</w:t>
      </w:r>
    </w:p>
    <w:p w:rsidR="002F37A5" w:rsidRDefault="0016313B">
      <w:pPr>
        <w:ind w:firstLine="567"/>
        <w:jc w:val="both"/>
      </w:pPr>
      <w:r>
        <w:t>За год на 0,8% снизилась доля лиц в трудоспособном возрасте (до 63,5%), на 0,53% увеличилась доля лиц старше трудоспособного возраста (до 13,9%),                  на 0,25% увеличилась доля лиц младше трудоспособного возраста (до 22,6%).</w:t>
      </w:r>
    </w:p>
    <w:p w:rsidR="002F37A5" w:rsidRDefault="0016313B">
      <w:pPr>
        <w:ind w:firstLine="567"/>
        <w:jc w:val="both"/>
      </w:pPr>
      <w:r>
        <w:t>Средний возраст населения города – 33,6 года, в том числе мужчин –              32,3, женщин – 34,8.</w:t>
      </w:r>
    </w:p>
    <w:p w:rsidR="002F37A5" w:rsidRDefault="0016313B">
      <w:pPr>
        <w:ind w:firstLine="567"/>
        <w:jc w:val="both"/>
      </w:pPr>
      <w:r>
        <w:t>Коэффициент общей демографической нагрузки на лиц трудоспособного возраста (на 1 000 человек) детьми и пожилыми увеличился за год с 555 до 574, при этом коэффициент нагрузки детьми в 1,6 раза превышает коэффициент           нагрузки пожилыми.</w:t>
      </w:r>
    </w:p>
    <w:p w:rsidR="002F37A5" w:rsidRDefault="0016313B">
      <w:pPr>
        <w:ind w:firstLine="567"/>
        <w:jc w:val="both"/>
        <w:rPr>
          <w:spacing w:val="-4"/>
        </w:rPr>
      </w:pPr>
      <w:r>
        <w:rPr>
          <w:spacing w:val="-4"/>
        </w:rPr>
        <w:t>На рынке труда города сохраняется тенденция снижения удельного веса             трудовых ресурсов в общей численности населения, обусловленного снижением удельного веса населения в трудоспособном возрасте.</w:t>
      </w:r>
    </w:p>
    <w:p w:rsidR="002F37A5" w:rsidRDefault="0016313B">
      <w:pPr>
        <w:ind w:firstLine="567"/>
        <w:jc w:val="both"/>
        <w:rPr>
          <w:spacing w:val="-4"/>
        </w:rPr>
      </w:pPr>
      <w:r>
        <w:rPr>
          <w:spacing w:val="-4"/>
        </w:rPr>
        <w:t>Среднегодовая численность экономически активного населения в 2016 году составила 166,6 тыс. человек, среднегодовая численность занятых в экономике                   на территории муниципального образования – 157,6 тыс. человек, доля занятых                в экономике от общей численности экономически активного населения – 94,6%.</w:t>
      </w:r>
    </w:p>
    <w:p w:rsidR="002F37A5" w:rsidRDefault="0016313B">
      <w:pPr>
        <w:ind w:firstLine="567"/>
        <w:jc w:val="both"/>
        <w:rPr>
          <w:spacing w:val="-4"/>
        </w:rPr>
      </w:pPr>
      <w:r>
        <w:rPr>
          <w:spacing w:val="-4"/>
        </w:rPr>
        <w:t xml:space="preserve">Среднесписочная численность работников крупных и средних организаций </w:t>
      </w:r>
      <w:r>
        <w:t>снизилась по сравнению с уровнем предыдущего года на 1,5 % до 115,7 тыс. человек.</w:t>
      </w:r>
    </w:p>
    <w:p w:rsidR="002F37A5" w:rsidRDefault="0016313B">
      <w:pPr>
        <w:ind w:firstLine="567"/>
        <w:jc w:val="both"/>
        <w:rPr>
          <w:spacing w:val="-4"/>
        </w:rPr>
      </w:pPr>
      <w:r>
        <w:rPr>
          <w:spacing w:val="-4"/>
        </w:rPr>
        <w:t>Наиболее значительное сокращение занятости по сравнению с уровнем                      предыдущего года произошло по видам экономической деятельности: строительство зданий и сооружений; деятельность воздушного транспорта; финансовая                     деятельность. В обрабатывающих отраслях наиболее значительное снижение              занятости отмечено в строительной индустрии.</w:t>
      </w:r>
    </w:p>
    <w:p w:rsidR="002F37A5" w:rsidRDefault="0016313B">
      <w:pPr>
        <w:ind w:firstLine="567"/>
        <w:jc w:val="both"/>
      </w:pPr>
      <w:r>
        <w:t xml:space="preserve">За отчетный год численность безработных, зарегистрированных в органах </w:t>
      </w:r>
      <w:r>
        <w:rPr>
          <w:spacing w:val="-4"/>
        </w:rPr>
        <w:t>государственной службы занятости населения, возросла на 7,9% до 422 человек,</w:t>
      </w:r>
      <w:r>
        <w:t xml:space="preserve"> уровень регистрируемой безработицы увеличился на 0,02 процентного пункта          и составил 0,25%. Уровень общей безработицы оценивается на уровне 5,4%              от экономически активного населения.</w:t>
      </w:r>
    </w:p>
    <w:p w:rsidR="002F37A5" w:rsidRDefault="0016313B">
      <w:pPr>
        <w:ind w:firstLine="567"/>
        <w:jc w:val="both"/>
      </w:pPr>
      <w:r>
        <w:t>Уровень регистрируемой безработицы по городу остается одним из самых низких среди муниципалитетов округа, в среднем по округу на конец года               он составил – 0,57%.</w:t>
      </w:r>
    </w:p>
    <w:p w:rsidR="002F37A5" w:rsidRDefault="0016313B">
      <w:pPr>
        <w:ind w:firstLine="567"/>
        <w:jc w:val="both"/>
        <w:rPr>
          <w:iCs/>
          <w:szCs w:val="28"/>
        </w:rPr>
      </w:pPr>
      <w:r>
        <w:rPr>
          <w:iCs/>
          <w:szCs w:val="28"/>
        </w:rPr>
        <w:t xml:space="preserve">Рост уровня безработицы обусловил рост количества обращений в центр занятости. За отчетный год в центр занятости за предоставлением государственных услуг в области содействия занятости населения обратилось на </w:t>
      </w:r>
      <w:r>
        <w:rPr>
          <w:iCs/>
          <w:color w:val="000000"/>
          <w:szCs w:val="28"/>
        </w:rPr>
        <w:t>10% больше, чем за предыдущий год</w:t>
      </w:r>
      <w:r>
        <w:rPr>
          <w:iCs/>
          <w:szCs w:val="28"/>
        </w:rPr>
        <w:t>.</w:t>
      </w:r>
    </w:p>
    <w:p w:rsidR="002F37A5" w:rsidRDefault="0016313B">
      <w:pPr>
        <w:ind w:firstLine="567"/>
        <w:jc w:val="both"/>
        <w:rPr>
          <w:iCs/>
          <w:szCs w:val="28"/>
        </w:rPr>
      </w:pPr>
      <w:r>
        <w:rPr>
          <w:iCs/>
          <w:szCs w:val="28"/>
        </w:rPr>
        <w:t>По сравнению с уровнем предыдущего года в численности граждан,                  признанных безработными, д</w:t>
      </w:r>
      <w:r>
        <w:rPr>
          <w:szCs w:val="28"/>
        </w:rPr>
        <w:t>оля женщин увеличилась на 3% до 57%, молодежи в возрасте от 16 до 29 лет снизилась на 4,2% до 36,8%, инвалидов – на 1,1%            до 11,4%</w:t>
      </w:r>
      <w:r>
        <w:rPr>
          <w:iCs/>
          <w:szCs w:val="28"/>
        </w:rPr>
        <w:t>.</w:t>
      </w:r>
    </w:p>
    <w:p w:rsidR="002F37A5" w:rsidRDefault="0016313B">
      <w:pPr>
        <w:ind w:firstLine="567"/>
        <w:jc w:val="both"/>
        <w:rPr>
          <w:iCs/>
          <w:szCs w:val="28"/>
        </w:rPr>
      </w:pPr>
      <w:r>
        <w:rPr>
          <w:iCs/>
          <w:spacing w:val="-4"/>
          <w:szCs w:val="28"/>
        </w:rPr>
        <w:t>По сведениям, поступившим в государственную службу занятости населения</w:t>
      </w:r>
      <w:r>
        <w:rPr>
          <w:iCs/>
          <w:szCs w:val="28"/>
        </w:rPr>
        <w:t xml:space="preserve"> от организаций города, численность работников, находившихся под риском увольнения, на 31.12.2016 составила 331 человек (на 31.12.2015 – 468),                    в том числе 129 человек в организациях с массовым сокращением численности персонала.</w:t>
      </w:r>
    </w:p>
    <w:p w:rsidR="002F37A5" w:rsidRDefault="0016313B">
      <w:pPr>
        <w:ind w:firstLine="567"/>
        <w:jc w:val="both"/>
        <w:rPr>
          <w:szCs w:val="28"/>
        </w:rPr>
      </w:pPr>
      <w:r>
        <w:rPr>
          <w:iCs/>
          <w:szCs w:val="28"/>
        </w:rPr>
        <w:t xml:space="preserve">По состоянию на 31.12.2016 </w:t>
      </w:r>
      <w:r>
        <w:rPr>
          <w:szCs w:val="28"/>
        </w:rPr>
        <w:t xml:space="preserve">предприятиями и учреждениями города была заявлена в службу занятости населения потребность в работниках – 1 774,                что на уровне потребности на начало года (1 760 вакансий). </w:t>
      </w:r>
      <w:r>
        <w:rPr>
          <w:bCs/>
          <w:szCs w:val="28"/>
        </w:rPr>
        <w:t xml:space="preserve">Коэффициент               </w:t>
      </w:r>
      <w:r>
        <w:rPr>
          <w:bCs/>
          <w:spacing w:val="-4"/>
          <w:szCs w:val="28"/>
        </w:rPr>
        <w:t xml:space="preserve">напряженности на рынке труда по безработным </w:t>
      </w:r>
      <w:r>
        <w:rPr>
          <w:spacing w:val="-4"/>
          <w:szCs w:val="28"/>
        </w:rPr>
        <w:t>– 0,2 человека на одну вакансию.</w:t>
      </w:r>
    </w:p>
    <w:p w:rsidR="002F37A5" w:rsidRDefault="0016313B">
      <w:pPr>
        <w:ind w:firstLine="567"/>
        <w:jc w:val="both"/>
        <w:rPr>
          <w:szCs w:val="28"/>
        </w:rPr>
      </w:pPr>
      <w:r>
        <w:t>Реализация мероприятий г</w:t>
      </w:r>
      <w:r>
        <w:rPr>
          <w:szCs w:val="28"/>
        </w:rPr>
        <w:t xml:space="preserve">осударственной программы Ханты-Мансийского автономного округа – Югры «Содействие занятости населения на 2014 –                    2020 годы» на территории города Сургута, утвержденной постановлением                    Правительства Ханты-Мансийского автономного округа – Югры от 09.10.2013 № 409-п, позволяет не допустить значительного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w:t>
      </w:r>
      <w:r>
        <w:rPr>
          <w:spacing w:val="-4"/>
          <w:szCs w:val="28"/>
        </w:rPr>
        <w:t xml:space="preserve">населения, повышению конкурентоспособности граждан, их адаптации на рынке </w:t>
      </w:r>
      <w:r>
        <w:rPr>
          <w:szCs w:val="28"/>
        </w:rPr>
        <w:t xml:space="preserve">труда. </w:t>
      </w:r>
    </w:p>
    <w:p w:rsidR="002F37A5" w:rsidRDefault="0016313B">
      <w:pPr>
        <w:ind w:firstLine="567"/>
        <w:jc w:val="both"/>
        <w:rPr>
          <w:iCs/>
          <w:szCs w:val="28"/>
        </w:rPr>
      </w:pPr>
      <w:r>
        <w:rPr>
          <w:szCs w:val="28"/>
        </w:rPr>
        <w:t xml:space="preserve">В реализации мероприятий по содействию занятости населения, активной политики занятости в отчетном году приняли участие более 11 тысяч человек, что на 7% больше, чем в 2015 году. Из общего объема средств на мероприятия активной политики занятости направлено 31,2 млн. рублей или около 55%.             </w:t>
      </w:r>
      <w:r>
        <w:rPr>
          <w:iCs/>
          <w:szCs w:val="28"/>
        </w:rPr>
        <w:t>За год государственной службой занятости трудоустроены 2 422 человека              (2015 год – 2 522 человека).</w:t>
      </w:r>
    </w:p>
    <w:p w:rsidR="002F37A5" w:rsidRDefault="002F37A5">
      <w:pPr>
        <w:ind w:firstLine="567"/>
        <w:jc w:val="both"/>
        <w:rPr>
          <w:szCs w:val="28"/>
        </w:rPr>
      </w:pPr>
    </w:p>
    <w:p w:rsidR="002F37A5" w:rsidRDefault="002F37A5">
      <w:pPr>
        <w:ind w:firstLine="567"/>
        <w:jc w:val="both"/>
        <w:rPr>
          <w:szCs w:val="28"/>
        </w:rPr>
      </w:pPr>
    </w:p>
    <w:p w:rsidR="002F37A5" w:rsidRDefault="002F37A5">
      <w:pPr>
        <w:ind w:firstLine="567"/>
        <w:jc w:val="both"/>
        <w:rPr>
          <w:szCs w:val="28"/>
        </w:rPr>
      </w:pPr>
    </w:p>
    <w:p w:rsidR="002F37A5" w:rsidRDefault="0016313B">
      <w:pPr>
        <w:ind w:firstLine="567"/>
        <w:jc w:val="both"/>
      </w:pPr>
      <w:r>
        <w:t>Уровень жизни населения.</w:t>
      </w:r>
    </w:p>
    <w:p w:rsidR="002F37A5" w:rsidRDefault="0016313B">
      <w:pPr>
        <w:ind w:firstLine="567"/>
        <w:jc w:val="both"/>
        <w:rPr>
          <w:szCs w:val="28"/>
        </w:rPr>
      </w:pPr>
      <w:r>
        <w:rPr>
          <w:szCs w:val="28"/>
        </w:rPr>
        <w:t>Важнейшими составляющими уровня жизни являются доходы населения и, обеспеченный ими, уровень потребления материальных благ и услуг.</w:t>
      </w:r>
    </w:p>
    <w:p w:rsidR="002F37A5" w:rsidRDefault="0016313B">
      <w:pPr>
        <w:ind w:firstLine="567"/>
        <w:jc w:val="both"/>
      </w:pPr>
      <w:r>
        <w:rPr>
          <w:szCs w:val="28"/>
        </w:rPr>
        <w:t>В 2016 году среднемесячный денежный доход на душу населения составил</w:t>
      </w:r>
      <w:r>
        <w:t xml:space="preserve"> 50,6 тыс. рублей, в том числе располагаемый (за вычетом налогов и обяза-тельных платежей) – 44 тыс. рублей, среднемесячная заработная плата одного работающего (по крупным и средним организациям) – 79,5 тыс. рублей,             среднемесячная трудовая пенсия по старости – 20,2 тыс. рублей.</w:t>
      </w:r>
    </w:p>
    <w:p w:rsidR="002F37A5" w:rsidRDefault="0016313B">
      <w:pPr>
        <w:ind w:firstLine="567"/>
        <w:jc w:val="both"/>
        <w:rPr>
          <w:spacing w:val="1"/>
        </w:rPr>
      </w:pPr>
      <w:r>
        <w:rPr>
          <w:spacing w:val="1"/>
        </w:rPr>
        <w:t>По уровню средней заработной платы город занимает 3 место среди           муниципалитетов округа и 2 место среди городских округов.</w:t>
      </w:r>
    </w:p>
    <w:p w:rsidR="002F37A5" w:rsidRDefault="0016313B">
      <w:pPr>
        <w:ind w:firstLine="567"/>
        <w:jc w:val="both"/>
        <w:rPr>
          <w:spacing w:val="1"/>
        </w:rPr>
      </w:pPr>
      <w:r>
        <w:rPr>
          <w:spacing w:val="1"/>
        </w:rPr>
        <w:t>В 2016 году сохранялась тенденция снижения покупательной способности доходов населения, обусловленного опережением темпов роста потребительских цен по сравнению с темпами роста доходов населения, а также тенденция более глубокого падения покупательной способности доходов в целом                 по сравнению со снижением покупательной способности заработной платы                и пенсии.</w:t>
      </w:r>
    </w:p>
    <w:p w:rsidR="002F37A5" w:rsidRDefault="0016313B">
      <w:pPr>
        <w:ind w:firstLine="567"/>
        <w:jc w:val="both"/>
      </w:pPr>
      <w:r>
        <w:t xml:space="preserve">Снижение реальных доходов населения явилось основным сдерживающим </w:t>
      </w:r>
      <w:r>
        <w:rPr>
          <w:spacing w:val="-4"/>
        </w:rPr>
        <w:t>фактором роста потребительских цен, темпы инфляции в 2016 году существенно</w:t>
      </w:r>
      <w:r>
        <w:t xml:space="preserve"> снизились по сравнению с предыдущим годом, среднегодовой индекс потребительских цен составил 108,6% (2015 год – 114,5%). В связи с более низкими темпами инфляции падение покупательной способности доходов в 2016 году менее глубокое по сравнению с уровнем 2015 года. </w:t>
      </w:r>
    </w:p>
    <w:p w:rsidR="002F37A5" w:rsidRDefault="0016313B">
      <w:pPr>
        <w:ind w:firstLine="567"/>
        <w:jc w:val="both"/>
      </w:pPr>
      <w:r>
        <w:t xml:space="preserve">С учетом корректировки на индекс потребительских цен покупательная способность к уровню 2015 года: </w:t>
      </w:r>
    </w:p>
    <w:p w:rsidR="002F37A5" w:rsidRDefault="0016313B">
      <w:pPr>
        <w:ind w:firstLine="567"/>
        <w:jc w:val="both"/>
      </w:pPr>
      <w:r>
        <w:t xml:space="preserve">- доходов населения в целом снизилась на 6,6% (93,4%); </w:t>
      </w:r>
    </w:p>
    <w:p w:rsidR="002F37A5" w:rsidRDefault="0016313B">
      <w:pPr>
        <w:ind w:firstLine="567"/>
        <w:jc w:val="both"/>
      </w:pPr>
      <w:r>
        <w:t xml:space="preserve">- в том числе заработной платы – на 3,4% (96,6%); </w:t>
      </w:r>
    </w:p>
    <w:p w:rsidR="002F37A5" w:rsidRDefault="0016313B">
      <w:pPr>
        <w:ind w:firstLine="567"/>
        <w:jc w:val="both"/>
      </w:pPr>
      <w:r>
        <w:t>- трудовой пенсии по старости – на 6,3% (93,7%).</w:t>
      </w:r>
    </w:p>
    <w:p w:rsidR="002F37A5" w:rsidRDefault="0016313B">
      <w:pPr>
        <w:ind w:firstLine="567"/>
        <w:jc w:val="both"/>
      </w:pPr>
      <w:r>
        <w:t>По итогам 2016 года среднедушевой доход обеспечил 3,4 прожиточного минимума (2015 год – 3,5), заработная плата – 5,2 прожиточного минимума трудоспособного человека (2015 год – 5,1), трудовая пенсия по старости –                      1,74 прожиточного минимума пенсионера (2015 год –1,75).</w:t>
      </w:r>
    </w:p>
    <w:p w:rsidR="002F37A5" w:rsidRDefault="0016313B">
      <w:pPr>
        <w:ind w:firstLine="567"/>
        <w:jc w:val="both"/>
      </w:pPr>
      <w:r>
        <w:t xml:space="preserve">Численность пенсионеров всех категорий на 31.12.2016 составила                 89 тыс. человек, в том числе пенсионеров по старости – 79,5 тыс. человек. </w:t>
      </w:r>
    </w:p>
    <w:p w:rsidR="002F37A5" w:rsidRDefault="0016313B">
      <w:pPr>
        <w:ind w:firstLine="567"/>
        <w:jc w:val="both"/>
      </w:pPr>
      <w:r>
        <w:t>Уменьшение численности пенсионеров по сравнению с предыдущим            годом на 2% обусловлено корректировкой распределения численности между городом и районом на основании данных регистрации, проведенной в начале 2016 года Управлением Пенсионного фонда Российской Федерации в городе Сургуте.</w:t>
      </w:r>
    </w:p>
    <w:p w:rsidR="002F37A5" w:rsidRDefault="0016313B">
      <w:pPr>
        <w:ind w:firstLine="567"/>
        <w:jc w:val="both"/>
      </w:pPr>
      <w:r>
        <w:t xml:space="preserve">В 2016 году была обеспечена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 </w:t>
      </w:r>
    </w:p>
    <w:p w:rsidR="002F37A5" w:rsidRDefault="0016313B">
      <w:pPr>
        <w:ind w:firstLine="567"/>
        <w:jc w:val="both"/>
        <w:outlineLvl w:val="0"/>
      </w:pPr>
      <w:r>
        <w:t>Несмотря на положительную динамику (прирост к уровню 2015 года – 7%), по целевой категории «Работники учреждений культуры» не достигнуто целевое значение 2016 года (целевой уровень 2016 года – доведение до 82,4%              к средней заработной плате по субъекту Российской Федерации, целевой           уровень – доведение к 2018 году до 100% к средней заработной плате по субъекту Российской Федерации).</w:t>
      </w:r>
    </w:p>
    <w:p w:rsidR="002F37A5" w:rsidRDefault="0016313B">
      <w:pPr>
        <w:ind w:firstLine="567"/>
        <w:jc w:val="both"/>
      </w:pPr>
      <w:r>
        <w:t>По оперативным данным Государственной инспекции труда в Ханты-Мансийском автономном округе – Югре по состоянию на 31.12.2016 задолженность по заработной плате зафиксирована в трех организациях города. Основными причинами возникновения задолженности являются дебиторская                           и кредиторская задолженность, уменьшение объемов продаж, увеличение стоимости полуфабрикатов.</w:t>
      </w:r>
    </w:p>
    <w:p w:rsidR="002F37A5" w:rsidRDefault="0016313B">
      <w:pPr>
        <w:ind w:firstLine="567"/>
        <w:jc w:val="both"/>
      </w:pPr>
      <w:r>
        <w:t>Наиболее чувствительно для потребителя изменение цен на основные         продукты питания. В отчетном году темпы роста цен на продовольственные        товары существенно снизились по сравнению с 2015 годом (2015 год – 121,5%, 2016 год – 107,6%). При этом изменение цен в разрезе видов продуктов                    питания, охваченных статистическим наблюдением, очень разнонаправленное – отмечено как значительное снижение цен за год (до 30%), так и значительный рост (до 53%).</w:t>
      </w:r>
    </w:p>
    <w:p w:rsidR="002F37A5" w:rsidRDefault="0016313B">
      <w:pPr>
        <w:ind w:firstLine="567"/>
        <w:jc w:val="both"/>
      </w:pPr>
      <w:r>
        <w:t>Аналогичная ценовая ситуация сложилась и на рынке лекарственных               препаратов, также отмечено как значительное снижение цен за год (до 38%)             на ряд препаратов, так и значительный рост (до 15%).</w:t>
      </w:r>
    </w:p>
    <w:p w:rsidR="002F37A5" w:rsidRDefault="0016313B">
      <w:pPr>
        <w:ind w:firstLine="567"/>
        <w:jc w:val="both"/>
      </w:pPr>
      <w:r>
        <w:t>Розничные цены на бензин увеличились за год от 5 до 10%, цена сжиженного газа – на 34%.</w:t>
      </w:r>
    </w:p>
    <w:p w:rsidR="002F37A5" w:rsidRDefault="0016313B">
      <w:pPr>
        <w:ind w:firstLine="567"/>
        <w:jc w:val="both"/>
      </w:pPr>
      <w:r>
        <w:t>Наиболее значительный рост цен за год отмечен на следующие непродовольственные товары: ткани и изделия из них, посуду и столовые приборы, канцелярские товары, учебники и книги, мебель и предметы интерьера, стройматериалы, изделия из меха и кожи, бытовую радиоэлектронную аппаратуру, машины и приборы, легковые автомобили, обувь.</w:t>
      </w:r>
    </w:p>
    <w:p w:rsidR="002F37A5" w:rsidRDefault="0016313B">
      <w:pPr>
        <w:ind w:firstLine="567"/>
        <w:jc w:val="both"/>
      </w:pPr>
      <w:r>
        <w:t xml:space="preserve">Значительно подорожали услуги страхования, услуги в сфере туризма,                               </w:t>
      </w:r>
      <w:r>
        <w:rPr>
          <w:spacing w:val="-4"/>
        </w:rPr>
        <w:t>пассажирские авиаперевозки, медицинские услуги, ветеринарные услуги, услуги</w:t>
      </w:r>
      <w:r>
        <w:t xml:space="preserve"> по ремонту бытовой техники и автотранспортных средств, ритуальные услуги, услуги химчисток, парикмахерских, швейных мастерских.</w:t>
      </w:r>
    </w:p>
    <w:p w:rsidR="002F37A5" w:rsidRDefault="0016313B">
      <w:pPr>
        <w:ind w:firstLine="567"/>
        <w:jc w:val="both"/>
      </w:pPr>
      <w:r>
        <w:t>Жилищно-коммунальные услуги за год в среднем по всем видам подорожали на 2%.</w:t>
      </w:r>
    </w:p>
    <w:p w:rsidR="002F37A5" w:rsidRDefault="0016313B">
      <w:pPr>
        <w:ind w:firstLine="567"/>
        <w:jc w:val="both"/>
      </w:pPr>
      <w:r>
        <w:t>За отчетный год населению начислено 6,8 млрд. рублей за предостав-</w:t>
      </w:r>
      <w:r>
        <w:rPr>
          <w:spacing w:val="-4"/>
        </w:rPr>
        <w:t>ленные жилищно-коммунальные услуги, возмещено 98% от суммы начисленных</w:t>
      </w:r>
      <w:r>
        <w:t xml:space="preserve"> платежей. </w:t>
      </w:r>
    </w:p>
    <w:p w:rsidR="002F37A5" w:rsidRDefault="0016313B">
      <w:pPr>
        <w:ind w:firstLine="567"/>
        <w:jc w:val="both"/>
        <w:rPr>
          <w:szCs w:val="28"/>
        </w:rPr>
      </w:pPr>
      <w:r>
        <w:rPr>
          <w:szCs w:val="28"/>
        </w:rPr>
        <w:t xml:space="preserve">Среднедушевое потребление снизилось по сравнению с уровнем предыдущего года на 13%, что, в основном, обусловлено сохранением тенденции               снижения покупательной способности доходов населения. При этом </w:t>
      </w:r>
      <w:r>
        <w:rPr>
          <w:spacing w:val="-1"/>
          <w:szCs w:val="28"/>
        </w:rPr>
        <w:t xml:space="preserve">город                остается на одном из первых мест среди муниципальных образований округа            по уровню среднедушевого потребления. </w:t>
      </w:r>
    </w:p>
    <w:p w:rsidR="002F37A5" w:rsidRDefault="002F37A5">
      <w:pPr>
        <w:widowControl w:val="0"/>
        <w:tabs>
          <w:tab w:val="center" w:pos="709"/>
        </w:tabs>
        <w:ind w:firstLine="567"/>
        <w:jc w:val="both"/>
        <w:rPr>
          <w:szCs w:val="28"/>
        </w:rPr>
      </w:pPr>
    </w:p>
    <w:p w:rsidR="002F37A5" w:rsidRDefault="0016313B">
      <w:pPr>
        <w:ind w:firstLine="567"/>
        <w:jc w:val="both"/>
      </w:pPr>
      <w:r>
        <w:t>Развитие отраслей социальной сферы.</w:t>
      </w:r>
    </w:p>
    <w:p w:rsidR="002F37A5" w:rsidRDefault="0016313B">
      <w:pPr>
        <w:ind w:firstLine="567"/>
        <w:jc w:val="both"/>
        <w:rPr>
          <w:szCs w:val="28"/>
        </w:rPr>
      </w:pPr>
      <w:r>
        <w:rPr>
          <w:szCs w:val="28"/>
        </w:rPr>
        <w:t xml:space="preserve">По состоянию на 31.12.2016 на территории города Сургута действовало 146 муниципальных учреждений, из них 133 муниципальных учреждения               социальной сферы. Общее количество муниципальных учреждений за год              не изменилось, </w:t>
      </w:r>
      <w:r>
        <w:rPr>
          <w:color w:val="000000"/>
          <w:szCs w:val="28"/>
        </w:rPr>
        <w:t>но в структуре произошли некоторые изменения</w:t>
      </w:r>
      <w:r>
        <w:rPr>
          <w:szCs w:val="28"/>
        </w:rPr>
        <w:t xml:space="preserve">: </w:t>
      </w:r>
    </w:p>
    <w:p w:rsidR="002F37A5" w:rsidRDefault="0016313B">
      <w:pPr>
        <w:ind w:firstLine="567"/>
        <w:jc w:val="both"/>
        <w:rPr>
          <w:szCs w:val="28"/>
        </w:rPr>
      </w:pPr>
      <w:r>
        <w:rPr>
          <w:szCs w:val="28"/>
        </w:rPr>
        <w:t>- создано муниципальное бюджетное дошкольное образовательное учреждение – детский сад;</w:t>
      </w:r>
    </w:p>
    <w:p w:rsidR="002F37A5" w:rsidRDefault="0016313B">
      <w:pPr>
        <w:suppressAutoHyphens/>
        <w:ind w:firstLine="567"/>
        <w:jc w:val="both"/>
        <w:rPr>
          <w:szCs w:val="28"/>
        </w:rPr>
      </w:pPr>
      <w:r>
        <w:rPr>
          <w:szCs w:val="28"/>
        </w:rPr>
        <w:t>- реорганизованы путем присоединения к другим учреждениям муници-пальное бюджетное учреждение культуры «Галерея современного искусства «Стерх» и муниципальное бюджетное учреждение дополнительного образования «Детская художественная школа декоративно-прикладного искус-ства»;</w:t>
      </w:r>
    </w:p>
    <w:p w:rsidR="002F37A5" w:rsidRDefault="0016313B">
      <w:pPr>
        <w:ind w:firstLine="567"/>
        <w:jc w:val="both"/>
        <w:rPr>
          <w:szCs w:val="28"/>
        </w:rPr>
      </w:pPr>
      <w:r>
        <w:rPr>
          <w:szCs w:val="28"/>
        </w:rPr>
        <w:t>- создано муниципальное казенное учреждение «Центр организационного обеспечения деятельности муниципальных организаций».</w:t>
      </w:r>
    </w:p>
    <w:p w:rsidR="002F37A5" w:rsidRDefault="0016313B">
      <w:pPr>
        <w:widowControl w:val="0"/>
        <w:ind w:firstLine="567"/>
        <w:jc w:val="both"/>
        <w:rPr>
          <w:szCs w:val="28"/>
        </w:rPr>
      </w:pPr>
      <w:r>
        <w:rPr>
          <w:szCs w:val="28"/>
        </w:rPr>
        <w:t xml:space="preserve">По состоянию на 31.12.2016 сеть образовательных учреждений города включала: </w:t>
      </w:r>
    </w:p>
    <w:p w:rsidR="002F37A5" w:rsidRDefault="0016313B">
      <w:pPr>
        <w:widowControl w:val="0"/>
        <w:ind w:firstLine="567"/>
        <w:jc w:val="both"/>
        <w:rPr>
          <w:szCs w:val="28"/>
        </w:rPr>
      </w:pPr>
      <w:r>
        <w:rPr>
          <w:szCs w:val="28"/>
        </w:rPr>
        <w:t xml:space="preserve">- 60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 </w:t>
      </w:r>
    </w:p>
    <w:p w:rsidR="002F37A5" w:rsidRDefault="0016313B">
      <w:pPr>
        <w:widowControl w:val="0"/>
        <w:ind w:firstLine="567"/>
        <w:jc w:val="both"/>
        <w:rPr>
          <w:szCs w:val="28"/>
        </w:rPr>
      </w:pPr>
      <w:r>
        <w:rPr>
          <w:szCs w:val="28"/>
        </w:rPr>
        <w:t xml:space="preserve">- 44 общеобразовательных учреждения, включая окружные учреждения             и частное образовательное учреждение; </w:t>
      </w:r>
    </w:p>
    <w:p w:rsidR="002F37A5" w:rsidRDefault="0016313B">
      <w:pPr>
        <w:widowControl w:val="0"/>
        <w:ind w:firstLine="567"/>
        <w:jc w:val="both"/>
        <w:rPr>
          <w:szCs w:val="28"/>
        </w:rPr>
      </w:pPr>
      <w:r>
        <w:rPr>
          <w:szCs w:val="28"/>
        </w:rPr>
        <w:t xml:space="preserve">- 21 учреждение дополнительного образования детей; </w:t>
      </w:r>
    </w:p>
    <w:p w:rsidR="002F37A5" w:rsidRDefault="0016313B">
      <w:pPr>
        <w:widowControl w:val="0"/>
        <w:ind w:firstLine="567"/>
        <w:jc w:val="both"/>
        <w:rPr>
          <w:szCs w:val="28"/>
        </w:rPr>
      </w:pPr>
      <w:r>
        <w:rPr>
          <w:szCs w:val="28"/>
        </w:rPr>
        <w:t xml:space="preserve">- девять учреждений среднего профессионального образования; </w:t>
      </w:r>
    </w:p>
    <w:p w:rsidR="002F37A5" w:rsidRDefault="0016313B">
      <w:pPr>
        <w:widowControl w:val="0"/>
        <w:ind w:firstLine="567"/>
        <w:jc w:val="both"/>
        <w:rPr>
          <w:szCs w:val="28"/>
        </w:rPr>
      </w:pPr>
      <w:r>
        <w:rPr>
          <w:szCs w:val="28"/>
        </w:rPr>
        <w:t xml:space="preserve">- пять учреждений высшего профессионального образования.   </w:t>
      </w:r>
    </w:p>
    <w:p w:rsidR="002F37A5" w:rsidRDefault="0016313B">
      <w:pPr>
        <w:widowControl w:val="0"/>
        <w:ind w:firstLine="567"/>
        <w:jc w:val="both"/>
        <w:rPr>
          <w:szCs w:val="28"/>
        </w:rPr>
      </w:pPr>
      <w:r>
        <w:rPr>
          <w:szCs w:val="28"/>
        </w:rPr>
        <w:t>Кроме того, на территории города образовательную деятельность осуществляли две специальные учебно-воспитательные школы.</w:t>
      </w:r>
    </w:p>
    <w:p w:rsidR="002F37A5" w:rsidRDefault="0016313B">
      <w:pPr>
        <w:ind w:firstLine="567"/>
        <w:jc w:val="both"/>
      </w:pPr>
      <w:r>
        <w:t xml:space="preserve">Сеть учреждений здравоохранения включала 10 больничных учреждений на 3 154 койки и 22 амбулаторно-поликлинических учреждения на 8 322 посещения в смену. </w:t>
      </w:r>
    </w:p>
    <w:p w:rsidR="002F37A5" w:rsidRDefault="0016313B">
      <w:pPr>
        <w:widowControl w:val="0"/>
        <w:ind w:firstLine="567"/>
        <w:jc w:val="both"/>
        <w:rPr>
          <w:szCs w:val="28"/>
        </w:rPr>
      </w:pPr>
      <w:r>
        <w:rPr>
          <w:szCs w:val="28"/>
        </w:rPr>
        <w:t>Сеть учреждений культуры и искусства города представлена 11-ю учреждениями, из них 10 являются муниципальными.</w:t>
      </w:r>
    </w:p>
    <w:p w:rsidR="002F37A5" w:rsidRDefault="0016313B">
      <w:pPr>
        <w:ind w:firstLine="567"/>
        <w:jc w:val="both"/>
      </w:pPr>
      <w:r>
        <w:t>На территории города действовало три учреждения по работе с моло-дежью: муниципальное автономное учреждение по работе с молодежью «Наше время», муниципальное учреждение по работе с подростками и молодежью             по месту жительства «Вариант», муниципальное бюджетное учреждение «Центр специальной подготовки «Сибирский легион».</w:t>
      </w:r>
    </w:p>
    <w:p w:rsidR="002F37A5" w:rsidRDefault="0016313B">
      <w:pPr>
        <w:ind w:firstLine="567"/>
        <w:jc w:val="both"/>
      </w:pPr>
      <w:r>
        <w:t>На конец отчетного года в городе функционировало 622 спортивных                сооружения.</w:t>
      </w:r>
    </w:p>
    <w:p w:rsidR="002F37A5" w:rsidRDefault="0016313B">
      <w:pPr>
        <w:ind w:firstLine="567"/>
        <w:jc w:val="both"/>
        <w:rPr>
          <w:spacing w:val="-4"/>
        </w:rPr>
      </w:pPr>
      <w:r>
        <w:rPr>
          <w:spacing w:val="-4"/>
        </w:rPr>
        <w:t>Социальное обслуживание населения осуществлялось семью учреждениями.</w:t>
      </w:r>
    </w:p>
    <w:p w:rsidR="002F37A5" w:rsidRDefault="0016313B">
      <w:pPr>
        <w:ind w:firstLine="567"/>
        <w:jc w:val="both"/>
        <w:rPr>
          <w:shd w:val="clear" w:color="auto" w:fill="FFFFFF"/>
        </w:rPr>
      </w:pPr>
      <w:r>
        <w:rPr>
          <w:shd w:val="clear" w:color="auto" w:fill="FFFFFF"/>
        </w:rPr>
        <w:t>Обеспеченность населения города по состоянию на 31.12.2016 (прирост           к уровню 2015 года) составила:</w:t>
      </w:r>
    </w:p>
    <w:p w:rsidR="002F37A5" w:rsidRDefault="0016313B">
      <w:pPr>
        <w:ind w:firstLine="567"/>
        <w:jc w:val="both"/>
        <w:rPr>
          <w:szCs w:val="28"/>
        </w:rPr>
      </w:pPr>
      <w:r>
        <w:rPr>
          <w:szCs w:val="28"/>
        </w:rPr>
        <w:t xml:space="preserve">- учреждениями, реализующими программы дошкольного образования – 86,8% (+0,3%); </w:t>
      </w:r>
    </w:p>
    <w:p w:rsidR="002F37A5" w:rsidRDefault="0016313B">
      <w:pPr>
        <w:ind w:firstLine="567"/>
        <w:jc w:val="both"/>
        <w:rPr>
          <w:szCs w:val="28"/>
        </w:rPr>
      </w:pPr>
      <w:r>
        <w:rPr>
          <w:szCs w:val="28"/>
        </w:rPr>
        <w:t xml:space="preserve">- общеобразовательными учреждениями – 71,5% (-0,7%);  </w:t>
      </w:r>
    </w:p>
    <w:p w:rsidR="002F37A5" w:rsidRDefault="0016313B">
      <w:pPr>
        <w:ind w:firstLine="567"/>
        <w:jc w:val="both"/>
        <w:rPr>
          <w:szCs w:val="28"/>
        </w:rPr>
      </w:pPr>
      <w:r>
        <w:rPr>
          <w:szCs w:val="28"/>
        </w:rPr>
        <w:t xml:space="preserve">- больничными стационарами – 64,9% (-2,6%); </w:t>
      </w:r>
    </w:p>
    <w:p w:rsidR="002F37A5" w:rsidRDefault="0016313B">
      <w:pPr>
        <w:ind w:firstLine="567"/>
        <w:jc w:val="both"/>
        <w:rPr>
          <w:szCs w:val="28"/>
        </w:rPr>
      </w:pPr>
      <w:r>
        <w:rPr>
          <w:szCs w:val="28"/>
        </w:rPr>
        <w:t xml:space="preserve">- амбулаторно-поликлиническими учреждениями – 127,1% (-3,6%);  </w:t>
      </w:r>
    </w:p>
    <w:p w:rsidR="002F37A5" w:rsidRDefault="0016313B">
      <w:pPr>
        <w:ind w:firstLine="567"/>
        <w:jc w:val="both"/>
        <w:rPr>
          <w:szCs w:val="28"/>
        </w:rPr>
      </w:pPr>
      <w:r>
        <w:rPr>
          <w:szCs w:val="28"/>
        </w:rPr>
        <w:t>- массовыми библиотеками (книгообеспеченность) – 80,7% (-0,8%);</w:t>
      </w:r>
    </w:p>
    <w:p w:rsidR="002F37A5" w:rsidRDefault="0016313B">
      <w:pPr>
        <w:ind w:firstLine="567"/>
        <w:jc w:val="both"/>
        <w:rPr>
          <w:szCs w:val="28"/>
        </w:rPr>
      </w:pPr>
      <w:r>
        <w:rPr>
          <w:szCs w:val="28"/>
        </w:rPr>
        <w:t xml:space="preserve">- учреждениями культурно-досугового типа – 22,6% (+15,4%);  </w:t>
      </w:r>
    </w:p>
    <w:p w:rsidR="002F37A5" w:rsidRDefault="0016313B">
      <w:pPr>
        <w:ind w:firstLine="567"/>
        <w:jc w:val="both"/>
        <w:rPr>
          <w:szCs w:val="28"/>
        </w:rPr>
      </w:pPr>
      <w:r>
        <w:rPr>
          <w:szCs w:val="28"/>
        </w:rPr>
        <w:t>- музеями – 100% (0%);</w:t>
      </w:r>
    </w:p>
    <w:p w:rsidR="002F37A5" w:rsidRDefault="0016313B">
      <w:pPr>
        <w:ind w:firstLine="567"/>
        <w:jc w:val="both"/>
        <w:rPr>
          <w:szCs w:val="28"/>
        </w:rPr>
      </w:pPr>
      <w:r>
        <w:rPr>
          <w:szCs w:val="28"/>
        </w:rPr>
        <w:t>- парками культуры и отдыха – 27,7% (-1%);</w:t>
      </w:r>
    </w:p>
    <w:p w:rsidR="002F37A5" w:rsidRDefault="0016313B">
      <w:pPr>
        <w:ind w:firstLine="567"/>
        <w:jc w:val="both"/>
        <w:rPr>
          <w:szCs w:val="28"/>
        </w:rPr>
      </w:pPr>
      <w:r>
        <w:rPr>
          <w:szCs w:val="28"/>
        </w:rPr>
        <w:t>- профессиональными театрами – 128,7% (-4,4%);</w:t>
      </w:r>
    </w:p>
    <w:p w:rsidR="002F37A5" w:rsidRDefault="0016313B">
      <w:pPr>
        <w:ind w:firstLine="567"/>
        <w:jc w:val="both"/>
        <w:rPr>
          <w:szCs w:val="28"/>
        </w:rPr>
      </w:pPr>
      <w:r>
        <w:rPr>
          <w:szCs w:val="28"/>
        </w:rPr>
        <w:t>- филармониями – 100% (0%);</w:t>
      </w:r>
    </w:p>
    <w:p w:rsidR="002F37A5" w:rsidRDefault="0016313B">
      <w:pPr>
        <w:ind w:firstLine="567"/>
        <w:jc w:val="both"/>
        <w:rPr>
          <w:szCs w:val="28"/>
        </w:rPr>
      </w:pPr>
      <w:r>
        <w:rPr>
          <w:szCs w:val="28"/>
        </w:rPr>
        <w:t>- кинотеатрами – 166,4% (-5,7%);</w:t>
      </w:r>
    </w:p>
    <w:p w:rsidR="002F37A5" w:rsidRDefault="0016313B">
      <w:pPr>
        <w:ind w:firstLine="567"/>
        <w:jc w:val="both"/>
        <w:rPr>
          <w:szCs w:val="28"/>
        </w:rPr>
      </w:pPr>
      <w:r>
        <w:rPr>
          <w:szCs w:val="28"/>
        </w:rPr>
        <w:t>- спортзалами – 56,7% (-0,6%);</w:t>
      </w:r>
    </w:p>
    <w:p w:rsidR="002F37A5" w:rsidRDefault="0016313B">
      <w:pPr>
        <w:ind w:firstLine="567"/>
        <w:jc w:val="both"/>
        <w:rPr>
          <w:szCs w:val="28"/>
        </w:rPr>
      </w:pPr>
      <w:r>
        <w:rPr>
          <w:szCs w:val="28"/>
        </w:rPr>
        <w:t>- бассейнами – 15,9% (-1%).</w:t>
      </w:r>
    </w:p>
    <w:p w:rsidR="002F37A5" w:rsidRDefault="0016313B">
      <w:pPr>
        <w:ind w:firstLine="567"/>
        <w:jc w:val="both"/>
        <w:rPr>
          <w:szCs w:val="28"/>
        </w:rPr>
      </w:pPr>
      <w:r>
        <w:rPr>
          <w:spacing w:val="-6"/>
          <w:szCs w:val="28"/>
        </w:rPr>
        <w:t xml:space="preserve">Снижение обеспеченности населения объектами соцкультбыта </w:t>
      </w:r>
      <w:r>
        <w:rPr>
          <w:bCs/>
          <w:spacing w:val="-6"/>
          <w:szCs w:val="28"/>
        </w:rPr>
        <w:t>обусловлено,</w:t>
      </w:r>
      <w:r>
        <w:rPr>
          <w:bCs/>
          <w:szCs w:val="28"/>
        </w:rPr>
        <w:t xml:space="preserve">                   в значительной степени, опережающими темпами роста численности населения по сравнению с темпами роста инфраструктуры</w:t>
      </w:r>
      <w:r>
        <w:rPr>
          <w:szCs w:val="28"/>
        </w:rPr>
        <w:t>.</w:t>
      </w:r>
    </w:p>
    <w:p w:rsidR="002F37A5" w:rsidRDefault="0016313B">
      <w:pPr>
        <w:widowControl w:val="0"/>
        <w:suppressAutoHyphens/>
        <w:ind w:firstLine="567"/>
        <w:jc w:val="both"/>
        <w:rPr>
          <w:bCs/>
          <w:szCs w:val="28"/>
        </w:rPr>
      </w:pPr>
      <w:r>
        <w:rPr>
          <w:bCs/>
          <w:szCs w:val="28"/>
        </w:rPr>
        <w:t xml:space="preserve">В 2016 году в соответствии с постановлением Администрации города                    от 08.11.2016 № 8249 «Об утверждении программы персонифицированного финансирования дополнительного образования детей в городе Сургуте                           на 2016 – 2020 годы», распоряжением Администрации города от 15.09.2016               № 1723 «Об апробации системы персонифицированного финансирования дополнительного образования детей в муниципальном образовании городской округ город Сургут» успешно проведена </w:t>
      </w:r>
      <w:r>
        <w:rPr>
          <w:szCs w:val="28"/>
        </w:rPr>
        <w:t>апробация системы персонифици-рованного финансирования дополнительного образования детей. Детям, проживающим на территории города Сургута, предоставлено 284 сертификата дополнительного образования на 2016 – 2017 учебный год, из них 52 сертификата предоставлены детям с ограниченными возможностями здоровья, препятствующими получению образования без создания специальных условий, детям-инвалидам. В рамках указанной программы финансирование по 24-м сертификатам за счет средств местного бюджета получили две частные организации, реализующие дополнительные общеразвивающие программы                   и имеющие лицензию на осуществление образовательной деятельности.</w:t>
      </w:r>
    </w:p>
    <w:p w:rsidR="002F37A5" w:rsidRDefault="0016313B">
      <w:pPr>
        <w:ind w:firstLine="567"/>
        <w:jc w:val="both"/>
        <w:rPr>
          <w:rFonts w:eastAsia="Calibri"/>
          <w:szCs w:val="28"/>
        </w:rPr>
      </w:pPr>
      <w:r>
        <w:rPr>
          <w:rFonts w:eastAsia="Calibri"/>
          <w:szCs w:val="28"/>
        </w:rPr>
        <w:t xml:space="preserve">На территории города Сургута 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18.10.2016 № 2000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2016 – 2020 годы. </w:t>
      </w:r>
    </w:p>
    <w:p w:rsidR="002F37A5" w:rsidRDefault="0016313B">
      <w:pPr>
        <w:ind w:firstLine="567"/>
        <w:jc w:val="both"/>
        <w:rPr>
          <w:rFonts w:eastAsia="Calibri"/>
          <w:szCs w:val="28"/>
        </w:rPr>
      </w:pPr>
      <w:r>
        <w:rPr>
          <w:rFonts w:eastAsia="Calibri"/>
          <w:szCs w:val="28"/>
          <w:shd w:val="clear" w:color="auto" w:fill="FEFEFE"/>
        </w:rPr>
        <w:t>В 2016 году структурными подразделениями Администрации города сформированы и закреплены приказами перечни социальных услуг, которые могут быть переданы на исполнение немуниципальным организациям, а также сформирован единый перечень данных услуг.</w:t>
      </w:r>
    </w:p>
    <w:p w:rsidR="002F37A5" w:rsidRDefault="002F37A5">
      <w:pPr>
        <w:ind w:firstLine="567"/>
        <w:jc w:val="both"/>
        <w:rPr>
          <w:szCs w:val="28"/>
        </w:rPr>
      </w:pPr>
    </w:p>
    <w:p w:rsidR="002F37A5" w:rsidRDefault="002F37A5">
      <w:pPr>
        <w:ind w:firstLine="567"/>
        <w:jc w:val="both"/>
        <w:rPr>
          <w:szCs w:val="28"/>
        </w:rPr>
      </w:pPr>
    </w:p>
    <w:sectPr w:rsidR="002F37A5">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BB" w:rsidRDefault="008C31BB">
      <w:r>
        <w:separator/>
      </w:r>
    </w:p>
  </w:endnote>
  <w:endnote w:type="continuationSeparator" w:id="0">
    <w:p w:rsidR="008C31BB" w:rsidRDefault="008C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BB" w:rsidRDefault="008C31BB">
      <w:r>
        <w:separator/>
      </w:r>
    </w:p>
  </w:footnote>
  <w:footnote w:type="continuationSeparator" w:id="0">
    <w:p w:rsidR="008C31BB" w:rsidRDefault="008C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538"/>
      <w:docPartObj>
        <w:docPartGallery w:val="Page Numbers (Top of Page)"/>
        <w:docPartUnique/>
      </w:docPartObj>
    </w:sdtPr>
    <w:sdtEndPr>
      <w:rPr>
        <w:rFonts w:ascii="Times New Roman" w:hAnsi="Times New Roman"/>
        <w:sz w:val="20"/>
        <w:szCs w:val="20"/>
      </w:rPr>
    </w:sdtEndPr>
    <w:sdtContent>
      <w:p w:rsidR="002F37A5" w:rsidRDefault="0016313B">
        <w:pPr>
          <w:pStyle w:val="ac"/>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163CB">
          <w:rPr>
            <w:rFonts w:ascii="Times New Roman" w:hAnsi="Times New Roman"/>
            <w:noProof/>
            <w:sz w:val="20"/>
            <w:szCs w:val="20"/>
          </w:rPr>
          <w:t>1</w:t>
        </w:r>
        <w:r>
          <w:rPr>
            <w:rFonts w:ascii="Times New Roman" w:hAnsi="Times New Roman"/>
            <w:sz w:val="20"/>
            <w:szCs w:val="20"/>
          </w:rPr>
          <w:fldChar w:fldCharType="end"/>
        </w:r>
      </w:p>
    </w:sdtContent>
  </w:sdt>
  <w:p w:rsidR="002F37A5" w:rsidRDefault="002F37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A5"/>
    <w:rsid w:val="0016313B"/>
    <w:rsid w:val="002F37A5"/>
    <w:rsid w:val="008C31BB"/>
    <w:rsid w:val="00B60A7B"/>
    <w:rsid w:val="00DA7E88"/>
    <w:rsid w:val="00DD218F"/>
    <w:rsid w:val="00E1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character" w:styleId="a6">
    <w:name w:val="annotation reference"/>
    <w:uiPriority w:val="99"/>
    <w:semiHidden/>
    <w:unhideWhenUsed/>
    <w:rPr>
      <w:sz w:val="16"/>
      <w:szCs w:val="16"/>
    </w:rPr>
  </w:style>
  <w:style w:type="paragraph" w:styleId="a7">
    <w:name w:val="annotation text"/>
    <w:basedOn w:val="a"/>
    <w:link w:val="a8"/>
    <w:uiPriority w:val="99"/>
    <w:unhideWhenUsed/>
    <w:pPr>
      <w:spacing w:after="200"/>
    </w:pPr>
    <w:rPr>
      <w:rFonts w:ascii="Calibri" w:eastAsia="Times New Roman" w:hAnsi="Calibri" w:cs="Times New Roman"/>
      <w:sz w:val="20"/>
      <w:szCs w:val="20"/>
      <w:lang w:eastAsia="ru-RU"/>
    </w:rPr>
  </w:style>
  <w:style w:type="character" w:customStyle="1" w:styleId="a8">
    <w:name w:val="Текст примечания Знак"/>
    <w:basedOn w:val="a0"/>
    <w:link w:val="a7"/>
    <w:uiPriority w:val="99"/>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Calibri" w:eastAsia="Times New Roman" w:hAnsi="Calibri" w:cs="Times New Roman"/>
      <w:b/>
      <w:bCs/>
      <w:sz w:val="20"/>
      <w:szCs w:val="20"/>
      <w:lang w:eastAsia="ru-RU"/>
    </w:rPr>
  </w:style>
  <w:style w:type="paragraph" w:styleId="ab">
    <w:name w:val="List Paragraph"/>
    <w:basedOn w:val="a"/>
    <w:uiPriority w:val="34"/>
    <w:qFormat/>
    <w:pPr>
      <w:spacing w:after="200" w:line="276" w:lineRule="auto"/>
      <w:ind w:left="720"/>
      <w:contextualSpacing/>
    </w:pPr>
    <w:rPr>
      <w:rFonts w:ascii="Calibri" w:eastAsia="Times New Roman" w:hAnsi="Calibri" w:cs="Times New Roman"/>
      <w:sz w:val="22"/>
      <w:lang w:eastAsia="ru-RU"/>
    </w:rPr>
  </w:style>
  <w:style w:type="paragraph" w:styleId="ac">
    <w:name w:val="header"/>
    <w:basedOn w:val="a"/>
    <w:link w:val="ad"/>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d">
    <w:name w:val="Верхний колонтитул Знак"/>
    <w:basedOn w:val="a0"/>
    <w:link w:val="ac"/>
    <w:uiPriority w:val="99"/>
    <w:rPr>
      <w:rFonts w:ascii="Calibri" w:eastAsia="Times New Roman" w:hAnsi="Calibri" w:cs="Times New Roman"/>
      <w:lang w:eastAsia="ru-RU"/>
    </w:rPr>
  </w:style>
  <w:style w:type="paragraph" w:styleId="ae">
    <w:name w:val="footer"/>
    <w:basedOn w:val="a"/>
    <w:link w:val="af"/>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f">
    <w:name w:val="Нижний колонтитул Знак"/>
    <w:basedOn w:val="a0"/>
    <w:link w:val="ae"/>
    <w:uiPriority w:val="99"/>
    <w:rPr>
      <w:rFonts w:ascii="Calibri" w:eastAsia="Times New Roman" w:hAnsi="Calibri" w:cs="Times New Roman"/>
      <w:lang w:eastAsia="ru-RU"/>
    </w:rPr>
  </w:style>
  <w:style w:type="character" w:styleId="af0">
    <w:name w:val="Hyperlink"/>
    <w:uiPriority w:val="99"/>
    <w:semiHidden/>
    <w:unhideWhenUsed/>
    <w:rPr>
      <w:color w:val="0000FF"/>
      <w:u w:val="single"/>
    </w:rPr>
  </w:style>
  <w:style w:type="paragraph" w:styleId="af1">
    <w:name w:val="Body Text"/>
    <w:aliases w:val="bt,Òàáë òåêñò"/>
    <w:basedOn w:val="a"/>
    <w:link w:val="1"/>
    <w:pPr>
      <w:spacing w:after="120"/>
    </w:pPr>
    <w:rPr>
      <w:rFonts w:eastAsia="Times New Roman" w:cs="Times New Roman"/>
      <w:sz w:val="24"/>
      <w:szCs w:val="24"/>
    </w:rPr>
  </w:style>
  <w:style w:type="character" w:customStyle="1" w:styleId="af2">
    <w:name w:val="Основной текст Знак"/>
    <w:basedOn w:val="a0"/>
    <w:uiPriority w:val="99"/>
    <w:semiHidden/>
    <w:rPr>
      <w:rFonts w:ascii="Times New Roman" w:hAnsi="Times New Roman"/>
      <w:sz w:val="28"/>
    </w:rPr>
  </w:style>
  <w:style w:type="character" w:customStyle="1" w:styleId="1">
    <w:name w:val="Основной текст Знак1"/>
    <w:aliases w:val="bt Знак,Òàáë òåêñò Знак"/>
    <w:link w:val="a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character" w:styleId="a6">
    <w:name w:val="annotation reference"/>
    <w:uiPriority w:val="99"/>
    <w:semiHidden/>
    <w:unhideWhenUsed/>
    <w:rPr>
      <w:sz w:val="16"/>
      <w:szCs w:val="16"/>
    </w:rPr>
  </w:style>
  <w:style w:type="paragraph" w:styleId="a7">
    <w:name w:val="annotation text"/>
    <w:basedOn w:val="a"/>
    <w:link w:val="a8"/>
    <w:uiPriority w:val="99"/>
    <w:unhideWhenUsed/>
    <w:pPr>
      <w:spacing w:after="200"/>
    </w:pPr>
    <w:rPr>
      <w:rFonts w:ascii="Calibri" w:eastAsia="Times New Roman" w:hAnsi="Calibri" w:cs="Times New Roman"/>
      <w:sz w:val="20"/>
      <w:szCs w:val="20"/>
      <w:lang w:eastAsia="ru-RU"/>
    </w:rPr>
  </w:style>
  <w:style w:type="character" w:customStyle="1" w:styleId="a8">
    <w:name w:val="Текст примечания Знак"/>
    <w:basedOn w:val="a0"/>
    <w:link w:val="a7"/>
    <w:uiPriority w:val="99"/>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Calibri" w:eastAsia="Times New Roman" w:hAnsi="Calibri" w:cs="Times New Roman"/>
      <w:b/>
      <w:bCs/>
      <w:sz w:val="20"/>
      <w:szCs w:val="20"/>
      <w:lang w:eastAsia="ru-RU"/>
    </w:rPr>
  </w:style>
  <w:style w:type="paragraph" w:styleId="ab">
    <w:name w:val="List Paragraph"/>
    <w:basedOn w:val="a"/>
    <w:uiPriority w:val="34"/>
    <w:qFormat/>
    <w:pPr>
      <w:spacing w:after="200" w:line="276" w:lineRule="auto"/>
      <w:ind w:left="720"/>
      <w:contextualSpacing/>
    </w:pPr>
    <w:rPr>
      <w:rFonts w:ascii="Calibri" w:eastAsia="Times New Roman" w:hAnsi="Calibri" w:cs="Times New Roman"/>
      <w:sz w:val="22"/>
      <w:lang w:eastAsia="ru-RU"/>
    </w:rPr>
  </w:style>
  <w:style w:type="paragraph" w:styleId="ac">
    <w:name w:val="header"/>
    <w:basedOn w:val="a"/>
    <w:link w:val="ad"/>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d">
    <w:name w:val="Верхний колонтитул Знак"/>
    <w:basedOn w:val="a0"/>
    <w:link w:val="ac"/>
    <w:uiPriority w:val="99"/>
    <w:rPr>
      <w:rFonts w:ascii="Calibri" w:eastAsia="Times New Roman" w:hAnsi="Calibri" w:cs="Times New Roman"/>
      <w:lang w:eastAsia="ru-RU"/>
    </w:rPr>
  </w:style>
  <w:style w:type="paragraph" w:styleId="ae">
    <w:name w:val="footer"/>
    <w:basedOn w:val="a"/>
    <w:link w:val="af"/>
    <w:uiPriority w:val="99"/>
    <w:unhideWhenUsed/>
    <w:pPr>
      <w:tabs>
        <w:tab w:val="center" w:pos="4677"/>
        <w:tab w:val="right" w:pos="9355"/>
      </w:tabs>
    </w:pPr>
    <w:rPr>
      <w:rFonts w:ascii="Calibri" w:eastAsia="Times New Roman" w:hAnsi="Calibri" w:cs="Times New Roman"/>
      <w:sz w:val="22"/>
      <w:lang w:eastAsia="ru-RU"/>
    </w:rPr>
  </w:style>
  <w:style w:type="character" w:customStyle="1" w:styleId="af">
    <w:name w:val="Нижний колонтитул Знак"/>
    <w:basedOn w:val="a0"/>
    <w:link w:val="ae"/>
    <w:uiPriority w:val="99"/>
    <w:rPr>
      <w:rFonts w:ascii="Calibri" w:eastAsia="Times New Roman" w:hAnsi="Calibri" w:cs="Times New Roman"/>
      <w:lang w:eastAsia="ru-RU"/>
    </w:rPr>
  </w:style>
  <w:style w:type="character" w:styleId="af0">
    <w:name w:val="Hyperlink"/>
    <w:uiPriority w:val="99"/>
    <w:semiHidden/>
    <w:unhideWhenUsed/>
    <w:rPr>
      <w:color w:val="0000FF"/>
      <w:u w:val="single"/>
    </w:rPr>
  </w:style>
  <w:style w:type="paragraph" w:styleId="af1">
    <w:name w:val="Body Text"/>
    <w:aliases w:val="bt,Òàáë òåêñò"/>
    <w:basedOn w:val="a"/>
    <w:link w:val="1"/>
    <w:pPr>
      <w:spacing w:after="120"/>
    </w:pPr>
    <w:rPr>
      <w:rFonts w:eastAsia="Times New Roman" w:cs="Times New Roman"/>
      <w:sz w:val="24"/>
      <w:szCs w:val="24"/>
    </w:rPr>
  </w:style>
  <w:style w:type="character" w:customStyle="1" w:styleId="af2">
    <w:name w:val="Основной текст Знак"/>
    <w:basedOn w:val="a0"/>
    <w:uiPriority w:val="99"/>
    <w:semiHidden/>
    <w:rPr>
      <w:rFonts w:ascii="Times New Roman" w:hAnsi="Times New Roman"/>
      <w:sz w:val="28"/>
    </w:rPr>
  </w:style>
  <w:style w:type="character" w:customStyle="1" w:styleId="1">
    <w:name w:val="Основной текст Знак1"/>
    <w:aliases w:val="bt Знак,Òàáë òåêñò Знак"/>
    <w:link w:val="a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8545</Words>
  <Characters>48707</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shtayman_oy</dc:creator>
  <cp:lastModifiedBy>Вершинина Мария Игоревна</cp:lastModifiedBy>
  <cp:revision>2</cp:revision>
  <cp:lastPrinted>2017-04-06T08:57:00Z</cp:lastPrinted>
  <dcterms:created xsi:type="dcterms:W3CDTF">2017-10-24T08:57:00Z</dcterms:created>
  <dcterms:modified xsi:type="dcterms:W3CDTF">2017-10-24T08:57:00Z</dcterms:modified>
</cp:coreProperties>
</file>