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36" w:rsidRPr="00492136" w:rsidRDefault="00492136" w:rsidP="0049213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9213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Проект</w:t>
      </w:r>
    </w:p>
    <w:p w:rsidR="00492136" w:rsidRPr="00492136" w:rsidRDefault="00492136" w:rsidP="004921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492136" w:rsidRPr="00492136" w:rsidRDefault="00492136" w:rsidP="004921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9213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ОСНОВНЫЕ НАПРАВЛЕНИЯ БЮДЖЕТНОЙ И НАЛОГОВОЙ ПОЛИТИКИ ГОРОДСКОГО ОКРУГА ГОРОД СУРГУТ </w:t>
      </w:r>
    </w:p>
    <w:p w:rsidR="00492136" w:rsidRPr="00492136" w:rsidRDefault="00492136" w:rsidP="004921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9213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 2018 ГОД И ПЛАНОВЫЙ ПЕРИОД 2019 – 2020 ГОДОВ</w:t>
      </w:r>
    </w:p>
    <w:p w:rsidR="00492136" w:rsidRDefault="00492136" w:rsidP="004921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D46" w:rsidRPr="00492136" w:rsidRDefault="00B35D46" w:rsidP="004921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2136" w:rsidRPr="00492136" w:rsidRDefault="00492136" w:rsidP="0049213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492136" w:rsidRPr="00492136" w:rsidRDefault="00492136" w:rsidP="004921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92136" w:rsidRPr="00492136" w:rsidRDefault="00492136" w:rsidP="00492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136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городского округа город Сургут на 2018 год и плановый период 2019 – 2020 годов (далее – Основные направления) подготовлены в соответствии со статьёй 172 Бюджетного кодекса Российской Федерации, статьёй 8 Положения о бюджетном процессе в городском округе город Сургут.</w:t>
      </w:r>
    </w:p>
    <w:p w:rsidR="00456C37" w:rsidRPr="00492136" w:rsidRDefault="00456C37" w:rsidP="00456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13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F5C7C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492136">
        <w:rPr>
          <w:rFonts w:ascii="Times New Roman" w:hAnsi="Times New Roman" w:cs="Times New Roman"/>
          <w:sz w:val="28"/>
          <w:szCs w:val="28"/>
        </w:rPr>
        <w:t>согласованности бюджетной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92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бюджетной политики органов государственной власти</w:t>
      </w:r>
      <w:r w:rsidRPr="00492136">
        <w:rPr>
          <w:rFonts w:ascii="Times New Roman" w:hAnsi="Times New Roman" w:cs="Times New Roman"/>
          <w:sz w:val="28"/>
          <w:szCs w:val="28"/>
        </w:rPr>
        <w:t xml:space="preserve">, ряд </w:t>
      </w:r>
      <w:r>
        <w:rPr>
          <w:rFonts w:ascii="Times New Roman" w:hAnsi="Times New Roman" w:cs="Times New Roman"/>
          <w:sz w:val="28"/>
          <w:szCs w:val="28"/>
        </w:rPr>
        <w:t xml:space="preserve">положений Основных направлений сформулирован с учетом </w:t>
      </w:r>
      <w:r w:rsidR="00492136" w:rsidRPr="00492136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492136" w:rsidRPr="004921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492136" w:rsidRPr="004921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Послания Президента Российской Федерации Федеральному собранию Российской Федерации от 01.12.2016,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</w:t>
      </w:r>
      <w:r w:rsidRPr="0049213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92136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Основных направлений бюджетной, налоговой и таможенно-тарифной политики на 2018 год и плановый период 2019 – 2020 годов Российской Федерации и Основных направлений бюджетной и налоговой политики Ханты-Мансийского автономного округа – Югры на 2018 год и плановый период 2019 – 2020 годов.</w:t>
      </w:r>
    </w:p>
    <w:p w:rsidR="00492136" w:rsidRDefault="00492136" w:rsidP="00492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492136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44143">
        <w:rPr>
          <w:rFonts w:ascii="Times New Roman" w:hAnsi="Times New Roman" w:cs="Times New Roman"/>
          <w:sz w:val="28"/>
          <w:szCs w:val="28"/>
        </w:rPr>
        <w:t>О</w:t>
      </w:r>
      <w:r w:rsidRPr="00492136">
        <w:rPr>
          <w:rFonts w:ascii="Times New Roman" w:hAnsi="Times New Roman" w:cs="Times New Roman"/>
          <w:sz w:val="28"/>
          <w:szCs w:val="28"/>
        </w:rPr>
        <w:t xml:space="preserve">сновных направлений </w:t>
      </w:r>
      <w:r w:rsidR="00E4414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44143" w:rsidRPr="00492136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</w:t>
      </w:r>
      <w:r w:rsidR="00E44143">
        <w:rPr>
          <w:rFonts w:ascii="Times New Roman" w:eastAsia="Calibri" w:hAnsi="Times New Roman" w:cs="Times New Roman"/>
          <w:sz w:val="28"/>
          <w:szCs w:val="28"/>
          <w:lang w:eastAsia="ru-RU"/>
        </w:rPr>
        <w:t>ение</w:t>
      </w:r>
      <w:r w:rsidR="00E44143" w:rsidRPr="004921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</w:t>
      </w:r>
      <w:r w:rsidR="00E44143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E44143" w:rsidRPr="004921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задач бюджетной и налоговой политики в очередном бюджетном цикле,</w:t>
      </w:r>
      <w:r w:rsidRPr="00492136">
        <w:rPr>
          <w:rFonts w:ascii="Times New Roman" w:hAnsi="Times New Roman" w:cs="Times New Roman"/>
          <w:sz w:val="28"/>
          <w:szCs w:val="28"/>
        </w:rPr>
        <w:t xml:space="preserve"> описание условий, принимаемых для составления проекта бюджета на 2018 год и на плановый период 2019 и 2020 годы, основных подходов к его формированию</w:t>
      </w:r>
      <w:r w:rsidR="00C579AD">
        <w:rPr>
          <w:rFonts w:ascii="Times New Roman" w:hAnsi="Times New Roman" w:cs="Times New Roman"/>
          <w:sz w:val="28"/>
          <w:szCs w:val="28"/>
        </w:rPr>
        <w:t xml:space="preserve"> и</w:t>
      </w:r>
      <w:r w:rsidRPr="00492136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C579AD">
        <w:rPr>
          <w:rFonts w:ascii="Times New Roman" w:hAnsi="Times New Roman" w:cs="Times New Roman"/>
          <w:sz w:val="28"/>
          <w:szCs w:val="28"/>
        </w:rPr>
        <w:t>е</w:t>
      </w:r>
      <w:r w:rsidRPr="00492136">
        <w:rPr>
          <w:rFonts w:ascii="Times New Roman" w:hAnsi="Times New Roman" w:cs="Times New Roman"/>
          <w:sz w:val="28"/>
          <w:szCs w:val="28"/>
        </w:rPr>
        <w:t xml:space="preserve"> прогнозируемых параметров</w:t>
      </w:r>
      <w:r w:rsidR="00456C37">
        <w:rPr>
          <w:rFonts w:ascii="Times New Roman" w:hAnsi="Times New Roman" w:cs="Times New Roman"/>
          <w:sz w:val="28"/>
          <w:szCs w:val="28"/>
        </w:rPr>
        <w:t>, ч</w:t>
      </w:r>
      <w:r w:rsidR="00C579AD">
        <w:rPr>
          <w:rFonts w:ascii="Times New Roman" w:hAnsi="Times New Roman" w:cs="Times New Roman"/>
          <w:sz w:val="28"/>
          <w:szCs w:val="28"/>
        </w:rPr>
        <w:t xml:space="preserve">то </w:t>
      </w:r>
      <w:r w:rsidR="00823308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Pr="00492136">
        <w:rPr>
          <w:rFonts w:ascii="Times New Roman" w:hAnsi="Times New Roman" w:cs="Times New Roman"/>
          <w:sz w:val="28"/>
          <w:szCs w:val="28"/>
        </w:rPr>
        <w:t>обеспеч</w:t>
      </w:r>
      <w:r w:rsidR="00E44143">
        <w:rPr>
          <w:rFonts w:ascii="Times New Roman" w:hAnsi="Times New Roman" w:cs="Times New Roman"/>
          <w:sz w:val="28"/>
          <w:szCs w:val="28"/>
        </w:rPr>
        <w:t>ит</w:t>
      </w:r>
      <w:r w:rsidR="00823308">
        <w:rPr>
          <w:rFonts w:ascii="Times New Roman" w:hAnsi="Times New Roman" w:cs="Times New Roman"/>
          <w:sz w:val="28"/>
          <w:szCs w:val="28"/>
        </w:rPr>
        <w:t>ь</w:t>
      </w:r>
      <w:r w:rsidRPr="00492136">
        <w:rPr>
          <w:rFonts w:ascii="Times New Roman" w:hAnsi="Times New Roman" w:cs="Times New Roman"/>
          <w:sz w:val="28"/>
          <w:szCs w:val="28"/>
        </w:rPr>
        <w:t xml:space="preserve"> прозрачност</w:t>
      </w:r>
      <w:r w:rsidR="00E44143">
        <w:rPr>
          <w:rFonts w:ascii="Times New Roman" w:hAnsi="Times New Roman" w:cs="Times New Roman"/>
          <w:sz w:val="28"/>
          <w:szCs w:val="28"/>
        </w:rPr>
        <w:t>ь</w:t>
      </w:r>
      <w:r w:rsidRPr="00492136">
        <w:rPr>
          <w:rFonts w:ascii="Times New Roman" w:hAnsi="Times New Roman" w:cs="Times New Roman"/>
          <w:sz w:val="28"/>
          <w:szCs w:val="28"/>
        </w:rPr>
        <w:t xml:space="preserve"> и открытост</w:t>
      </w:r>
      <w:r w:rsidR="00E44143">
        <w:rPr>
          <w:rFonts w:ascii="Times New Roman" w:hAnsi="Times New Roman" w:cs="Times New Roman"/>
          <w:sz w:val="28"/>
          <w:szCs w:val="28"/>
        </w:rPr>
        <w:t>ь</w:t>
      </w:r>
      <w:r w:rsidRPr="00492136">
        <w:rPr>
          <w:rFonts w:ascii="Times New Roman" w:hAnsi="Times New Roman" w:cs="Times New Roman"/>
          <w:sz w:val="28"/>
          <w:szCs w:val="28"/>
        </w:rPr>
        <w:t xml:space="preserve"> бюджетного планирования</w:t>
      </w:r>
      <w:r w:rsidR="00E44143">
        <w:rPr>
          <w:rFonts w:ascii="Times New Roman" w:hAnsi="Times New Roman" w:cs="Times New Roman"/>
          <w:sz w:val="28"/>
          <w:szCs w:val="28"/>
        </w:rPr>
        <w:t xml:space="preserve"> на всех </w:t>
      </w:r>
      <w:r w:rsidR="00556299">
        <w:rPr>
          <w:rFonts w:ascii="Times New Roman" w:hAnsi="Times New Roman" w:cs="Times New Roman"/>
          <w:sz w:val="28"/>
          <w:szCs w:val="28"/>
        </w:rPr>
        <w:t xml:space="preserve">его </w:t>
      </w:r>
      <w:r w:rsidR="00E44143">
        <w:rPr>
          <w:rFonts w:ascii="Times New Roman" w:hAnsi="Times New Roman" w:cs="Times New Roman"/>
          <w:sz w:val="28"/>
          <w:szCs w:val="28"/>
        </w:rPr>
        <w:t>этапах</w:t>
      </w:r>
      <w:r w:rsidRPr="00492136">
        <w:rPr>
          <w:rFonts w:ascii="Times New Roman" w:hAnsi="Times New Roman" w:cs="Times New Roman"/>
          <w:sz w:val="28"/>
          <w:szCs w:val="28"/>
        </w:rPr>
        <w:t>.</w:t>
      </w:r>
      <w:r w:rsidRPr="00492136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CB30AB" w:rsidRPr="00CB30AB" w:rsidRDefault="00CB30AB" w:rsidP="00492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0AB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Ориентиром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сновных направлений остается обеспечение стабильности и сбалансированности бюджета, повышение эффективности муниципального управления, преемственность целей и задач, определенных в предыдущих бюджетных циклах.</w:t>
      </w:r>
    </w:p>
    <w:p w:rsidR="00CB30AB" w:rsidRPr="00CB30AB" w:rsidRDefault="00CB30AB" w:rsidP="00492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2136" w:rsidRPr="00492136" w:rsidRDefault="00492136" w:rsidP="00B62687">
      <w:pPr>
        <w:pStyle w:val="a3"/>
        <w:keepNext/>
        <w:numPr>
          <w:ilvl w:val="0"/>
          <w:numId w:val="1"/>
        </w:numPr>
        <w:suppressAutoHyphens/>
        <w:spacing w:after="0" w:line="240" w:lineRule="auto"/>
        <w:ind w:left="142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E51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ОСНОВНЫЕ РЕЗУЛЬТАТЫ БЮДЖЕТНОЙ</w:t>
      </w:r>
      <w:r w:rsidR="002E5189" w:rsidRPr="002E51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213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 НАЛОГОВОЙ</w:t>
      </w:r>
      <w:r w:rsidR="002E5189" w:rsidRPr="002E51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213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ПОЛИТИКИ В 2016 ГОДУ</w:t>
      </w:r>
      <w:r w:rsidR="002E5189" w:rsidRPr="002E51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213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49213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49213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ПОЛУГОДИИ 2017</w:t>
      </w:r>
      <w:r w:rsidR="002E5189" w:rsidRPr="002E51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213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ГОДА</w:t>
      </w:r>
    </w:p>
    <w:p w:rsidR="00492136" w:rsidRPr="00492136" w:rsidRDefault="00492136" w:rsidP="004921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221E" w:rsidRPr="00492136" w:rsidRDefault="0036221E" w:rsidP="00362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13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Бюджетная деятельность муниципального образования в 2016 году и первом полугодии 2017 года осуществлялась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 фоне</w:t>
      </w:r>
      <w:r w:rsidRPr="0036221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6221E">
        <w:rPr>
          <w:rFonts w:ascii="Times New Roman" w:hAnsi="Times New Roman" w:cs="Times New Roman"/>
          <w:sz w:val="28"/>
          <w:szCs w:val="28"/>
        </w:rPr>
        <w:t>негативны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6221E">
        <w:rPr>
          <w:rFonts w:ascii="Times New Roman" w:hAnsi="Times New Roman" w:cs="Times New Roman"/>
          <w:sz w:val="28"/>
          <w:szCs w:val="28"/>
        </w:rPr>
        <w:t xml:space="preserve"> тенденци</w:t>
      </w:r>
      <w:r>
        <w:rPr>
          <w:rFonts w:ascii="Times New Roman" w:hAnsi="Times New Roman" w:cs="Times New Roman"/>
          <w:sz w:val="28"/>
          <w:szCs w:val="28"/>
        </w:rPr>
        <w:t>й в экономике,</w:t>
      </w:r>
      <w:r w:rsidRPr="0049213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что отразилось и на снижении</w:t>
      </w:r>
      <w:r w:rsidRPr="0049213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92136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показателей социально-экономического развития города (</w:t>
      </w:r>
      <w:r>
        <w:rPr>
          <w:rFonts w:ascii="Times New Roman" w:hAnsi="Times New Roman" w:cs="Times New Roman"/>
          <w:sz w:val="28"/>
        </w:rPr>
        <w:t>в частности, снижении</w:t>
      </w:r>
      <w:r w:rsidRPr="00492136">
        <w:rPr>
          <w:rFonts w:ascii="Times New Roman" w:hAnsi="Times New Roman" w:cs="Times New Roman"/>
          <w:sz w:val="28"/>
        </w:rPr>
        <w:t xml:space="preserve"> темпа роста фонда заработной платы)</w:t>
      </w:r>
      <w:r w:rsidRPr="0049213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36221E" w:rsidRPr="00492136" w:rsidRDefault="0036221E" w:rsidP="00362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</w:t>
      </w:r>
      <w:r w:rsidR="00CA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 фактора</w:t>
      </w:r>
      <w:r w:rsidRPr="0049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отметить </w:t>
      </w:r>
      <w:r w:rsidRPr="00492136">
        <w:rPr>
          <w:rFonts w:ascii="Times New Roman" w:hAnsi="Times New Roman" w:cs="Times New Roman"/>
          <w:color w:val="000000"/>
          <w:sz w:val="28"/>
          <w:szCs w:val="28"/>
        </w:rPr>
        <w:t>возвращение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2016 году</w:t>
      </w:r>
      <w:r w:rsidRPr="00492136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36221E">
        <w:rPr>
          <w:rFonts w:ascii="Times New Roman" w:hAnsi="Times New Roman" w:cs="Times New Roman"/>
          <w:iCs/>
          <w:color w:val="000000"/>
          <w:sz w:val="28"/>
          <w:szCs w:val="28"/>
        </w:rPr>
        <w:t>трехлетнему планированию</w:t>
      </w:r>
      <w:r w:rsidRPr="004921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92136">
        <w:rPr>
          <w:rFonts w:ascii="Times New Roman" w:hAnsi="Times New Roman" w:cs="Times New Roman"/>
          <w:color w:val="000000"/>
          <w:sz w:val="28"/>
          <w:szCs w:val="28"/>
        </w:rPr>
        <w:t>бюджета, что способств</w:t>
      </w:r>
      <w:r w:rsidR="00CA436D">
        <w:rPr>
          <w:rFonts w:ascii="Times New Roman" w:hAnsi="Times New Roman" w:cs="Times New Roman"/>
          <w:color w:val="000000"/>
          <w:sz w:val="28"/>
          <w:szCs w:val="28"/>
        </w:rPr>
        <w:t>овало</w:t>
      </w:r>
      <w:r w:rsidRPr="00492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1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снижению уровня неопределенности относительно основных </w:t>
      </w:r>
      <w:r w:rsidR="00CA436D">
        <w:rPr>
          <w:rFonts w:ascii="Times New Roman" w:hAnsi="Times New Roman" w:cs="Times New Roman"/>
          <w:color w:val="000000"/>
          <w:sz w:val="28"/>
          <w:szCs w:val="28"/>
        </w:rPr>
        <w:t xml:space="preserve">прогнозных параметров, </w:t>
      </w:r>
      <w:r w:rsidRPr="00492136">
        <w:rPr>
          <w:rFonts w:ascii="Times New Roman" w:hAnsi="Times New Roman" w:cs="Times New Roman"/>
          <w:color w:val="000000"/>
          <w:sz w:val="28"/>
          <w:szCs w:val="28"/>
        </w:rPr>
        <w:t>приоритетов</w:t>
      </w:r>
      <w:r w:rsidR="00CA436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492136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механизмов</w:t>
      </w:r>
      <w:r w:rsidR="00EE7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136">
        <w:rPr>
          <w:rFonts w:ascii="Times New Roman" w:hAnsi="Times New Roman" w:cs="Times New Roman"/>
          <w:color w:val="000000"/>
          <w:sz w:val="28"/>
          <w:szCs w:val="28"/>
        </w:rPr>
        <w:t>реализации бюджетной политики.</w:t>
      </w:r>
    </w:p>
    <w:p w:rsidR="00492136" w:rsidRPr="00492136" w:rsidRDefault="00492136" w:rsidP="004921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136">
        <w:rPr>
          <w:rFonts w:ascii="Times New Roman" w:hAnsi="Times New Roman" w:cs="Times New Roman"/>
          <w:color w:val="000000"/>
          <w:sz w:val="28"/>
          <w:szCs w:val="28"/>
        </w:rPr>
        <w:t xml:space="preserve">В указанном периоде деятельность </w:t>
      </w:r>
      <w:r w:rsidRPr="00492136">
        <w:rPr>
          <w:rFonts w:ascii="Times New Roman" w:hAnsi="Times New Roman" w:cs="Times New Roman"/>
          <w:color w:val="000000"/>
          <w:sz w:val="28"/>
          <w:szCs w:val="28"/>
          <w:u w:val="single"/>
        </w:rPr>
        <w:t>в сфере доходов бюджета города</w:t>
      </w:r>
      <w:r w:rsidRPr="00492136">
        <w:rPr>
          <w:rFonts w:ascii="Times New Roman" w:hAnsi="Times New Roman" w:cs="Times New Roman"/>
          <w:color w:val="000000"/>
          <w:sz w:val="28"/>
          <w:szCs w:val="28"/>
        </w:rPr>
        <w:t xml:space="preserve"> была направлена на формирование объективных прогнозных показателей и обеспечение </w:t>
      </w:r>
      <w:r w:rsidRPr="00492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стабильного поступления доходов в утверждённых объёмах.</w:t>
      </w:r>
      <w:r w:rsidRPr="00492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4B77" w:rsidRDefault="00492136" w:rsidP="00492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исключения рисков </w:t>
      </w:r>
      <w:proofErr w:type="spellStart"/>
      <w:r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недополучения</w:t>
      </w:r>
      <w:proofErr w:type="spellEnd"/>
      <w:r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</w:t>
      </w:r>
      <w:r w:rsidR="00323B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бюджета осуществлялось </w:t>
      </w:r>
      <w:r w:rsidRPr="00492136">
        <w:rPr>
          <w:rFonts w:ascii="Times New Roman" w:hAnsi="Times New Roman" w:cs="Times New Roman"/>
          <w:sz w:val="28"/>
          <w:szCs w:val="28"/>
        </w:rPr>
        <w:t xml:space="preserve">исходя из прогнозируемой экономической ситуации, </w:t>
      </w:r>
      <w:r w:rsidRPr="00492136">
        <w:rPr>
          <w:rFonts w:ascii="Times New Roman" w:hAnsi="Times New Roman" w:cs="Times New Roman"/>
          <w:sz w:val="28"/>
          <w:szCs w:val="28"/>
          <w:lang w:eastAsia="ar-SA"/>
        </w:rPr>
        <w:t>изменени</w:t>
      </w:r>
      <w:r w:rsidR="00323BFA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492136">
        <w:rPr>
          <w:rFonts w:ascii="Times New Roman" w:hAnsi="Times New Roman" w:cs="Times New Roman"/>
          <w:sz w:val="28"/>
          <w:szCs w:val="28"/>
          <w:lang w:eastAsia="ar-SA"/>
        </w:rPr>
        <w:t xml:space="preserve"> налогового и бюджетного законодательств</w:t>
      </w:r>
      <w:r w:rsidR="007C4B7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EE729D" w:rsidRDefault="00EE729D" w:rsidP="00EE729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Результатом стало</w:t>
      </w:r>
      <w:r w:rsidR="00492136" w:rsidRPr="0049213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 бюджетных назначений по доходам в 2016 году в</w:t>
      </w:r>
      <w:r w:rsidR="002B158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общем</w:t>
      </w:r>
      <w:r w:rsidR="00492136" w:rsidRPr="0049213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объёме</w:t>
      </w:r>
      <w:r w:rsidR="00492136" w:rsidRPr="00492136">
        <w:rPr>
          <w:rFonts w:ascii="Times New Roman" w:hAnsi="Times New Roman"/>
          <w:bCs/>
          <w:color w:val="000000"/>
          <w:szCs w:val="28"/>
          <w:lang w:eastAsia="ru-RU"/>
        </w:rPr>
        <w:t xml:space="preserve"> </w:t>
      </w:r>
      <w:r w:rsidR="00492136" w:rsidRPr="00492136">
        <w:rPr>
          <w:rFonts w:ascii="Times New Roman" w:hAnsi="Times New Roman"/>
          <w:bCs/>
          <w:color w:val="000000"/>
          <w:sz w:val="28"/>
          <w:szCs w:val="28"/>
          <w:lang w:eastAsia="ru-RU"/>
        </w:rPr>
        <w:t>100,6%.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92338" w:rsidRPr="00C92338" w:rsidRDefault="00EE729D" w:rsidP="00C92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  <w:t xml:space="preserve">Однако </w:t>
      </w:r>
      <w:r w:rsidRPr="00492136">
        <w:rPr>
          <w:rFonts w:ascii="Times New Roman" w:hAnsi="Times New Roman" w:cs="Times New Roman"/>
          <w:color w:val="000000"/>
          <w:sz w:val="28"/>
          <w:szCs w:val="28"/>
        </w:rPr>
        <w:t>имущественны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92136">
        <w:rPr>
          <w:rFonts w:ascii="Times New Roman" w:hAnsi="Times New Roman" w:cs="Times New Roman"/>
          <w:color w:val="000000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92136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492136">
        <w:rPr>
          <w:rFonts w:ascii="Times New Roman" w:hAnsi="Times New Roman" w:cs="Times New Roman"/>
          <w:color w:val="000000"/>
          <w:sz w:val="28"/>
          <w:szCs w:val="28"/>
        </w:rPr>
        <w:t xml:space="preserve"> и налог на имущество физических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492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92136" w:rsidRPr="00492136">
        <w:rPr>
          <w:rFonts w:ascii="Times New Roman" w:hAnsi="Times New Roman" w:cs="Times New Roman"/>
          <w:color w:val="000000"/>
          <w:sz w:val="28"/>
          <w:szCs w:val="28"/>
        </w:rPr>
        <w:t xml:space="preserve">е достигли плановых показателей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92136" w:rsidRPr="00492136">
        <w:rPr>
          <w:rFonts w:ascii="Times New Roman" w:hAnsi="Times New Roman" w:cs="Times New Roman"/>
          <w:color w:val="000000"/>
          <w:sz w:val="28"/>
          <w:szCs w:val="28"/>
        </w:rPr>
        <w:t>исполнены на 96,7 %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043D9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492136" w:rsidRPr="00492136">
        <w:rPr>
          <w:rFonts w:ascii="Times New Roman" w:hAnsi="Times New Roman" w:cs="Times New Roman"/>
          <w:color w:val="000000"/>
          <w:sz w:val="28"/>
          <w:szCs w:val="28"/>
        </w:rPr>
        <w:t xml:space="preserve"> было обусловлено </w:t>
      </w:r>
      <w:r w:rsidR="00492136"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="00C043D9"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</w:t>
      </w:r>
      <w:r w:rsidR="00C043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43D9"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</w:t>
      </w:r>
      <w:r w:rsidR="00C04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</w:t>
      </w:r>
      <w:r w:rsidR="00C043D9"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</w:t>
      </w:r>
      <w:r w:rsidR="00C043D9"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</w:t>
      </w:r>
      <w:r w:rsidR="00C04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стоимости</w:t>
      </w:r>
      <w:r w:rsidR="00C043D9"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</w:t>
      </w:r>
      <w:r w:rsidR="00C923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C92338" w:rsidRPr="00492136">
        <w:rPr>
          <w:rFonts w:ascii="Times New Roman" w:hAnsi="Times New Roman" w:cs="Times New Roman"/>
          <w:sz w:val="28"/>
          <w:szCs w:val="28"/>
        </w:rPr>
        <w:t>тсутствие</w:t>
      </w:r>
      <w:r w:rsidR="00C92338">
        <w:rPr>
          <w:rFonts w:ascii="Times New Roman" w:hAnsi="Times New Roman" w:cs="Times New Roman"/>
          <w:sz w:val="28"/>
          <w:szCs w:val="28"/>
        </w:rPr>
        <w:t>м</w:t>
      </w:r>
      <w:r w:rsidR="00C92338" w:rsidRPr="00492136">
        <w:rPr>
          <w:rFonts w:ascii="Times New Roman" w:hAnsi="Times New Roman" w:cs="Times New Roman"/>
          <w:sz w:val="28"/>
          <w:szCs w:val="28"/>
        </w:rPr>
        <w:t xml:space="preserve"> сведений о кадастровой стоимости </w:t>
      </w:r>
      <w:r w:rsidR="00C9233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92338" w:rsidRPr="00492136">
        <w:rPr>
          <w:rFonts w:ascii="Times New Roman" w:hAnsi="Times New Roman" w:cs="Times New Roman"/>
          <w:sz w:val="28"/>
          <w:szCs w:val="28"/>
        </w:rPr>
        <w:t>тридцати тысяч объектов недвижимости на момент начисления налога</w:t>
      </w:r>
      <w:r w:rsidR="00C92338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C92338" w:rsidRPr="00492136">
        <w:rPr>
          <w:rFonts w:ascii="Times New Roman" w:hAnsi="Times New Roman" w:cs="Times New Roman"/>
          <w:sz w:val="28"/>
          <w:szCs w:val="28"/>
        </w:rPr>
        <w:t>, а также перенос</w:t>
      </w:r>
      <w:r w:rsidR="00152D70">
        <w:rPr>
          <w:rFonts w:ascii="Times New Roman" w:hAnsi="Times New Roman" w:cs="Times New Roman"/>
          <w:sz w:val="28"/>
          <w:szCs w:val="28"/>
        </w:rPr>
        <w:t>ом</w:t>
      </w:r>
      <w:r w:rsidR="00C92338" w:rsidRPr="00492136">
        <w:rPr>
          <w:rFonts w:ascii="Times New Roman" w:hAnsi="Times New Roman" w:cs="Times New Roman"/>
          <w:sz w:val="28"/>
          <w:szCs w:val="28"/>
        </w:rPr>
        <w:t xml:space="preserve"> срока уплаты налога на более поздний период</w:t>
      </w:r>
      <w:r w:rsidR="00152D70">
        <w:rPr>
          <w:rFonts w:ascii="Times New Roman" w:hAnsi="Times New Roman" w:cs="Times New Roman"/>
          <w:sz w:val="28"/>
          <w:szCs w:val="28"/>
        </w:rPr>
        <w:t xml:space="preserve"> -</w:t>
      </w:r>
      <w:r w:rsidR="00C92338" w:rsidRPr="00492136">
        <w:rPr>
          <w:rFonts w:ascii="Times New Roman" w:hAnsi="Times New Roman" w:cs="Times New Roman"/>
          <w:sz w:val="28"/>
          <w:szCs w:val="28"/>
        </w:rPr>
        <w:t xml:space="preserve"> 1 декабря. </w:t>
      </w:r>
    </w:p>
    <w:p w:rsidR="00492136" w:rsidRPr="00492136" w:rsidRDefault="00492136" w:rsidP="004921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основному источнику неналоговых доходов - от уплаты аренды за земельные участки - исполнение составило 91%</w:t>
      </w:r>
      <w:r w:rsidR="00091C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по причине</w:t>
      </w:r>
      <w:r w:rsidRPr="0049213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оспаривани</w:t>
      </w:r>
      <w:r w:rsidR="00091C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кадастровой стоимости земельных участков. </w:t>
      </w:r>
    </w:p>
    <w:p w:rsidR="00492136" w:rsidRPr="00492136" w:rsidRDefault="00091CB9" w:rsidP="00091CB9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Сохраняется фактор низкой</w:t>
      </w:r>
      <w:r w:rsidRPr="00492136">
        <w:rPr>
          <w:rFonts w:ascii="Times New Roman" w:hAnsi="Times New Roman" w:cs="Times New Roman"/>
          <w:sz w:val="28"/>
          <w:szCs w:val="28"/>
        </w:rPr>
        <w:t xml:space="preserve"> платёжн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92136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ы граждан-налогоплательщиков и</w:t>
      </w:r>
      <w:r w:rsidRPr="00492136">
        <w:rPr>
          <w:rFonts w:ascii="Times New Roman" w:hAnsi="Times New Roman" w:cs="Times New Roman"/>
          <w:sz w:val="28"/>
          <w:szCs w:val="28"/>
        </w:rPr>
        <w:t xml:space="preserve"> арендаторов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имущества.</w:t>
      </w:r>
    </w:p>
    <w:p w:rsidR="00492136" w:rsidRPr="00492136" w:rsidRDefault="00492136" w:rsidP="00320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136">
        <w:rPr>
          <w:rFonts w:ascii="Times New Roman" w:eastAsia="Calibri" w:hAnsi="Times New Roman" w:cs="Times New Roman"/>
          <w:color w:val="000000"/>
          <w:sz w:val="28"/>
          <w:szCs w:val="28"/>
        </w:rPr>
        <w:t>Недопоступление</w:t>
      </w:r>
      <w:proofErr w:type="spellEnd"/>
      <w:r w:rsidR="006C6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</w:t>
      </w:r>
      <w:r w:rsidRPr="004921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данны</w:t>
      </w:r>
      <w:r w:rsidR="006C6514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4921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C6514">
        <w:rPr>
          <w:rFonts w:ascii="Times New Roman" w:eastAsia="Calibri" w:hAnsi="Times New Roman" w:cs="Times New Roman"/>
          <w:color w:val="000000"/>
          <w:sz w:val="28"/>
          <w:szCs w:val="28"/>
        </w:rPr>
        <w:t>видам доход</w:t>
      </w:r>
      <w:r w:rsidR="00C068D9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4921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было нивелировано сверхплановыми поступлениями </w:t>
      </w:r>
      <w:r w:rsidRPr="004A66BD">
        <w:rPr>
          <w:rFonts w:ascii="Times New Roman" w:eastAsia="Calibri" w:hAnsi="Times New Roman" w:cs="Times New Roman"/>
          <w:color w:val="000000"/>
          <w:sz w:val="28"/>
          <w:szCs w:val="28"/>
        </w:rPr>
        <w:t>налога на доходы физических лиц</w:t>
      </w:r>
      <w:r w:rsidR="003205CE" w:rsidRPr="0032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CE" w:rsidRPr="009F4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отчасти – за счёт выплаты акционерными обществами дивидендов в размере выше среднего за ряд лет</w:t>
      </w:r>
      <w:r w:rsidRPr="004A66B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4A66BD">
        <w:rPr>
          <w:rFonts w:ascii="Times New Roman" w:hAnsi="Times New Roman" w:cs="Times New Roman"/>
          <w:color w:val="000000"/>
          <w:sz w:val="28"/>
          <w:szCs w:val="28"/>
        </w:rPr>
        <w:t xml:space="preserve"> доходов от продажи земельных участков</w:t>
      </w:r>
      <w:r w:rsidR="002B2777" w:rsidRPr="004A66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A6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66BD">
        <w:rPr>
          <w:rFonts w:ascii="Times New Roman" w:hAnsi="Times New Roman" w:cs="Times New Roman"/>
          <w:sz w:val="28"/>
          <w:szCs w:val="28"/>
        </w:rPr>
        <w:t>платы в виде неосновательного обогащения за пользование муниципальным имуществом без надлежащего оформления</w:t>
      </w:r>
      <w:r w:rsidRPr="00492136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492136" w:rsidRPr="00492136" w:rsidRDefault="002B2777" w:rsidP="00492136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2136"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полугодии текущего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алоговые и неналоговые доходы поступили в пределах планируемых показателей (101,4%). </w:t>
      </w:r>
    </w:p>
    <w:p w:rsidR="00F3071D" w:rsidRDefault="00492136" w:rsidP="0049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136">
        <w:rPr>
          <w:rFonts w:ascii="Times New Roman" w:hAnsi="Times New Roman" w:cs="Times New Roman"/>
          <w:sz w:val="28"/>
          <w:szCs w:val="28"/>
          <w:lang w:eastAsia="ar-SA"/>
        </w:rPr>
        <w:t xml:space="preserve">В 2016 году дефицит бюджета был полностью обеспечен </w:t>
      </w:r>
      <w:r w:rsidR="00F3071D">
        <w:rPr>
          <w:rFonts w:ascii="Times New Roman" w:hAnsi="Times New Roman" w:cs="Times New Roman"/>
          <w:sz w:val="28"/>
          <w:szCs w:val="28"/>
          <w:lang w:eastAsia="ar-SA"/>
        </w:rPr>
        <w:t xml:space="preserve">плановыми </w:t>
      </w:r>
      <w:r w:rsidRPr="00492136">
        <w:rPr>
          <w:rFonts w:ascii="Times New Roman" w:hAnsi="Times New Roman" w:cs="Times New Roman"/>
          <w:sz w:val="28"/>
          <w:szCs w:val="28"/>
          <w:u w:val="single"/>
        </w:rPr>
        <w:t>источниками финансирования</w:t>
      </w:r>
      <w:r w:rsidR="00F3071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92136" w:rsidRPr="00492136" w:rsidRDefault="00492136" w:rsidP="0049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136">
        <w:rPr>
          <w:rFonts w:ascii="Times New Roman" w:hAnsi="Times New Roman" w:cs="Times New Roman"/>
          <w:sz w:val="28"/>
          <w:szCs w:val="28"/>
        </w:rPr>
        <w:t xml:space="preserve">Предусмотренное планом привлечение кредитов кредитных организаций на возможное исполнение обязательств по муниципальным гарантиям не производилось в связи с самостоятельным исполнением принципалами </w:t>
      </w:r>
      <w:r w:rsidR="00F3071D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Pr="00492136">
        <w:rPr>
          <w:rFonts w:ascii="Times New Roman" w:hAnsi="Times New Roman" w:cs="Times New Roman"/>
          <w:sz w:val="28"/>
          <w:szCs w:val="28"/>
        </w:rPr>
        <w:t xml:space="preserve">обязательств. </w:t>
      </w:r>
    </w:p>
    <w:p w:rsidR="00492136" w:rsidRPr="00492136" w:rsidRDefault="00F3071D" w:rsidP="0049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и погашение долговых обязательств города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производил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2136" w:rsidRPr="004921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в полном соответствии с условиями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136" w:rsidRPr="00492136" w:rsidRDefault="00343463" w:rsidP="0049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7157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едена</w:t>
      </w:r>
      <w:r w:rsidR="00B77157">
        <w:rPr>
          <w:rFonts w:ascii="Times New Roman" w:hAnsi="Times New Roman" w:cs="Times New Roman"/>
          <w:sz w:val="28"/>
          <w:szCs w:val="28"/>
        </w:rPr>
        <w:t xml:space="preserve"> работа по сокращению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B77157">
        <w:rPr>
          <w:rFonts w:ascii="Times New Roman" w:hAnsi="Times New Roman" w:cs="Times New Roman"/>
          <w:sz w:val="28"/>
          <w:szCs w:val="28"/>
        </w:rPr>
        <w:t>ов по обслуживанию долга.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</w:t>
      </w:r>
      <w:r w:rsidR="00B77157">
        <w:rPr>
          <w:rFonts w:ascii="Times New Roman" w:hAnsi="Times New Roman" w:cs="Times New Roman"/>
          <w:sz w:val="28"/>
          <w:szCs w:val="28"/>
        </w:rPr>
        <w:t xml:space="preserve">По кредиту, </w:t>
      </w:r>
      <w:r w:rsidR="00492136" w:rsidRPr="00492136">
        <w:rPr>
          <w:rFonts w:ascii="Times New Roman" w:hAnsi="Times New Roman" w:cs="Times New Roman"/>
          <w:sz w:val="28"/>
          <w:szCs w:val="28"/>
        </w:rPr>
        <w:t>привлеченно</w:t>
      </w:r>
      <w:r w:rsidR="00B77157">
        <w:rPr>
          <w:rFonts w:ascii="Times New Roman" w:hAnsi="Times New Roman" w:cs="Times New Roman"/>
          <w:sz w:val="28"/>
          <w:szCs w:val="28"/>
        </w:rPr>
        <w:t>му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у ПАО Запсибкомбанк</w:t>
      </w:r>
      <w:r w:rsidR="00B77157">
        <w:rPr>
          <w:rFonts w:ascii="Times New Roman" w:hAnsi="Times New Roman" w:cs="Times New Roman"/>
          <w:sz w:val="28"/>
          <w:szCs w:val="28"/>
        </w:rPr>
        <w:t>,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процент по кредиту</w:t>
      </w:r>
      <w:r w:rsidR="00B77157">
        <w:rPr>
          <w:rFonts w:ascii="Times New Roman" w:hAnsi="Times New Roman" w:cs="Times New Roman"/>
          <w:sz w:val="28"/>
          <w:szCs w:val="28"/>
        </w:rPr>
        <w:t xml:space="preserve"> снижен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с 11,3 % до </w:t>
      </w:r>
      <w:r w:rsidR="00B77157">
        <w:rPr>
          <w:rFonts w:ascii="Times New Roman" w:hAnsi="Times New Roman" w:cs="Times New Roman"/>
          <w:sz w:val="28"/>
          <w:szCs w:val="28"/>
        </w:rPr>
        <w:t>9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,9%. </w:t>
      </w:r>
      <w:r w:rsidR="005B7751">
        <w:rPr>
          <w:rFonts w:ascii="Times New Roman" w:hAnsi="Times New Roman" w:cs="Times New Roman"/>
          <w:sz w:val="28"/>
          <w:szCs w:val="28"/>
        </w:rPr>
        <w:t xml:space="preserve">ПАО Сбербанк также выразило согласие на снижение ставки. </w:t>
      </w:r>
    </w:p>
    <w:p w:rsidR="00492136" w:rsidRPr="00DD1D56" w:rsidRDefault="00492136" w:rsidP="004921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снижающихся бюджетных возможностей бюджетная политика </w:t>
      </w:r>
      <w:r w:rsidRPr="00DD1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области расходов</w:t>
      </w:r>
      <w:r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строилась с учетом необходимости </w:t>
      </w:r>
      <w:proofErr w:type="spellStart"/>
      <w:r w:rsidRPr="00DD1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приоритезации</w:t>
      </w:r>
      <w:proofErr w:type="spellEnd"/>
      <w:r w:rsidRPr="00DD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и поиска внутренних резервов.</w:t>
      </w:r>
    </w:p>
    <w:p w:rsidR="00492136" w:rsidRPr="00492136" w:rsidRDefault="00492136" w:rsidP="004921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Продолжена практика ограничения использования главными распорядителями бюджетных средств экономии по результатам конкурентных закупок и коллегиального рассмотрения направлений ее использования Бюджетной комиссией при Главе города. Такая экономия в 2016 году составила более 160 млн. рублей и позволила обеспечить долю </w:t>
      </w:r>
      <w:proofErr w:type="spellStart"/>
      <w:r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программ и новые расходные обязательства, возникающие в связи с вводом в течение года в эксплуатацию объектов социальной сферы и городской инфраструктуры</w:t>
      </w:r>
      <w:r w:rsidR="00244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2B0" w:rsidRPr="00492136" w:rsidRDefault="00492136" w:rsidP="008802B0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оптимизационных мероприятий была проведена реорганизация сети муниципальных учреждений, в том числе путем укрупнения ряда образовательных учреждений и изменения типа на автономные.</w:t>
      </w:r>
      <w:r w:rsidR="0088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8802B0"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мероприятия по оптимизации штатной численности </w:t>
      </w:r>
      <w:r w:rsidR="0088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ряда </w:t>
      </w:r>
      <w:r w:rsidR="008802B0"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88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культуры</w:t>
      </w:r>
      <w:r w:rsidR="008802B0"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2B0"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позволило направить на повышение оплаты труда </w:t>
      </w:r>
      <w:r w:rsidR="00617F89"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категорий работников </w:t>
      </w:r>
      <w:r w:rsidR="00617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802B0"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</w:t>
      </w:r>
      <w:r w:rsidR="00617F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802B0"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порядка 25 млн. рублей.</w:t>
      </w:r>
    </w:p>
    <w:p w:rsidR="00492136" w:rsidRPr="00492136" w:rsidRDefault="00492136" w:rsidP="00492136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Планомерно решалась задача по обеспечению рационального сочетания в структуре расходов средств на финансовое обеспечение функционирования объектов социальной и городской инфраструктуры и инвестиционной составляющей.</w:t>
      </w:r>
    </w:p>
    <w:p w:rsidR="00492136" w:rsidRPr="000026CA" w:rsidRDefault="00492136" w:rsidP="00492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136">
        <w:rPr>
          <w:rFonts w:ascii="Times New Roman" w:hAnsi="Times New Roman"/>
          <w:sz w:val="28"/>
          <w:szCs w:val="28"/>
        </w:rPr>
        <w:t xml:space="preserve">Завершено строительство детской школы искусств в </w:t>
      </w:r>
      <w:proofErr w:type="spellStart"/>
      <w:r w:rsidRPr="00492136">
        <w:rPr>
          <w:rFonts w:ascii="Times New Roman" w:hAnsi="Times New Roman"/>
          <w:sz w:val="28"/>
          <w:szCs w:val="28"/>
        </w:rPr>
        <w:t>мкр</w:t>
      </w:r>
      <w:proofErr w:type="spellEnd"/>
      <w:r w:rsidRPr="00492136">
        <w:rPr>
          <w:rFonts w:ascii="Times New Roman" w:hAnsi="Times New Roman"/>
          <w:sz w:val="28"/>
          <w:szCs w:val="28"/>
        </w:rPr>
        <w:t xml:space="preserve">. ПИКС, поликлиники «Нефтяник», спортивного центра с универсальным игровым залом № 6, общественного центра и инженерных сетей в поселке Снежный, первой очереди объездной автомобильной дороги к дачным кооперативам «Черемушки», «Север-1», «Север-2», на стадии завершения строительство </w:t>
      </w:r>
      <w:r w:rsidRPr="000026CA">
        <w:rPr>
          <w:rFonts w:ascii="Times New Roman" w:hAnsi="Times New Roman"/>
          <w:sz w:val="28"/>
          <w:szCs w:val="28"/>
        </w:rPr>
        <w:t>Спортивного комплекса с плавательным бассейном на 50 метров в г. Сургуте, начато обустройство парка в 31 микрорайоне и пешеходного моста в парке «Кедровый лог».</w:t>
      </w:r>
    </w:p>
    <w:p w:rsidR="00492136" w:rsidRPr="00492136" w:rsidRDefault="00492136" w:rsidP="00492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136">
        <w:rPr>
          <w:rFonts w:ascii="Times New Roman" w:hAnsi="Times New Roman"/>
          <w:sz w:val="28"/>
          <w:szCs w:val="28"/>
        </w:rPr>
        <w:t>В 2016 году и первом полугодии 2017 года начато внедрение и ряда новых управленческих технологий, таких, как проектное управление, персонифицированное финансирование муниципальных услуг, инициативное бюджетирование. Поскольку их полномасштабная реализация и дальнейшее развитие предполагается последовательно продолжить в среднесрочной перспективе их описание приведено в разделе 3 настоящих Основных направлений.</w:t>
      </w:r>
    </w:p>
    <w:p w:rsidR="00492136" w:rsidRPr="00492136" w:rsidRDefault="00492136" w:rsidP="00492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36" w:rsidRPr="00492136" w:rsidRDefault="00492136" w:rsidP="00DC3C6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ЦЕЛИ И ОСНОВНЫЕ ЗАДАЧИ БЮДЖЕТНОЙ И НАЛОГОВОЙ ПОЛИТИКИ И ПРОЕКТИРУЕМЫЕ ПАРАМЕТРЫ БЮДЖЕТА ГОРОДА НА 2018 ГОД И ПЛАНОВЫЙ ПЕРИОД 2019 - 2020 ГОДОВ</w:t>
      </w:r>
      <w:r w:rsidRPr="004921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2136" w:rsidRPr="00492136" w:rsidRDefault="00492136" w:rsidP="00492136">
      <w:pPr>
        <w:tabs>
          <w:tab w:val="left" w:pos="720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492136" w:rsidRPr="00492136" w:rsidRDefault="00492136" w:rsidP="00492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136">
        <w:rPr>
          <w:rFonts w:ascii="Times New Roman" w:hAnsi="Times New Roman"/>
          <w:sz w:val="28"/>
          <w:szCs w:val="28"/>
          <w:lang w:eastAsia="ru-RU"/>
        </w:rPr>
        <w:t>Бюджетная и налоговая политика муниципального образования на 2018 год и плановый период 2019 – 2020 годов будет сохранять свою направленность на долгосрочную сбалансированность и обеспечение стабильности в бюджетном секторе.</w:t>
      </w:r>
    </w:p>
    <w:p w:rsidR="00492136" w:rsidRPr="00492136" w:rsidRDefault="00492136" w:rsidP="004921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36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рисками, которые могут возникнуть в ходе её реализации являются</w:t>
      </w:r>
      <w:r w:rsidR="00DC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норм федерального и окружного законодательства, влекущие за собой снижение доходов и (или) увеличение расходов бюджета города Сургута</w:t>
      </w:r>
      <w:r w:rsidR="00DC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общеэкономической ситуации как в стране в целом, так и в городе Сургуте, приводящ</w:t>
      </w:r>
      <w:r w:rsidR="00D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 уменьшению поступлений налоговых и неналоговых доходов бюджета. </w:t>
      </w:r>
    </w:p>
    <w:p w:rsidR="00492136" w:rsidRPr="00492136" w:rsidRDefault="00492136" w:rsidP="004921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492136" w:rsidRPr="00492136" w:rsidRDefault="00492136" w:rsidP="004921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451">
        <w:rPr>
          <w:rFonts w:ascii="Times New Roman" w:eastAsia="Calibri" w:hAnsi="Times New Roman" w:cs="Times New Roman"/>
          <w:sz w:val="28"/>
          <w:szCs w:val="28"/>
        </w:rPr>
        <w:t xml:space="preserve">С учетом этого, </w:t>
      </w:r>
      <w:r w:rsidR="00076764">
        <w:rPr>
          <w:rFonts w:ascii="Times New Roman" w:eastAsia="Calibri" w:hAnsi="Times New Roman" w:cs="Times New Roman"/>
          <w:sz w:val="28"/>
          <w:szCs w:val="28"/>
        </w:rPr>
        <w:t>бюджетная и налоговая</w:t>
      </w:r>
      <w:r w:rsidRPr="00E76451">
        <w:rPr>
          <w:rFonts w:ascii="Times New Roman" w:eastAsia="Calibri" w:hAnsi="Times New Roman" w:cs="Times New Roman"/>
          <w:sz w:val="28"/>
          <w:szCs w:val="28"/>
        </w:rPr>
        <w:t xml:space="preserve"> политика трехлетнего периода </w:t>
      </w:r>
      <w:r w:rsidR="00E76451">
        <w:rPr>
          <w:rFonts w:ascii="Times New Roman" w:eastAsia="Calibri" w:hAnsi="Times New Roman" w:cs="Times New Roman"/>
          <w:sz w:val="28"/>
          <w:szCs w:val="28"/>
        </w:rPr>
        <w:t xml:space="preserve">должна быть </w:t>
      </w:r>
      <w:r w:rsidRPr="00E76451">
        <w:rPr>
          <w:rFonts w:ascii="Times New Roman" w:eastAsia="Calibri" w:hAnsi="Times New Roman" w:cs="Times New Roman"/>
          <w:sz w:val="28"/>
          <w:szCs w:val="28"/>
        </w:rPr>
        <w:t xml:space="preserve">направлена на проведение целенаправленной работы с администраторами </w:t>
      </w:r>
      <w:r w:rsidRPr="00D55BEC">
        <w:rPr>
          <w:rFonts w:ascii="Times New Roman" w:eastAsia="Calibri" w:hAnsi="Times New Roman" w:cs="Times New Roman"/>
          <w:sz w:val="28"/>
          <w:szCs w:val="28"/>
          <w:u w:val="single"/>
        </w:rPr>
        <w:t>доходов бюджета</w:t>
      </w:r>
      <w:r w:rsidRPr="00E76451">
        <w:rPr>
          <w:rFonts w:ascii="Times New Roman" w:eastAsia="Calibri" w:hAnsi="Times New Roman" w:cs="Times New Roman"/>
          <w:sz w:val="28"/>
          <w:szCs w:val="28"/>
        </w:rPr>
        <w:t xml:space="preserve"> с целью пополнения</w:t>
      </w:r>
      <w:r w:rsidR="00E764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6451">
        <w:rPr>
          <w:rFonts w:ascii="Times New Roman" w:eastAsia="Calibri" w:hAnsi="Times New Roman" w:cs="Times New Roman"/>
          <w:sz w:val="28"/>
          <w:szCs w:val="28"/>
        </w:rPr>
        <w:t>доходной части</w:t>
      </w:r>
      <w:r w:rsidR="00553C58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E76451">
        <w:rPr>
          <w:rFonts w:ascii="Times New Roman" w:eastAsia="Calibri" w:hAnsi="Times New Roman" w:cs="Times New Roman"/>
          <w:sz w:val="28"/>
          <w:szCs w:val="28"/>
        </w:rPr>
        <w:t>, выявления скрытых резервов, повышения уровня собираемости доходов, сокращения недоимки.</w:t>
      </w:r>
    </w:p>
    <w:p w:rsidR="00492136" w:rsidRPr="00D55BEC" w:rsidRDefault="00492136" w:rsidP="00D55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остаются:</w:t>
      </w:r>
    </w:p>
    <w:p w:rsidR="00492136" w:rsidRPr="00D55BEC" w:rsidRDefault="00492136" w:rsidP="004921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C">
        <w:rPr>
          <w:rFonts w:ascii="Times New Roman" w:eastAsia="Calibri" w:hAnsi="Times New Roman" w:cs="Times New Roman"/>
          <w:sz w:val="28"/>
          <w:szCs w:val="28"/>
        </w:rPr>
        <w:t>обеспечение надежности предпосылок, положенных в основу формирования доходной базы бюджета;</w:t>
      </w:r>
    </w:p>
    <w:p w:rsidR="00492136" w:rsidRPr="00492136" w:rsidRDefault="00492136" w:rsidP="00492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ответственности главных администраторов доходов за качественное планирование и выполнение плановых назначений по доходам, урегулирование и снижение задолженности по обязательным платежам, обеспечение рационального и эффективного использования муниципального имущества.</w:t>
      </w:r>
    </w:p>
    <w:p w:rsidR="00492136" w:rsidRPr="00492136" w:rsidRDefault="00492136" w:rsidP="004921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136">
        <w:rPr>
          <w:rFonts w:ascii="Times New Roman" w:hAnsi="Times New Roman" w:cs="Times New Roman"/>
          <w:spacing w:val="-6"/>
          <w:sz w:val="28"/>
          <w:szCs w:val="28"/>
        </w:rPr>
        <w:t xml:space="preserve">В связи с этим </w:t>
      </w:r>
      <w:r w:rsidRPr="00492136">
        <w:rPr>
          <w:rFonts w:ascii="Times New Roman" w:hAnsi="Times New Roman" w:cs="Times New Roman"/>
          <w:sz w:val="28"/>
          <w:szCs w:val="28"/>
        </w:rPr>
        <w:t>необходимо</w:t>
      </w:r>
      <w:r w:rsidR="00F07F19">
        <w:rPr>
          <w:rFonts w:ascii="Times New Roman" w:hAnsi="Times New Roman" w:cs="Times New Roman"/>
          <w:sz w:val="28"/>
          <w:szCs w:val="28"/>
        </w:rPr>
        <w:t xml:space="preserve"> продолжить </w:t>
      </w:r>
      <w:r w:rsidR="005A0FA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07F19">
        <w:rPr>
          <w:rFonts w:ascii="Times New Roman" w:hAnsi="Times New Roman" w:cs="Times New Roman"/>
          <w:sz w:val="28"/>
          <w:szCs w:val="28"/>
        </w:rPr>
        <w:t>мероприяти</w:t>
      </w:r>
      <w:r w:rsidR="005A0FA4">
        <w:rPr>
          <w:rFonts w:ascii="Times New Roman" w:hAnsi="Times New Roman" w:cs="Times New Roman"/>
          <w:sz w:val="28"/>
          <w:szCs w:val="28"/>
        </w:rPr>
        <w:t>й</w:t>
      </w:r>
      <w:r w:rsidRPr="00492136">
        <w:rPr>
          <w:rFonts w:ascii="Times New Roman" w:hAnsi="Times New Roman" w:cs="Times New Roman"/>
          <w:sz w:val="28"/>
          <w:szCs w:val="28"/>
        </w:rPr>
        <w:t>:</w:t>
      </w:r>
    </w:p>
    <w:p w:rsidR="00DB023A" w:rsidRPr="00DB023A" w:rsidRDefault="00492136" w:rsidP="00DC3C65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23A">
        <w:rPr>
          <w:rFonts w:ascii="Times New Roman" w:hAnsi="Times New Roman" w:cs="Times New Roman"/>
          <w:sz w:val="28"/>
          <w:szCs w:val="28"/>
        </w:rPr>
        <w:t xml:space="preserve">по выявлению объектов недвижимости, не включённых в Перечень объектов недвижимого имущества, в отношении которых налоговая база определяется как кадастровая стоимость, </w:t>
      </w:r>
      <w:r w:rsidR="00815749">
        <w:rPr>
          <w:rFonts w:ascii="Times New Roman" w:hAnsi="Times New Roman" w:cs="Times New Roman"/>
          <w:sz w:val="28"/>
          <w:szCs w:val="28"/>
        </w:rPr>
        <w:t>формируемого</w:t>
      </w:r>
      <w:r w:rsidRPr="00DB023A">
        <w:rPr>
          <w:rFonts w:ascii="Times New Roman" w:hAnsi="Times New Roman" w:cs="Times New Roman"/>
          <w:sz w:val="28"/>
          <w:szCs w:val="28"/>
        </w:rPr>
        <w:t xml:space="preserve"> в соответствии со статьей 378.2 Налогового кодекса Российской Федерации</w:t>
      </w:r>
      <w:r w:rsidR="00DB023A" w:rsidRPr="00DB023A">
        <w:rPr>
          <w:rFonts w:ascii="Times New Roman" w:hAnsi="Times New Roman" w:cs="Times New Roman"/>
          <w:sz w:val="28"/>
          <w:szCs w:val="28"/>
        </w:rPr>
        <w:t>.</w:t>
      </w:r>
    </w:p>
    <w:p w:rsidR="00492136" w:rsidRPr="00492136" w:rsidRDefault="00DB023A" w:rsidP="004921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23A">
        <w:rPr>
          <w:rFonts w:ascii="Times New Roman" w:eastAsia="Calibri" w:hAnsi="Times New Roman" w:cs="Times New Roman"/>
          <w:sz w:val="28"/>
          <w:szCs w:val="28"/>
        </w:rPr>
        <w:t xml:space="preserve">В целях выявления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таких </w:t>
      </w:r>
      <w:r w:rsidRPr="00DB023A">
        <w:rPr>
          <w:rFonts w:ascii="Times New Roman" w:eastAsia="Calibri" w:hAnsi="Times New Roman" w:cs="Times New Roman"/>
          <w:sz w:val="28"/>
          <w:szCs w:val="28"/>
        </w:rPr>
        <w:t>объектов Администрацией города совместно с инспекцией ФНС России по г. Сургуту пров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одится </w:t>
      </w:r>
      <w:r w:rsidRPr="00DB023A">
        <w:rPr>
          <w:rFonts w:ascii="Times New Roman" w:eastAsia="Calibri" w:hAnsi="Times New Roman" w:cs="Times New Roman"/>
          <w:sz w:val="28"/>
          <w:szCs w:val="28"/>
        </w:rPr>
        <w:t xml:space="preserve">мониторинг объектов, находящихся в базе данных </w:t>
      </w:r>
      <w:proofErr w:type="spellStart"/>
      <w:r w:rsidRPr="00DB023A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DB02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DB023A">
        <w:rPr>
          <w:rFonts w:ascii="Times New Roman" w:eastAsia="Calibri" w:hAnsi="Times New Roman" w:cs="Times New Roman"/>
          <w:sz w:val="28"/>
          <w:szCs w:val="28"/>
        </w:rPr>
        <w:t xml:space="preserve"> Департамент финансов автономного округа направл</w:t>
      </w:r>
      <w:r>
        <w:rPr>
          <w:rFonts w:ascii="Times New Roman" w:eastAsia="Calibri" w:hAnsi="Times New Roman" w:cs="Times New Roman"/>
          <w:sz w:val="28"/>
          <w:szCs w:val="28"/>
        </w:rPr>
        <w:t>ялись</w:t>
      </w:r>
      <w:r w:rsidRPr="00DB023A">
        <w:rPr>
          <w:rFonts w:ascii="Times New Roman" w:eastAsia="Calibri" w:hAnsi="Times New Roman" w:cs="Times New Roman"/>
          <w:sz w:val="28"/>
          <w:szCs w:val="28"/>
        </w:rPr>
        <w:t xml:space="preserve"> предложения о дополнительном включении отдельных объектов торговли и общественного питания в вышеуказанный Перечень. </w:t>
      </w:r>
      <w:r w:rsidR="00815749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абота </w:t>
      </w:r>
      <w:r w:rsidR="00A12DA9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>
        <w:rPr>
          <w:rFonts w:ascii="Times New Roman" w:hAnsi="Times New Roman" w:cs="Times New Roman"/>
          <w:sz w:val="28"/>
          <w:szCs w:val="28"/>
        </w:rPr>
        <w:t>будет продолжена в плановом периоде</w:t>
      </w:r>
      <w:r w:rsidR="00492136" w:rsidRPr="00492136">
        <w:rPr>
          <w:rFonts w:ascii="Times New Roman" w:hAnsi="Times New Roman" w:cs="Times New Roman"/>
          <w:sz w:val="28"/>
          <w:szCs w:val="28"/>
        </w:rPr>
        <w:t>;</w:t>
      </w:r>
    </w:p>
    <w:p w:rsidR="00A25224" w:rsidRDefault="001D054F" w:rsidP="00492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</w:t>
      </w:r>
      <w:r w:rsidR="00492136" w:rsidRPr="00492136">
        <w:rPr>
          <w:rFonts w:ascii="Times New Roman" w:eastAsia="TimesNewRomanPSMT" w:hAnsi="Times New Roman" w:cs="Times New Roman"/>
          <w:sz w:val="28"/>
          <w:szCs w:val="28"/>
        </w:rPr>
        <w:t xml:space="preserve">) по обеспечению взаимодействия и координации деятельности Администрации города и федеральных фискальных, контролирующих органов </w:t>
      </w:r>
      <w:r w:rsidR="00492136" w:rsidRPr="00492136">
        <w:rPr>
          <w:rFonts w:ascii="Times New Roman" w:hAnsi="Times New Roman" w:cs="Times New Roman"/>
          <w:sz w:val="28"/>
          <w:szCs w:val="28"/>
        </w:rPr>
        <w:t>по информационному взаимодействию с налогоплательщиками,</w:t>
      </w:r>
      <w:r w:rsidR="00492136" w:rsidRPr="00492136">
        <w:rPr>
          <w:rFonts w:ascii="Times New Roman" w:eastAsia="TimesNewRomanPSMT" w:hAnsi="Times New Roman" w:cs="Times New Roman"/>
          <w:sz w:val="28"/>
          <w:szCs w:val="28"/>
        </w:rPr>
        <w:t xml:space="preserve"> выявлению налоговых правонарушений, взысканию задолженности по платежам в бюджет города, в том числе посредством деятельности комиссии по мобилизации дополнительных доходов в местный бюджет</w:t>
      </w:r>
      <w:r w:rsidR="00A2522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92136" w:rsidRPr="00492136" w:rsidRDefault="00BC17DF" w:rsidP="00A12DA9">
      <w:pPr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B7939">
        <w:rPr>
          <w:rFonts w:ascii="Times New Roman" w:hAnsi="Times New Roman" w:cs="Times New Roman"/>
          <w:color w:val="000000"/>
          <w:sz w:val="28"/>
          <w:szCs w:val="28"/>
        </w:rPr>
        <w:t>В отчетном периоде б</w:t>
      </w:r>
      <w:r w:rsidR="00A25224" w:rsidRPr="003B7939">
        <w:rPr>
          <w:rFonts w:ascii="Times New Roman" w:hAnsi="Times New Roman" w:cs="Times New Roman"/>
          <w:color w:val="000000"/>
          <w:sz w:val="28"/>
          <w:szCs w:val="28"/>
        </w:rPr>
        <w:t xml:space="preserve">ыло </w:t>
      </w:r>
      <w:r w:rsidR="00A25224" w:rsidRPr="003B79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проведено 6 заседаний </w:t>
      </w:r>
      <w:r w:rsidR="00A25224" w:rsidRPr="003B793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мобилизации дополнительных доходов в бюджет </w:t>
      </w:r>
      <w:r w:rsidR="00A25224" w:rsidRPr="003B7939">
        <w:rPr>
          <w:rFonts w:ascii="Times New Roman" w:eastAsia="Calibri" w:hAnsi="Times New Roman" w:cs="Times New Roman"/>
          <w:sz w:val="28"/>
          <w:szCs w:val="28"/>
          <w:lang w:eastAsia="ar-SA"/>
        </w:rPr>
        <w:t>с приглашением более 350 налогоплательщиков, имеющих задолженность</w:t>
      </w:r>
      <w:r w:rsidR="00A25224" w:rsidRPr="003B7939">
        <w:rPr>
          <w:rFonts w:ascii="Times New Roman" w:hAnsi="Times New Roman" w:cs="Times New Roman"/>
          <w:sz w:val="28"/>
          <w:szCs w:val="28"/>
        </w:rPr>
        <w:t>.</w:t>
      </w:r>
      <w:r w:rsidR="00A25224" w:rsidRPr="003B79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результате такой адресной работы дополнительные поступления налогов составили 108 млн. рублей.</w:t>
      </w:r>
      <w:r w:rsidR="00A25224" w:rsidRPr="003B793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Реализацию мероприятий по мобилизации доходов необходимо продолжать и далее</w:t>
      </w:r>
      <w:r w:rsidR="00492136" w:rsidRPr="00492136">
        <w:rPr>
          <w:rFonts w:ascii="Times New Roman" w:hAnsi="Times New Roman" w:cs="Times New Roman"/>
          <w:sz w:val="28"/>
          <w:szCs w:val="28"/>
        </w:rPr>
        <w:t>;</w:t>
      </w:r>
      <w:r w:rsidR="00492136" w:rsidRPr="00492136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81066C" w:rsidRPr="005A0FA4" w:rsidRDefault="00F07F19" w:rsidP="005A0FA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A0FA4"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="001D054F" w:rsidRPr="005A0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</w:t>
      </w:r>
      <w:r w:rsidR="00492136" w:rsidRPr="005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оптимизации налоговых льгот на основе анализа их эффективности. </w:t>
      </w:r>
    </w:p>
    <w:p w:rsidR="009042EF" w:rsidRPr="00C05BE7" w:rsidRDefault="00492136" w:rsidP="0081066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5B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5BE7">
        <w:rPr>
          <w:rFonts w:ascii="Times New Roman" w:eastAsia="Times New Roman" w:hAnsi="Times New Roman" w:cs="Arial"/>
          <w:sz w:val="28"/>
          <w:szCs w:val="28"/>
          <w:lang w:eastAsia="ru-RU"/>
        </w:rPr>
        <w:t>о избежание роста выпадающих доходов бюджета города налоговая политика в плановом периоде будет предусматривать ограничение предоставления новых налоговых льгот</w:t>
      </w:r>
      <w:r w:rsidR="009042EF" w:rsidRPr="00C05BE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4E0DD1" w:rsidRDefault="004E0DD1" w:rsidP="005A0FA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налоговой базы и проведению анализа поступлений местных налогов по установленным ставкам с целью формирования предложений по их уточнению.</w:t>
      </w:r>
      <w:r>
        <w:rPr>
          <w:rFonts w:ascii="equiplight" w:hAnsi="equiplight"/>
          <w:color w:val="555555"/>
        </w:rPr>
        <w:t xml:space="preserve"> </w:t>
      </w:r>
    </w:p>
    <w:p w:rsidR="00492136" w:rsidRPr="009042EF" w:rsidRDefault="009042EF" w:rsidP="00704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95693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задачи по наращиванию доходного потенциала для подготовки предложений по изменению ставок местных налогов </w:t>
      </w:r>
      <w:r w:rsidRPr="0059569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от 18.07.2017 № 1241 </w:t>
      </w:r>
      <w:r w:rsidRPr="00595693">
        <w:rPr>
          <w:rFonts w:ascii="Times New Roman" w:eastAsia="Calibri" w:hAnsi="Times New Roman" w:cs="Times New Roman"/>
          <w:sz w:val="28"/>
          <w:szCs w:val="28"/>
        </w:rPr>
        <w:t>создана рабочая группа из числа специалистов Администрации города, Думы города, налогового органа.</w:t>
      </w:r>
      <w:bookmarkEnd w:id="0"/>
      <w:r w:rsidRPr="00595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5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будет продолжена работа формировани</w:t>
      </w:r>
      <w:r w:rsidR="003A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предложений </w:t>
      </w:r>
      <w:r w:rsidR="00704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уточнению ставок, установленных по местным налогам</w:t>
      </w:r>
      <w:r w:rsidR="00492136" w:rsidRPr="00492136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492136" w:rsidRDefault="005A0FA4" w:rsidP="001D0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="00492136" w:rsidRPr="0049213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по снижению неформальной занятости, легализации заработной платы, повышению собираемости страховых взносов во внебюджетные фонды. </w:t>
      </w:r>
    </w:p>
    <w:p w:rsidR="003B7939" w:rsidRDefault="003B7939" w:rsidP="003B79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Следует продолжать деятельность р</w:t>
      </w:r>
      <w:r w:rsidRPr="003B793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абочей групп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3B793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 выявлению и снижению неформальной занятости, легализации «серой» заработной платы, повышению собираемости страховых взносов во внебюджетные фонды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3B7939" w:rsidRPr="003B7939" w:rsidRDefault="003B7939" w:rsidP="003B79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Так, в отчетном периоде</w:t>
      </w:r>
      <w:r w:rsidRPr="003B793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было проведено 4 заседания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рабочей группы</w:t>
      </w:r>
      <w:r w:rsidRPr="003B793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на которых рассмотрены нарушения, выявленные у 26 работодателей. По результатам проведённых контрольно-надзорных мероприятий легализовано 2503 трудовых договоров.</w:t>
      </w:r>
    </w:p>
    <w:p w:rsidR="00492136" w:rsidRPr="00866AF4" w:rsidRDefault="005A0FA4" w:rsidP="0086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6</w:t>
      </w:r>
      <w:r w:rsidR="00F07F19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 w:rsidR="00492136" w:rsidRPr="00F07F19">
        <w:rPr>
          <w:rFonts w:ascii="Times New Roman" w:eastAsia="TimesNewRomanPSMT" w:hAnsi="Times New Roman" w:cs="Times New Roman"/>
          <w:sz w:val="28"/>
          <w:szCs w:val="28"/>
        </w:rPr>
        <w:t>по совершенствованию методик прогнозирования неналоговых доходов</w:t>
      </w:r>
      <w:r w:rsidR="00866AF4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866AF4" w:rsidRPr="00866A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AF4">
        <w:rPr>
          <w:rFonts w:ascii="Times New Roman" w:hAnsi="Times New Roman" w:cs="Times New Roman"/>
          <w:sz w:val="28"/>
          <w:szCs w:val="28"/>
          <w:lang w:eastAsia="ar-SA"/>
        </w:rPr>
        <w:t xml:space="preserve">Задача </w:t>
      </w:r>
      <w:r w:rsidR="00866AF4" w:rsidRPr="00492136">
        <w:rPr>
          <w:rFonts w:ascii="Times New Roman" w:hAnsi="Times New Roman" w:cs="Times New Roman"/>
          <w:sz w:val="28"/>
          <w:szCs w:val="28"/>
          <w:lang w:eastAsia="ar-SA"/>
        </w:rPr>
        <w:t xml:space="preserve">повышения качества планирования доходов бюджета </w:t>
      </w:r>
      <w:r w:rsidR="00866AF4">
        <w:rPr>
          <w:rFonts w:ascii="Times New Roman" w:hAnsi="Times New Roman" w:cs="Times New Roman"/>
          <w:sz w:val="28"/>
          <w:szCs w:val="28"/>
          <w:lang w:eastAsia="ar-SA"/>
        </w:rPr>
        <w:t>в 2016 году решалась путем</w:t>
      </w:r>
      <w:r w:rsidR="00866AF4" w:rsidRPr="00492136">
        <w:rPr>
          <w:rFonts w:ascii="Times New Roman" w:hAnsi="Times New Roman" w:cs="Times New Roman"/>
          <w:sz w:val="28"/>
          <w:szCs w:val="28"/>
          <w:lang w:eastAsia="ar-SA"/>
        </w:rPr>
        <w:t xml:space="preserve"> разработ</w:t>
      </w:r>
      <w:r w:rsidR="00866AF4">
        <w:rPr>
          <w:rFonts w:ascii="Times New Roman" w:hAnsi="Times New Roman" w:cs="Times New Roman"/>
          <w:sz w:val="28"/>
          <w:szCs w:val="28"/>
          <w:lang w:eastAsia="ar-SA"/>
        </w:rPr>
        <w:t xml:space="preserve">ки </w:t>
      </w:r>
      <w:r w:rsidR="00866AF4" w:rsidRPr="00492136">
        <w:rPr>
          <w:rFonts w:ascii="Times New Roman" w:hAnsi="Times New Roman" w:cs="Times New Roman"/>
          <w:sz w:val="28"/>
          <w:szCs w:val="28"/>
          <w:lang w:eastAsia="ar-SA"/>
        </w:rPr>
        <w:t>главными администраторами методик прогнозирования.</w:t>
      </w:r>
      <w:r w:rsidR="00866A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AF4">
        <w:rPr>
          <w:rFonts w:ascii="Times New Roman" w:eastAsia="TimesNewRomanPSMT" w:hAnsi="Times New Roman" w:cs="Times New Roman"/>
          <w:sz w:val="28"/>
          <w:szCs w:val="28"/>
        </w:rPr>
        <w:t>В плановом периоде необходима их корректировка с учетом наработанной практики применения</w:t>
      </w:r>
      <w:r w:rsidR="00492136" w:rsidRPr="00F07F19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92136" w:rsidRPr="00492136" w:rsidRDefault="005A0FA4" w:rsidP="004921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255D">
        <w:rPr>
          <w:rFonts w:ascii="Times New Roman" w:hAnsi="Times New Roman" w:cs="Times New Roman"/>
          <w:sz w:val="28"/>
          <w:szCs w:val="28"/>
        </w:rPr>
        <w:t xml:space="preserve">) 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по проведению анализа возможностей увеличения поступлений доходов от использования муниципального имущества </w:t>
      </w:r>
      <w:r w:rsidR="00047912">
        <w:rPr>
          <w:rFonts w:ascii="Times New Roman" w:hAnsi="Times New Roman" w:cs="Times New Roman"/>
          <w:sz w:val="28"/>
          <w:szCs w:val="28"/>
        </w:rPr>
        <w:t>путем проведения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инвентаризации имущества, выявлени</w:t>
      </w:r>
      <w:r w:rsidR="00047912">
        <w:rPr>
          <w:rFonts w:ascii="Times New Roman" w:hAnsi="Times New Roman" w:cs="Times New Roman"/>
          <w:sz w:val="28"/>
          <w:szCs w:val="28"/>
        </w:rPr>
        <w:t>я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неиспользованного (бесхозного) имущества и установлени</w:t>
      </w:r>
      <w:r w:rsidR="00047912">
        <w:rPr>
          <w:rFonts w:ascii="Times New Roman" w:hAnsi="Times New Roman" w:cs="Times New Roman"/>
          <w:sz w:val="28"/>
          <w:szCs w:val="28"/>
        </w:rPr>
        <w:t>я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мер по перепрофилированию, продаже или предоставлению в аренду, проведени</w:t>
      </w:r>
      <w:r w:rsidR="00047912">
        <w:rPr>
          <w:rFonts w:ascii="Times New Roman" w:hAnsi="Times New Roman" w:cs="Times New Roman"/>
          <w:sz w:val="28"/>
          <w:szCs w:val="28"/>
        </w:rPr>
        <w:t>я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контроля; </w:t>
      </w:r>
    </w:p>
    <w:p w:rsidR="004422E5" w:rsidRDefault="005A0FA4" w:rsidP="00753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3439">
        <w:rPr>
          <w:rFonts w:ascii="Times New Roman" w:hAnsi="Times New Roman" w:cs="Times New Roman"/>
          <w:sz w:val="28"/>
          <w:szCs w:val="28"/>
        </w:rPr>
        <w:t>) по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</w:t>
      </w:r>
      <w:r w:rsidR="0067699E">
        <w:rPr>
          <w:rFonts w:ascii="Times New Roman" w:hAnsi="Times New Roman" w:cs="Times New Roman"/>
          <w:sz w:val="28"/>
          <w:szCs w:val="28"/>
        </w:rPr>
        <w:t>снижению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дебиторской задолженности по доходам бюджета города</w:t>
      </w:r>
      <w:r w:rsidR="004422E5">
        <w:rPr>
          <w:rFonts w:ascii="Times New Roman" w:hAnsi="Times New Roman" w:cs="Times New Roman"/>
          <w:sz w:val="28"/>
          <w:szCs w:val="28"/>
        </w:rPr>
        <w:t>.</w:t>
      </w:r>
    </w:p>
    <w:p w:rsidR="00492136" w:rsidRPr="003010B9" w:rsidRDefault="00C827D9" w:rsidP="00ED3170">
      <w:pPr>
        <w:tabs>
          <w:tab w:val="left" w:pos="567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422E5" w:rsidRPr="00C827D9">
        <w:rPr>
          <w:rFonts w:ascii="Times New Roman" w:hAnsi="Times New Roman" w:cs="Times New Roman"/>
          <w:color w:val="000000"/>
          <w:sz w:val="28"/>
          <w:szCs w:val="28"/>
        </w:rPr>
        <w:t>В рамках деятельности рабочих групп по контролю за поступлением арендных платежей</w:t>
      </w:r>
      <w:r w:rsidR="004422E5" w:rsidRPr="00C82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22E5" w:rsidRPr="00C827D9">
        <w:rPr>
          <w:rFonts w:ascii="Times New Roman" w:hAnsi="Times New Roman" w:cs="Times New Roman"/>
          <w:color w:val="000000"/>
          <w:sz w:val="28"/>
          <w:szCs w:val="28"/>
        </w:rPr>
        <w:t>адресная работа с должниками</w:t>
      </w:r>
      <w:r w:rsidR="00EC4C20">
        <w:rPr>
          <w:rFonts w:ascii="Times New Roman" w:hAnsi="Times New Roman" w:cs="Times New Roman"/>
          <w:color w:val="000000"/>
          <w:sz w:val="28"/>
          <w:szCs w:val="28"/>
        </w:rPr>
        <w:t xml:space="preserve"> ведется системно</w:t>
      </w:r>
      <w:r w:rsidR="004422E5" w:rsidRPr="00C827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422E5" w:rsidRPr="00C827D9">
        <w:rPr>
          <w:rFonts w:ascii="Times New Roman" w:hAnsi="Times New Roman"/>
          <w:color w:val="000000"/>
          <w:sz w:val="28"/>
          <w:szCs w:val="28"/>
        </w:rPr>
        <w:t xml:space="preserve">За отчетный период было проведено 26 заседаний, приглашено более 360 арендаторов для заслушивания их по фактам имеющейся задолженности. </w:t>
      </w:r>
      <w:r w:rsidR="004422E5" w:rsidRPr="00C827D9">
        <w:rPr>
          <w:rFonts w:ascii="Times New Roman" w:hAnsi="Times New Roman" w:cs="Times New Roman"/>
          <w:sz w:val="28"/>
          <w:szCs w:val="28"/>
        </w:rPr>
        <w:t xml:space="preserve">Направлено порядка 3 тысяч претензий. </w:t>
      </w:r>
      <w:r w:rsidR="004422E5" w:rsidRPr="00C827D9">
        <w:rPr>
          <w:rFonts w:ascii="Times New Roman" w:eastAsia="Calibri" w:hAnsi="Times New Roman" w:cs="Times New Roman"/>
          <w:color w:val="000000"/>
          <w:sz w:val="28"/>
          <w:szCs w:val="28"/>
        </w:rPr>
        <w:t>В целях понуждения к оплате, информация о крупных должниках по арендной плате публиковалась в СМИ и на официальном портале Администрации города.</w:t>
      </w:r>
      <w:r w:rsidR="00EC4C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422E5" w:rsidRPr="00D4599A">
        <w:rPr>
          <w:rFonts w:ascii="Times New Roman" w:hAnsi="Times New Roman" w:cs="Times New Roman"/>
          <w:sz w:val="28"/>
          <w:szCs w:val="28"/>
        </w:rPr>
        <w:t>Эффект от мероприятий</w:t>
      </w:r>
      <w:r w:rsidR="004422E5" w:rsidRPr="00D4599A">
        <w:rPr>
          <w:rFonts w:ascii="Times New Roman" w:hAnsi="Times New Roman" w:cs="Times New Roman"/>
          <w:snapToGrid w:val="0"/>
          <w:sz w:val="28"/>
          <w:szCs w:val="28"/>
        </w:rPr>
        <w:t xml:space="preserve"> по снижению дебиторской задолженности составил 136 млн. рублей</w:t>
      </w:r>
      <w:r w:rsidR="00D4599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F9068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010B9" w:rsidRPr="00C82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деятельность должна </w:t>
      </w:r>
      <w:r w:rsidR="00877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продолжаться и </w:t>
      </w:r>
      <w:r w:rsidR="00301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находиться на постоянном контроле;</w:t>
      </w:r>
    </w:p>
    <w:p w:rsidR="00492136" w:rsidRPr="00492136" w:rsidRDefault="005A0FA4" w:rsidP="004921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) </w:t>
      </w:r>
      <w:r w:rsidR="0067699E">
        <w:rPr>
          <w:rFonts w:ascii="Times New Roman" w:hAnsi="Times New Roman" w:cs="Times New Roman"/>
          <w:sz w:val="28"/>
          <w:szCs w:val="28"/>
        </w:rPr>
        <w:t>по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67699E">
        <w:rPr>
          <w:rFonts w:ascii="Times New Roman" w:hAnsi="Times New Roman" w:cs="Times New Roman"/>
          <w:sz w:val="28"/>
          <w:szCs w:val="28"/>
        </w:rPr>
        <w:t>ю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сведений, необходимых для формирования перечня и реестра источников доходов бюджета города в информационных системах управления общественными финансами «Электронный бюджет» и муниципальными финансами;</w:t>
      </w:r>
    </w:p>
    <w:p w:rsidR="00492136" w:rsidRPr="00492136" w:rsidRDefault="005A0FA4" w:rsidP="0049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) </w:t>
      </w:r>
      <w:r w:rsidR="0067699E">
        <w:rPr>
          <w:rFonts w:ascii="Times New Roman" w:hAnsi="Times New Roman" w:cs="Times New Roman"/>
          <w:sz w:val="28"/>
          <w:szCs w:val="28"/>
        </w:rPr>
        <w:t xml:space="preserve">по </w:t>
      </w:r>
      <w:r w:rsidR="00492136" w:rsidRPr="00492136">
        <w:rPr>
          <w:rFonts w:ascii="Times New Roman" w:hAnsi="Times New Roman" w:cs="Times New Roman"/>
          <w:sz w:val="28"/>
          <w:szCs w:val="28"/>
        </w:rPr>
        <w:t>обеспеч</w:t>
      </w:r>
      <w:r w:rsidR="0067699E">
        <w:rPr>
          <w:rFonts w:ascii="Times New Roman" w:hAnsi="Times New Roman" w:cs="Times New Roman"/>
          <w:sz w:val="28"/>
          <w:szCs w:val="28"/>
        </w:rPr>
        <w:t>ению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качественно</w:t>
      </w:r>
      <w:r w:rsidR="0067699E">
        <w:rPr>
          <w:rFonts w:ascii="Times New Roman" w:hAnsi="Times New Roman" w:cs="Times New Roman"/>
          <w:sz w:val="28"/>
          <w:szCs w:val="28"/>
        </w:rPr>
        <w:t>го администрирования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доходов бюджета города </w:t>
      </w:r>
      <w:r w:rsidR="0067699E">
        <w:rPr>
          <w:rFonts w:ascii="Times New Roman" w:hAnsi="Times New Roman" w:cs="Times New Roman"/>
          <w:sz w:val="28"/>
          <w:szCs w:val="28"/>
        </w:rPr>
        <w:t>путем проведения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мониторинга качества финансового менеджмента, осуществляемого главными администраторами доходов бюджета.</w:t>
      </w:r>
    </w:p>
    <w:p w:rsidR="00492136" w:rsidRPr="00492136" w:rsidRDefault="00492136" w:rsidP="0049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FAC">
        <w:rPr>
          <w:rFonts w:ascii="Times New Roman" w:eastAsia="Calibri" w:hAnsi="Times New Roman" w:cs="Times New Roman"/>
          <w:sz w:val="28"/>
          <w:szCs w:val="28"/>
        </w:rPr>
        <w:t xml:space="preserve">В сфере финансирования </w:t>
      </w:r>
      <w:r w:rsidRPr="00492136">
        <w:rPr>
          <w:rFonts w:ascii="Times New Roman" w:eastAsia="Calibri" w:hAnsi="Times New Roman" w:cs="Times New Roman"/>
          <w:sz w:val="28"/>
          <w:szCs w:val="28"/>
          <w:u w:val="single"/>
        </w:rPr>
        <w:t>дефицита бюджета</w:t>
      </w:r>
      <w:r w:rsidRPr="00492136">
        <w:rPr>
          <w:rFonts w:ascii="Times New Roman" w:eastAsia="Calibri" w:hAnsi="Times New Roman" w:cs="Times New Roman"/>
          <w:sz w:val="28"/>
          <w:szCs w:val="28"/>
        </w:rPr>
        <w:t xml:space="preserve"> основными задачами традиционно будет являться обеспечение сбалансированности бюджета при сохранении обоснованного уровня долговой нагрузки и </w:t>
      </w:r>
      <w:r w:rsidRPr="00492136">
        <w:rPr>
          <w:rFonts w:ascii="Times New Roman" w:hAnsi="Times New Roman" w:cs="Times New Roman"/>
          <w:sz w:val="28"/>
          <w:szCs w:val="28"/>
        </w:rPr>
        <w:t>безусловного обеспечения принятых городом долговых обязательств.</w:t>
      </w:r>
    </w:p>
    <w:p w:rsidR="00B11B41" w:rsidRPr="00492136" w:rsidRDefault="00B11B41" w:rsidP="00B11B4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3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дефицита в планируемом периоде выступят средства от возврата </w:t>
      </w:r>
      <w:r>
        <w:rPr>
          <w:rFonts w:ascii="Times New Roman" w:hAnsi="Times New Roman" w:cs="Times New Roman"/>
          <w:sz w:val="28"/>
          <w:szCs w:val="28"/>
        </w:rPr>
        <w:t xml:space="preserve">ранее предоставленных </w:t>
      </w:r>
      <w:r w:rsidRPr="00492136">
        <w:rPr>
          <w:rFonts w:ascii="Times New Roman" w:hAnsi="Times New Roman" w:cs="Times New Roman"/>
          <w:sz w:val="28"/>
          <w:szCs w:val="28"/>
        </w:rPr>
        <w:t>бюджетных кредитов и средства от продажи акций, находящихся в муниципальной собственности, в том числе акци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2136">
        <w:rPr>
          <w:rFonts w:ascii="Times New Roman" w:hAnsi="Times New Roman" w:cs="Times New Roman"/>
          <w:sz w:val="28"/>
          <w:szCs w:val="28"/>
        </w:rPr>
        <w:t xml:space="preserve"> ОАО «Сургутнефтегаз». </w:t>
      </w:r>
    </w:p>
    <w:p w:rsidR="00492136" w:rsidRPr="00492136" w:rsidRDefault="00CE4FAC" w:rsidP="0049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продолж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снижения уровня процентных ставок по действующим </w:t>
      </w:r>
      <w:r>
        <w:rPr>
          <w:rFonts w:ascii="Times New Roman" w:hAnsi="Times New Roman" w:cs="Times New Roman"/>
          <w:sz w:val="28"/>
          <w:szCs w:val="28"/>
        </w:rPr>
        <w:t>обязательствам</w:t>
      </w:r>
      <w:r w:rsidR="001E332B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1" w:name="sub_323"/>
      <w:r w:rsidR="00492136" w:rsidRPr="00492136">
        <w:rPr>
          <w:rFonts w:ascii="Times New Roman" w:hAnsi="Times New Roman" w:cs="Times New Roman"/>
          <w:sz w:val="28"/>
          <w:szCs w:val="28"/>
        </w:rPr>
        <w:t>планирования кредит</w:t>
      </w:r>
      <w:r w:rsidR="001E332B">
        <w:rPr>
          <w:rFonts w:ascii="Times New Roman" w:hAnsi="Times New Roman" w:cs="Times New Roman"/>
          <w:sz w:val="28"/>
          <w:szCs w:val="28"/>
        </w:rPr>
        <w:t>ных ресурсов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на возможное исполнение обязательств по муниципальной гарантии</w:t>
      </w:r>
      <w:r w:rsidR="001E332B">
        <w:rPr>
          <w:rFonts w:ascii="Times New Roman" w:hAnsi="Times New Roman" w:cs="Times New Roman"/>
          <w:sz w:val="28"/>
          <w:szCs w:val="28"/>
        </w:rPr>
        <w:t>,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</w:t>
      </w:r>
      <w:r w:rsidR="001E332B">
        <w:rPr>
          <w:rFonts w:ascii="Times New Roman" w:hAnsi="Times New Roman" w:cs="Times New Roman"/>
          <w:sz w:val="28"/>
          <w:szCs w:val="28"/>
        </w:rPr>
        <w:t>являющи</w:t>
      </w:r>
      <w:r w:rsidR="00CC0D07">
        <w:rPr>
          <w:rFonts w:ascii="Times New Roman" w:hAnsi="Times New Roman" w:cs="Times New Roman"/>
          <w:sz w:val="28"/>
          <w:szCs w:val="28"/>
        </w:rPr>
        <w:t>х</w:t>
      </w:r>
      <w:r w:rsidR="001E332B">
        <w:rPr>
          <w:rFonts w:ascii="Times New Roman" w:hAnsi="Times New Roman" w:cs="Times New Roman"/>
          <w:sz w:val="28"/>
          <w:szCs w:val="28"/>
        </w:rPr>
        <w:t>ся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условны</w:t>
      </w:r>
      <w:r w:rsidR="001E332B">
        <w:rPr>
          <w:rFonts w:ascii="Times New Roman" w:hAnsi="Times New Roman" w:cs="Times New Roman"/>
          <w:sz w:val="28"/>
          <w:szCs w:val="28"/>
        </w:rPr>
        <w:t>ми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 w:rsidR="001E332B">
        <w:rPr>
          <w:rFonts w:ascii="Times New Roman" w:hAnsi="Times New Roman" w:cs="Times New Roman"/>
          <w:sz w:val="28"/>
          <w:szCs w:val="28"/>
        </w:rPr>
        <w:t>ми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города. </w:t>
      </w:r>
    </w:p>
    <w:p w:rsidR="003E791A" w:rsidRDefault="003E791A" w:rsidP="0049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</w:t>
      </w:r>
      <w:r w:rsidR="00492136" w:rsidRPr="00492136">
        <w:rPr>
          <w:rFonts w:ascii="Times New Roman" w:hAnsi="Times New Roman"/>
          <w:sz w:val="28"/>
        </w:rPr>
        <w:t>финансового обеспечения расходов по оплате приобретени</w:t>
      </w:r>
      <w:r>
        <w:rPr>
          <w:rFonts w:ascii="Times New Roman" w:hAnsi="Times New Roman"/>
          <w:sz w:val="28"/>
        </w:rPr>
        <w:t>я</w:t>
      </w:r>
      <w:r w:rsidR="00492136" w:rsidRPr="00492136">
        <w:rPr>
          <w:rFonts w:ascii="Times New Roman" w:hAnsi="Times New Roman"/>
          <w:sz w:val="28"/>
        </w:rPr>
        <w:t xml:space="preserve"> </w:t>
      </w:r>
      <w:r w:rsidR="00492136" w:rsidRPr="00492136">
        <w:rPr>
          <w:rFonts w:ascii="Times New Roman" w:hAnsi="Times New Roman"/>
          <w:sz w:val="28"/>
          <w:szCs w:val="28"/>
        </w:rPr>
        <w:t>объекта дополнительного образования «Детский технопарк «</w:t>
      </w:r>
      <w:proofErr w:type="spellStart"/>
      <w:r w:rsidR="00492136" w:rsidRPr="00492136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492136" w:rsidRPr="004921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2018 году</w:t>
      </w:r>
      <w:r w:rsidR="00492136" w:rsidRPr="004921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планируется привлечение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в объеме 210,7 млн. рублей </w:t>
      </w:r>
      <w:r w:rsidR="00D0777C">
        <w:rPr>
          <w:rFonts w:ascii="Times New Roman" w:hAnsi="Times New Roman" w:cs="Times New Roman"/>
          <w:sz w:val="28"/>
          <w:szCs w:val="28"/>
        </w:rPr>
        <w:t xml:space="preserve">с </w:t>
      </w:r>
      <w:r w:rsidR="008708B5">
        <w:rPr>
          <w:rFonts w:ascii="Times New Roman" w:hAnsi="Times New Roman" w:cs="Times New Roman"/>
          <w:sz w:val="28"/>
          <w:szCs w:val="28"/>
        </w:rPr>
        <w:t xml:space="preserve">заблаговременным </w:t>
      </w:r>
      <w:r w:rsidR="00D0777C">
        <w:rPr>
          <w:rFonts w:ascii="Times New Roman" w:hAnsi="Times New Roman" w:cs="Times New Roman"/>
          <w:sz w:val="28"/>
          <w:szCs w:val="28"/>
        </w:rPr>
        <w:t>проведением</w:t>
      </w:r>
      <w:r>
        <w:rPr>
          <w:rFonts w:ascii="Times New Roman" w:hAnsi="Times New Roman" w:cs="Times New Roman"/>
          <w:sz w:val="28"/>
          <w:szCs w:val="28"/>
        </w:rPr>
        <w:t xml:space="preserve"> конкурсны</w:t>
      </w:r>
      <w:r w:rsidR="00D0777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процедур в текущем году. </w:t>
      </w:r>
      <w:bookmarkEnd w:id="1"/>
    </w:p>
    <w:p w:rsidR="00365D4C" w:rsidRPr="00492136" w:rsidRDefault="00365D4C" w:rsidP="0036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492136">
        <w:rPr>
          <w:rFonts w:ascii="Times New Roman" w:hAnsi="Times New Roman" w:cs="Times New Roman"/>
          <w:sz w:val="28"/>
          <w:szCs w:val="28"/>
        </w:rPr>
        <w:t xml:space="preserve"> развития города</w:t>
      </w:r>
      <w:r>
        <w:rPr>
          <w:rFonts w:ascii="Times New Roman" w:hAnsi="Times New Roman" w:cs="Times New Roman"/>
          <w:sz w:val="28"/>
          <w:szCs w:val="28"/>
        </w:rPr>
        <w:t xml:space="preserve"> в условиях</w:t>
      </w:r>
      <w:r w:rsidRPr="00492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замедления темпов роста</w:t>
      </w:r>
      <w:r w:rsidRPr="00492136">
        <w:rPr>
          <w:rFonts w:ascii="Times New Roman" w:hAnsi="Times New Roman" w:cs="Times New Roman"/>
          <w:sz w:val="28"/>
          <w:szCs w:val="28"/>
        </w:rPr>
        <w:t xml:space="preserve"> поступлений доходов бюджета, 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2136">
        <w:rPr>
          <w:rFonts w:ascii="Times New Roman" w:hAnsi="Times New Roman" w:cs="Times New Roman"/>
          <w:sz w:val="28"/>
          <w:szCs w:val="28"/>
        </w:rPr>
        <w:t xml:space="preserve"> расходов на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Pr="00492136">
        <w:rPr>
          <w:rFonts w:ascii="Times New Roman" w:hAnsi="Times New Roman" w:cs="Times New Roman"/>
          <w:sz w:val="28"/>
          <w:szCs w:val="28"/>
        </w:rPr>
        <w:t xml:space="preserve"> сети </w:t>
      </w:r>
      <w:r>
        <w:rPr>
          <w:rFonts w:ascii="Times New Roman" w:hAnsi="Times New Roman" w:cs="Times New Roman"/>
          <w:sz w:val="28"/>
          <w:szCs w:val="28"/>
        </w:rPr>
        <w:t xml:space="preserve">обуславливают необходимость обеспечения инвестиционной составляющей путем осуществления новых заимствований. Вероятность </w:t>
      </w:r>
      <w:r w:rsidRPr="00492136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>
        <w:rPr>
          <w:rFonts w:ascii="Times New Roman" w:hAnsi="Times New Roman" w:cs="Times New Roman"/>
          <w:sz w:val="28"/>
          <w:szCs w:val="28"/>
        </w:rPr>
        <w:t>дополнительных</w:t>
      </w:r>
      <w:r w:rsidRPr="00492136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ных ресурсов</w:t>
      </w:r>
      <w:r w:rsidR="006074C3">
        <w:rPr>
          <w:rFonts w:ascii="Times New Roman" w:hAnsi="Times New Roman" w:cs="Times New Roman"/>
          <w:sz w:val="28"/>
          <w:szCs w:val="28"/>
        </w:rPr>
        <w:t>, в том числе бюджетного кредита,</w:t>
      </w:r>
      <w:r w:rsidRPr="00492136">
        <w:rPr>
          <w:rFonts w:ascii="Times New Roman" w:hAnsi="Times New Roman" w:cs="Times New Roman"/>
          <w:sz w:val="28"/>
          <w:szCs w:val="28"/>
        </w:rPr>
        <w:t xml:space="preserve"> оценивается как высокая.</w:t>
      </w:r>
    </w:p>
    <w:p w:rsidR="00492136" w:rsidRPr="00492136" w:rsidRDefault="006E3C44" w:rsidP="00AF1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униципалитетом </w:t>
      </w:r>
      <w:r w:rsidR="00293177">
        <w:rPr>
          <w:rFonts w:ascii="Times New Roman" w:hAnsi="Times New Roman" w:cs="Times New Roman"/>
          <w:sz w:val="28"/>
          <w:szCs w:val="28"/>
        </w:rPr>
        <w:t xml:space="preserve">в случае образования кассовых разрывов </w:t>
      </w:r>
      <w:r w:rsidR="00492136" w:rsidRPr="00492136">
        <w:rPr>
          <w:rFonts w:ascii="Times New Roman" w:hAnsi="Times New Roman" w:cs="Times New Roman"/>
          <w:sz w:val="28"/>
          <w:szCs w:val="28"/>
        </w:rPr>
        <w:t>также могут быть использованы краткосрочные инструменты, предусмотренные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492136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492136">
        <w:rPr>
          <w:rFonts w:ascii="Times New Roman" w:hAnsi="Times New Roman" w:cs="Times New Roman"/>
          <w:sz w:val="28"/>
          <w:szCs w:val="28"/>
        </w:rPr>
        <w:t xml:space="preserve"> в пределах одного финансового года</w:t>
      </w:r>
      <w:r w:rsidR="00AF1771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492136" w:rsidRPr="00492136">
        <w:rPr>
          <w:rFonts w:ascii="Times New Roman" w:hAnsi="Times New Roman" w:cs="Times New Roman"/>
          <w:sz w:val="28"/>
          <w:szCs w:val="28"/>
        </w:rPr>
        <w:t>использование на возвратной основе остатков средств на счетах департамента финансов, открытых в учреждениях Центрального банка Российской Федерации для отражения операций со средствами бюджетных и автономных учреждений.</w:t>
      </w:r>
    </w:p>
    <w:p w:rsidR="00492136" w:rsidRPr="00492136" w:rsidRDefault="00492136" w:rsidP="00492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136">
        <w:rPr>
          <w:rFonts w:ascii="Times New Roman" w:hAnsi="Times New Roman"/>
          <w:sz w:val="28"/>
          <w:szCs w:val="28"/>
          <w:lang w:eastAsia="ru-RU"/>
        </w:rPr>
        <w:t xml:space="preserve">Главной целью бюджетной политики </w:t>
      </w:r>
      <w:r w:rsidR="00265A0B">
        <w:rPr>
          <w:rFonts w:ascii="Times New Roman" w:hAnsi="Times New Roman"/>
          <w:sz w:val="28"/>
          <w:szCs w:val="28"/>
          <w:lang w:eastAsia="ru-RU"/>
        </w:rPr>
        <w:t xml:space="preserve">в сфере </w:t>
      </w:r>
      <w:r w:rsidR="00265A0B" w:rsidRPr="00265A0B">
        <w:rPr>
          <w:rFonts w:ascii="Times New Roman" w:hAnsi="Times New Roman"/>
          <w:sz w:val="28"/>
          <w:szCs w:val="28"/>
          <w:u w:val="single"/>
          <w:lang w:eastAsia="ru-RU"/>
        </w:rPr>
        <w:t>расходов бюджета</w:t>
      </w:r>
      <w:r w:rsidR="00265A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2136">
        <w:rPr>
          <w:rFonts w:ascii="Times New Roman" w:hAnsi="Times New Roman"/>
          <w:sz w:val="28"/>
          <w:szCs w:val="28"/>
          <w:lang w:eastAsia="ru-RU"/>
        </w:rPr>
        <w:t xml:space="preserve">в следующем бюджетном цикле остается обеспечение мер, направленных на устойчивое социально-экономическое развитие города, создание благоприятных и комфортных условий для проживания. </w:t>
      </w:r>
    </w:p>
    <w:p w:rsidR="00492136" w:rsidRPr="00492136" w:rsidRDefault="00492136" w:rsidP="00492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136">
        <w:rPr>
          <w:rFonts w:ascii="Times New Roman" w:hAnsi="Times New Roman"/>
          <w:sz w:val="28"/>
          <w:szCs w:val="28"/>
          <w:lang w:eastAsia="ru-RU"/>
        </w:rPr>
        <w:t>Для сохранения достигнутого уровня предоставляемых населению услуг и дальнейшего развития городской среды на фоне негативных проявлений в экономике</w:t>
      </w:r>
      <w:r w:rsidR="001940FB">
        <w:rPr>
          <w:rFonts w:ascii="Times New Roman" w:hAnsi="Times New Roman"/>
          <w:sz w:val="28"/>
          <w:szCs w:val="28"/>
          <w:lang w:eastAsia="ru-RU"/>
        </w:rPr>
        <w:t>,</w:t>
      </w:r>
      <w:r w:rsidRPr="00492136">
        <w:rPr>
          <w:rFonts w:ascii="Times New Roman" w:hAnsi="Times New Roman"/>
          <w:sz w:val="28"/>
          <w:szCs w:val="28"/>
          <w:lang w:eastAsia="ru-RU"/>
        </w:rPr>
        <w:t xml:space="preserve"> снижающихся доходов бюджета и структурного дисбаланса бюджетных расходов, ключевая роль отводится эффективности муниципального управления, ориентированного не только на концентрацию и рациональное использование имеющихся ресурсов, но и на стимулирование экономической активности населения и бизнеса.</w:t>
      </w:r>
    </w:p>
    <w:p w:rsidR="00492136" w:rsidRPr="00492136" w:rsidRDefault="00492136" w:rsidP="0049213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92136">
        <w:rPr>
          <w:rFonts w:ascii="Times New Roman" w:hAnsi="Times New Roman" w:cs="Times New Roman"/>
          <w:sz w:val="28"/>
          <w:szCs w:val="28"/>
        </w:rPr>
        <w:tab/>
        <w:t>В</w:t>
      </w:r>
      <w:r w:rsidR="00C6690B">
        <w:rPr>
          <w:rFonts w:ascii="Times New Roman" w:hAnsi="Times New Roman" w:cs="Times New Roman"/>
          <w:sz w:val="28"/>
          <w:szCs w:val="28"/>
        </w:rPr>
        <w:t>о-</w:t>
      </w:r>
      <w:r w:rsidRPr="00492136">
        <w:rPr>
          <w:rFonts w:ascii="Times New Roman" w:hAnsi="Times New Roman" w:cs="Times New Roman"/>
          <w:sz w:val="28"/>
          <w:szCs w:val="28"/>
        </w:rPr>
        <w:t>перв</w:t>
      </w:r>
      <w:r w:rsidR="00C6690B">
        <w:rPr>
          <w:rFonts w:ascii="Times New Roman" w:hAnsi="Times New Roman" w:cs="Times New Roman"/>
          <w:sz w:val="28"/>
          <w:szCs w:val="28"/>
        </w:rPr>
        <w:t>ых</w:t>
      </w:r>
      <w:r w:rsidRPr="00492136">
        <w:rPr>
          <w:rFonts w:ascii="Times New Roman" w:hAnsi="Times New Roman" w:cs="Times New Roman"/>
          <w:sz w:val="28"/>
          <w:szCs w:val="28"/>
        </w:rPr>
        <w:t xml:space="preserve">, это </w:t>
      </w:r>
      <w:r w:rsidRPr="001940FB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конкуренции </w:t>
      </w:r>
      <w:r w:rsidRPr="001940FB">
        <w:rPr>
          <w:rFonts w:ascii="Times New Roman" w:hAnsi="Times New Roman"/>
          <w:sz w:val="28"/>
          <w:szCs w:val="28"/>
          <w:lang w:eastAsia="ru-RU"/>
        </w:rPr>
        <w:t xml:space="preserve">на рынке социально значимых услуг и расширение </w:t>
      </w:r>
      <w:r w:rsidRPr="001940FB">
        <w:rPr>
          <w:rFonts w:ascii="Times New Roman" w:hAnsi="Times New Roman" w:cs="Times New Roman"/>
          <w:sz w:val="28"/>
          <w:szCs w:val="28"/>
        </w:rPr>
        <w:t>доступа негосударственных организаций к их предоставлению. Эта</w:t>
      </w:r>
      <w:r w:rsidRPr="00492136">
        <w:rPr>
          <w:rFonts w:ascii="Times New Roman" w:hAnsi="Times New Roman" w:cs="Times New Roman"/>
          <w:sz w:val="28"/>
          <w:szCs w:val="28"/>
        </w:rPr>
        <w:t xml:space="preserve"> работа уже начата </w:t>
      </w:r>
      <w:r w:rsidR="001940FB">
        <w:rPr>
          <w:rFonts w:ascii="Times New Roman" w:hAnsi="Times New Roman" w:cs="Times New Roman"/>
          <w:sz w:val="28"/>
          <w:szCs w:val="28"/>
        </w:rPr>
        <w:t>путем составления и</w:t>
      </w:r>
      <w:r w:rsidRPr="00492136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1940FB">
        <w:rPr>
          <w:rFonts w:ascii="Times New Roman" w:hAnsi="Times New Roman" w:cs="Times New Roman"/>
          <w:sz w:val="28"/>
          <w:szCs w:val="28"/>
        </w:rPr>
        <w:t>ации</w:t>
      </w:r>
      <w:r w:rsidRPr="00492136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1940FB">
        <w:rPr>
          <w:rFonts w:ascii="Times New Roman" w:hAnsi="Times New Roman" w:cs="Times New Roman"/>
          <w:sz w:val="28"/>
          <w:szCs w:val="28"/>
        </w:rPr>
        <w:t>ого</w:t>
      </w:r>
      <w:r w:rsidRPr="00492136">
        <w:rPr>
          <w:rFonts w:ascii="Times New Roman" w:hAnsi="Times New Roman" w:cs="Times New Roman"/>
          <w:sz w:val="28"/>
          <w:szCs w:val="28"/>
        </w:rPr>
        <w:t xml:space="preserve"> план</w:t>
      </w:r>
      <w:r w:rsidR="001940FB">
        <w:rPr>
          <w:rFonts w:ascii="Times New Roman" w:hAnsi="Times New Roman" w:cs="Times New Roman"/>
          <w:sz w:val="28"/>
          <w:szCs w:val="28"/>
        </w:rPr>
        <w:t>а</w:t>
      </w:r>
      <w:r w:rsidRPr="00492136">
        <w:rPr>
          <w:rFonts w:ascii="Times New Roman" w:hAnsi="Times New Roman" w:cs="Times New Roman"/>
          <w:sz w:val="28"/>
          <w:szCs w:val="28"/>
        </w:rPr>
        <w:t xml:space="preserve"> («дорожн</w:t>
      </w:r>
      <w:r w:rsidR="001940FB">
        <w:rPr>
          <w:rFonts w:ascii="Times New Roman" w:hAnsi="Times New Roman" w:cs="Times New Roman"/>
          <w:sz w:val="28"/>
          <w:szCs w:val="28"/>
        </w:rPr>
        <w:t>ой</w:t>
      </w:r>
      <w:r w:rsidRPr="00492136">
        <w:rPr>
          <w:rFonts w:ascii="Times New Roman" w:hAnsi="Times New Roman" w:cs="Times New Roman"/>
          <w:sz w:val="28"/>
          <w:szCs w:val="28"/>
        </w:rPr>
        <w:t xml:space="preserve"> карт</w:t>
      </w:r>
      <w:r w:rsidR="001940FB">
        <w:rPr>
          <w:rFonts w:ascii="Times New Roman" w:hAnsi="Times New Roman" w:cs="Times New Roman"/>
          <w:sz w:val="28"/>
          <w:szCs w:val="28"/>
        </w:rPr>
        <w:t>ы</w:t>
      </w:r>
      <w:r w:rsidRPr="00492136">
        <w:rPr>
          <w:rFonts w:ascii="Times New Roman" w:hAnsi="Times New Roman" w:cs="Times New Roman"/>
          <w:sz w:val="28"/>
          <w:szCs w:val="28"/>
        </w:rPr>
        <w:t>»).</w:t>
      </w:r>
    </w:p>
    <w:p w:rsidR="00492136" w:rsidRPr="00492136" w:rsidRDefault="00C6690B" w:rsidP="00492136">
      <w:pPr>
        <w:spacing w:after="0" w:line="240" w:lineRule="auto"/>
        <w:ind w:firstLine="720"/>
        <w:jc w:val="both"/>
        <w:rPr>
          <w:rFonts w:ascii="Times New Roman" w:eastAsia="Times New Roman" w:hAnsi="Times New Roman" w:cs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Verdana"/>
          <w:color w:val="000000"/>
          <w:sz w:val="28"/>
          <w:szCs w:val="28"/>
          <w:lang w:eastAsia="ru-RU"/>
        </w:rPr>
        <w:t>В рамках плана у</w:t>
      </w:r>
      <w:r w:rsidR="00492136" w:rsidRPr="00492136">
        <w:rPr>
          <w:rFonts w:ascii="Times New Roman" w:eastAsia="Times New Roman" w:hAnsi="Times New Roman" w:cs="Verdana"/>
          <w:color w:val="000000"/>
          <w:sz w:val="28"/>
          <w:szCs w:val="28"/>
          <w:lang w:eastAsia="ru-RU"/>
        </w:rPr>
        <w:t xml:space="preserve">тверждены перечни услуг (работ), востребованных населением города, услуг, на получение которых есть спрос, превышающий возможности муниципальных учреждений, для их передачи на исполнение немуниципальным учреждениям, и перечень потенциальных поставщиков таких услуг. Для информационной поддержки поставщиков социальных услуг на официальном портале Администрации города создан специальный раздел. </w:t>
      </w:r>
    </w:p>
    <w:p w:rsidR="00492136" w:rsidRPr="00492136" w:rsidRDefault="00492136" w:rsidP="00492136">
      <w:pPr>
        <w:spacing w:after="0" w:line="240" w:lineRule="auto"/>
        <w:ind w:firstLine="720"/>
        <w:jc w:val="both"/>
        <w:rPr>
          <w:rFonts w:ascii="Times New Roman" w:eastAsia="Times New Roman" w:hAnsi="Times New Roman" w:cs="Verdana"/>
          <w:color w:val="000000"/>
          <w:sz w:val="28"/>
          <w:szCs w:val="28"/>
          <w:lang w:eastAsia="ru-RU"/>
        </w:rPr>
      </w:pPr>
      <w:r w:rsidRPr="00492136">
        <w:rPr>
          <w:rFonts w:ascii="Times New Roman" w:eastAsia="Times New Roman" w:hAnsi="Times New Roman" w:cs="Verdana"/>
          <w:color w:val="000000"/>
          <w:sz w:val="28"/>
          <w:szCs w:val="28"/>
          <w:lang w:eastAsia="ru-RU"/>
        </w:rPr>
        <w:t xml:space="preserve">В текущем финансовом году впервые будут предоставлены субсидии немуниципальным организациям в сфере культуры и спорта для возмещения затрат по оказанию ими муниципальных услуг </w:t>
      </w:r>
      <w:r w:rsidR="006C37AD">
        <w:rPr>
          <w:rFonts w:ascii="Times New Roman" w:eastAsia="Times New Roman" w:hAnsi="Times New Roman" w:cs="Verdana"/>
          <w:color w:val="000000"/>
          <w:sz w:val="28"/>
          <w:szCs w:val="28"/>
          <w:lang w:eastAsia="ru-RU"/>
        </w:rPr>
        <w:t xml:space="preserve">585 </w:t>
      </w:r>
      <w:r w:rsidRPr="00492136">
        <w:rPr>
          <w:rFonts w:ascii="Times New Roman" w:eastAsia="Times New Roman" w:hAnsi="Times New Roman" w:cs="Verdana"/>
          <w:color w:val="000000"/>
          <w:sz w:val="28"/>
          <w:szCs w:val="28"/>
          <w:lang w:eastAsia="ru-RU"/>
        </w:rPr>
        <w:t>получателям. В предстоящем бюджетном цикле объем таких услуг необходимо увеличивать.</w:t>
      </w:r>
    </w:p>
    <w:p w:rsidR="00492136" w:rsidRPr="00492136" w:rsidRDefault="00492136" w:rsidP="004C6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136">
        <w:rPr>
          <w:rFonts w:ascii="Times New Roman" w:hAnsi="Times New Roman"/>
          <w:sz w:val="28"/>
          <w:szCs w:val="28"/>
          <w:lang w:eastAsia="ru-RU"/>
        </w:rPr>
        <w:t>Начиная с 2016 года апробирована модель персонифицированного финансирования дополнительного образования детей путем предоставления именных сертификатов для детей на получение гарантированных бесплатных услуг дополнительного образования</w:t>
      </w:r>
      <w:r w:rsidR="004C6390">
        <w:rPr>
          <w:rFonts w:ascii="Times New Roman" w:hAnsi="Times New Roman"/>
          <w:sz w:val="28"/>
          <w:szCs w:val="28"/>
          <w:lang w:eastAsia="ru-RU"/>
        </w:rPr>
        <w:t xml:space="preserve">, позволяющих </w:t>
      </w:r>
      <w:r w:rsidRPr="00492136">
        <w:rPr>
          <w:rFonts w:ascii="Times New Roman" w:hAnsi="Times New Roman" w:cs="Times New Roman"/>
          <w:sz w:val="28"/>
          <w:szCs w:val="28"/>
        </w:rPr>
        <w:t>детям самостоятельно формировать спрос на дополнительное образование, тем самым стимулируя конкуренцию между муниципальными и немуниципальными организациями за получение средств из бюджета города.</w:t>
      </w:r>
    </w:p>
    <w:p w:rsidR="00492136" w:rsidRPr="00492136" w:rsidRDefault="00492136" w:rsidP="00492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136">
        <w:rPr>
          <w:rFonts w:ascii="Times New Roman" w:hAnsi="Times New Roman"/>
          <w:sz w:val="28"/>
          <w:szCs w:val="28"/>
          <w:lang w:eastAsia="ru-RU"/>
        </w:rPr>
        <w:t>На 2016-2017 учебный год выдано 284 сертификата дополнительного образования. В систему персонифицированного финансирования включены 5 муниципальных учреждений дополнительного образования и 2 негосударственные организации.</w:t>
      </w:r>
    </w:p>
    <w:p w:rsidR="00492136" w:rsidRPr="00492136" w:rsidRDefault="00492136" w:rsidP="0049213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36">
        <w:rPr>
          <w:rFonts w:ascii="Times New Roman" w:hAnsi="Times New Roman" w:cs="Times New Roman"/>
          <w:sz w:val="28"/>
          <w:szCs w:val="28"/>
        </w:rPr>
        <w:t>В предстоящем бюджетном цикле следует расширить сферу внедрения персонифицированного финансирования дополнительного образования детей в городе, включив в нее учреждения культуры и увеличив количество участвующих в ней немуниципальных организаций.</w:t>
      </w:r>
    </w:p>
    <w:p w:rsidR="00492136" w:rsidRPr="00492136" w:rsidRDefault="00492136" w:rsidP="00492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136">
        <w:rPr>
          <w:rFonts w:ascii="Times New Roman" w:hAnsi="Times New Roman"/>
          <w:sz w:val="28"/>
          <w:szCs w:val="28"/>
          <w:lang w:eastAsia="ru-RU"/>
        </w:rPr>
        <w:t>В случае завершения в планируемом периоде на федеральном и региональном уровнях формирования нормативно-правовой базы по обеспечению доступа негосударственных организаций к оказанию услуг наработанную в муниципалитете практику потребуется адаптировать под федеральные требования, и продолжить реализацию мер по совершенствованию конкурентных способов отбора организаций для оказания муниципальных услуг.</w:t>
      </w:r>
    </w:p>
    <w:p w:rsidR="00492136" w:rsidRPr="00492136" w:rsidRDefault="00492136" w:rsidP="00492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136">
        <w:rPr>
          <w:rFonts w:ascii="Times New Roman" w:hAnsi="Times New Roman"/>
          <w:sz w:val="28"/>
          <w:szCs w:val="28"/>
          <w:lang w:eastAsia="ru-RU"/>
        </w:rPr>
        <w:t>На развитие конкуренции и повышение качества предоставляемых услуг направлено и создание сети опорных ресурсных центров, организованных по принципу индустриальных парков (детских технопарков) «</w:t>
      </w:r>
      <w:proofErr w:type="spellStart"/>
      <w:r w:rsidRPr="00492136">
        <w:rPr>
          <w:rFonts w:ascii="Times New Roman" w:hAnsi="Times New Roman"/>
          <w:sz w:val="28"/>
          <w:szCs w:val="28"/>
          <w:lang w:eastAsia="ru-RU"/>
        </w:rPr>
        <w:t>Кванториум</w:t>
      </w:r>
      <w:proofErr w:type="spellEnd"/>
      <w:r w:rsidRPr="00492136">
        <w:rPr>
          <w:rFonts w:ascii="Times New Roman" w:hAnsi="Times New Roman"/>
          <w:sz w:val="28"/>
          <w:szCs w:val="28"/>
          <w:lang w:eastAsia="ru-RU"/>
        </w:rPr>
        <w:t xml:space="preserve">». Первый такой объект будет создан за счет бюджетных средств уже в начале 2018 года, последующие объекты </w:t>
      </w:r>
      <w:r w:rsidR="004338FF">
        <w:rPr>
          <w:rFonts w:ascii="Times New Roman" w:hAnsi="Times New Roman"/>
          <w:sz w:val="28"/>
          <w:szCs w:val="28"/>
          <w:lang w:eastAsia="ru-RU"/>
        </w:rPr>
        <w:t>следует</w:t>
      </w:r>
      <w:r w:rsidR="00BD5E9D">
        <w:rPr>
          <w:rFonts w:ascii="Times New Roman" w:hAnsi="Times New Roman"/>
          <w:sz w:val="28"/>
          <w:szCs w:val="28"/>
          <w:lang w:eastAsia="ru-RU"/>
        </w:rPr>
        <w:t xml:space="preserve"> реализов</w:t>
      </w:r>
      <w:r w:rsidR="004338FF">
        <w:rPr>
          <w:rFonts w:ascii="Times New Roman" w:hAnsi="Times New Roman"/>
          <w:sz w:val="28"/>
          <w:szCs w:val="28"/>
          <w:lang w:eastAsia="ru-RU"/>
        </w:rPr>
        <w:t>ывать</w:t>
      </w:r>
      <w:r w:rsidR="00BD5E9D">
        <w:rPr>
          <w:rFonts w:ascii="Times New Roman" w:hAnsi="Times New Roman"/>
          <w:sz w:val="28"/>
          <w:szCs w:val="28"/>
          <w:lang w:eastAsia="ru-RU"/>
        </w:rPr>
        <w:t xml:space="preserve"> на базе действующих общеобразовательных учреждений, </w:t>
      </w:r>
      <w:r w:rsidR="006970BE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Pr="00492136">
        <w:rPr>
          <w:rFonts w:ascii="Times New Roman" w:hAnsi="Times New Roman"/>
          <w:sz w:val="28"/>
          <w:szCs w:val="28"/>
          <w:lang w:eastAsia="ru-RU"/>
        </w:rPr>
        <w:t xml:space="preserve">на основе </w:t>
      </w:r>
      <w:proofErr w:type="spellStart"/>
      <w:r w:rsidRPr="00492136">
        <w:rPr>
          <w:rFonts w:ascii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492136">
        <w:rPr>
          <w:rFonts w:ascii="Times New Roman" w:hAnsi="Times New Roman"/>
          <w:sz w:val="28"/>
          <w:szCs w:val="28"/>
          <w:lang w:eastAsia="ru-RU"/>
        </w:rPr>
        <w:t>-частного партнерства</w:t>
      </w:r>
      <w:r w:rsidR="00BD5E9D">
        <w:rPr>
          <w:rFonts w:ascii="Times New Roman" w:hAnsi="Times New Roman"/>
          <w:sz w:val="28"/>
          <w:szCs w:val="28"/>
          <w:lang w:eastAsia="ru-RU"/>
        </w:rPr>
        <w:t>.</w:t>
      </w:r>
    </w:p>
    <w:p w:rsidR="00492136" w:rsidRPr="00492136" w:rsidRDefault="00492136" w:rsidP="00492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136">
        <w:rPr>
          <w:rFonts w:ascii="Times New Roman" w:hAnsi="Times New Roman"/>
          <w:sz w:val="28"/>
          <w:szCs w:val="28"/>
          <w:lang w:eastAsia="ru-RU"/>
        </w:rPr>
        <w:t xml:space="preserve">Для сохранения доступности и качества услуг на фоне демографического роста особое внимание необходимо уделить взаимодействию с автономным округом и потенциальными инвесторами по развитию городской инфраструктуры, в частности, созданию новых современных зданий общеобразовательных учреждений, строительству детских садов и прочих социальных и досуговых объектов.  </w:t>
      </w:r>
    </w:p>
    <w:p w:rsidR="00492136" w:rsidRPr="00492136" w:rsidRDefault="00492136" w:rsidP="00074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136">
        <w:rPr>
          <w:rFonts w:ascii="Times New Roman" w:hAnsi="Times New Roman"/>
          <w:sz w:val="28"/>
          <w:szCs w:val="28"/>
          <w:lang w:eastAsia="ru-RU"/>
        </w:rPr>
        <w:t xml:space="preserve">Вторым, не менее значимым направлением деятельности по созданию благоприятных условий для роста экономической активности в муниципальном образовании в планируемом периоде является </w:t>
      </w:r>
      <w:r w:rsidRPr="003A0A8A">
        <w:rPr>
          <w:rFonts w:ascii="Times New Roman" w:hAnsi="Times New Roman"/>
          <w:sz w:val="28"/>
          <w:szCs w:val="28"/>
          <w:lang w:eastAsia="ru-RU"/>
        </w:rPr>
        <w:t xml:space="preserve">улучшение инвестиционного климата. </w:t>
      </w:r>
    </w:p>
    <w:p w:rsidR="00492136" w:rsidRPr="00492136" w:rsidRDefault="00492136" w:rsidP="005979E2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36">
        <w:rPr>
          <w:rFonts w:ascii="Times New Roman" w:hAnsi="Times New Roman"/>
          <w:sz w:val="28"/>
          <w:szCs w:val="28"/>
          <w:lang w:eastAsia="ru-RU"/>
        </w:rPr>
        <w:t>В целях формирования у потенциального инвестора объективного представления об инвестиционной привлекательности муниципального образования</w:t>
      </w:r>
      <w:r w:rsidR="000746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2136">
        <w:rPr>
          <w:rFonts w:ascii="Times New Roman" w:hAnsi="Times New Roman"/>
          <w:sz w:val="28"/>
          <w:szCs w:val="28"/>
          <w:lang w:eastAsia="ru-RU"/>
        </w:rPr>
        <w:t>разработан инвестиционный паспорт Сургут</w:t>
      </w:r>
      <w:r w:rsidR="000746E2">
        <w:rPr>
          <w:rFonts w:ascii="Times New Roman" w:hAnsi="Times New Roman"/>
          <w:sz w:val="28"/>
          <w:szCs w:val="28"/>
          <w:lang w:eastAsia="ru-RU"/>
        </w:rPr>
        <w:t>а</w:t>
      </w:r>
      <w:r w:rsidRPr="00492136">
        <w:rPr>
          <w:rFonts w:ascii="Times New Roman" w:hAnsi="Times New Roman"/>
          <w:sz w:val="28"/>
          <w:szCs w:val="28"/>
          <w:lang w:eastAsia="ru-RU"/>
        </w:rPr>
        <w:t xml:space="preserve">, в ближайшей перспективе планируется </w:t>
      </w:r>
      <w:r w:rsidRPr="00492136">
        <w:rPr>
          <w:rFonts w:ascii="Times New Roman" w:hAnsi="Times New Roman" w:cs="Times New Roman"/>
          <w:sz w:val="28"/>
          <w:szCs w:val="28"/>
        </w:rPr>
        <w:t>создание инвестиционного портала.</w:t>
      </w:r>
    </w:p>
    <w:p w:rsidR="00492136" w:rsidRPr="00492136" w:rsidRDefault="00492136" w:rsidP="005979E2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136">
        <w:rPr>
          <w:rFonts w:ascii="Times New Roman" w:hAnsi="Times New Roman"/>
          <w:sz w:val="28"/>
          <w:szCs w:val="28"/>
          <w:lang w:eastAsia="ru-RU"/>
        </w:rPr>
        <w:t xml:space="preserve">Разработана нормативно-правовая база, регулирующая порядок заключения концессионных соглашений, реализации </w:t>
      </w:r>
      <w:proofErr w:type="spellStart"/>
      <w:r w:rsidRPr="00492136">
        <w:rPr>
          <w:rFonts w:ascii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492136">
        <w:rPr>
          <w:rFonts w:ascii="Times New Roman" w:hAnsi="Times New Roman"/>
          <w:sz w:val="28"/>
          <w:szCs w:val="28"/>
          <w:lang w:eastAsia="ru-RU"/>
        </w:rPr>
        <w:t xml:space="preserve">-частного партнерства. </w:t>
      </w:r>
    </w:p>
    <w:p w:rsidR="00492136" w:rsidRPr="00492136" w:rsidRDefault="00F12855" w:rsidP="005979E2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Необходимо детально подойти к разработке</w:t>
      </w:r>
      <w:r w:rsidR="00492136" w:rsidRPr="00492136">
        <w:rPr>
          <w:rFonts w:ascii="Times New Roman" w:hAnsi="Times New Roman"/>
          <w:sz w:val="28"/>
          <w:szCs w:val="28"/>
          <w:lang w:eastAsia="ru-RU"/>
        </w:rPr>
        <w:t xml:space="preserve"> перечн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492136" w:rsidRPr="00492136">
        <w:rPr>
          <w:rFonts w:ascii="Times New Roman" w:hAnsi="Times New Roman"/>
          <w:sz w:val="28"/>
          <w:szCs w:val="28"/>
          <w:lang w:eastAsia="ru-RU"/>
        </w:rPr>
        <w:t xml:space="preserve"> объектов, в отношении которых планируется заключение концессионных соглашений.</w:t>
      </w:r>
    </w:p>
    <w:p w:rsidR="00492136" w:rsidRPr="00492136" w:rsidRDefault="00492136" w:rsidP="000746E2">
      <w:pPr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136">
        <w:rPr>
          <w:rFonts w:ascii="Times New Roman" w:hAnsi="Times New Roman"/>
          <w:sz w:val="28"/>
          <w:szCs w:val="28"/>
          <w:lang w:eastAsia="ru-RU"/>
        </w:rPr>
        <w:t xml:space="preserve">В 2018 году и плановом периоде существенная роль </w:t>
      </w:r>
      <w:r w:rsidR="005979E2">
        <w:rPr>
          <w:rFonts w:ascii="Times New Roman" w:hAnsi="Times New Roman"/>
          <w:sz w:val="28"/>
          <w:szCs w:val="28"/>
          <w:lang w:eastAsia="ru-RU"/>
        </w:rPr>
        <w:t xml:space="preserve">будет </w:t>
      </w:r>
      <w:r w:rsidRPr="00492136">
        <w:rPr>
          <w:rFonts w:ascii="Times New Roman" w:hAnsi="Times New Roman"/>
          <w:sz w:val="28"/>
          <w:szCs w:val="28"/>
          <w:lang w:eastAsia="ru-RU"/>
        </w:rPr>
        <w:t>отв</w:t>
      </w:r>
      <w:r w:rsidR="005979E2">
        <w:rPr>
          <w:rFonts w:ascii="Times New Roman" w:hAnsi="Times New Roman"/>
          <w:sz w:val="28"/>
          <w:szCs w:val="28"/>
          <w:lang w:eastAsia="ru-RU"/>
        </w:rPr>
        <w:t>е</w:t>
      </w:r>
      <w:r w:rsidRPr="00492136">
        <w:rPr>
          <w:rFonts w:ascii="Times New Roman" w:hAnsi="Times New Roman"/>
          <w:sz w:val="28"/>
          <w:szCs w:val="28"/>
          <w:lang w:eastAsia="ru-RU"/>
        </w:rPr>
        <w:t>д</w:t>
      </w:r>
      <w:r w:rsidR="005979E2">
        <w:rPr>
          <w:rFonts w:ascii="Times New Roman" w:hAnsi="Times New Roman"/>
          <w:sz w:val="28"/>
          <w:szCs w:val="28"/>
          <w:lang w:eastAsia="ru-RU"/>
        </w:rPr>
        <w:t>ена</w:t>
      </w:r>
      <w:r w:rsidRPr="00492136">
        <w:rPr>
          <w:rFonts w:ascii="Times New Roman" w:hAnsi="Times New Roman"/>
          <w:sz w:val="28"/>
          <w:szCs w:val="28"/>
          <w:lang w:eastAsia="ru-RU"/>
        </w:rPr>
        <w:t xml:space="preserve"> сокращению продолжительности и числа административных процедур, выработке механизма поддержки и сопровождения инвесторов на всех этапах реализации проектов.</w:t>
      </w:r>
    </w:p>
    <w:p w:rsidR="00492136" w:rsidRPr="00492136" w:rsidRDefault="00492136" w:rsidP="000746E2">
      <w:pPr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36">
        <w:rPr>
          <w:rFonts w:ascii="Times New Roman" w:hAnsi="Times New Roman"/>
          <w:sz w:val="28"/>
          <w:szCs w:val="28"/>
          <w:lang w:eastAsia="ru-RU"/>
        </w:rPr>
        <w:t xml:space="preserve">Эта задача может быть решена как посредством экспертизы и оптимизации осуществляемых функций, так и проведением в отношении действующих муниципальных правовых актов оценки </w:t>
      </w:r>
      <w:r w:rsidRPr="00492136">
        <w:rPr>
          <w:rFonts w:ascii="Times New Roman" w:hAnsi="Times New Roman" w:cs="Times New Roman"/>
          <w:sz w:val="28"/>
          <w:szCs w:val="28"/>
        </w:rPr>
        <w:t>регулирующего воздействия - регуляторного механизма, направленного на минимизацию административных барьеров для бизнеса.</w:t>
      </w:r>
    </w:p>
    <w:p w:rsidR="00492136" w:rsidRPr="00492136" w:rsidRDefault="00492136" w:rsidP="000746E2">
      <w:pPr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36">
        <w:rPr>
          <w:rFonts w:ascii="Times New Roman" w:hAnsi="Times New Roman" w:cs="Times New Roman"/>
          <w:sz w:val="28"/>
          <w:szCs w:val="28"/>
        </w:rPr>
        <w:t>В качестве еще одного инструмента обеспечения ускоренного порядка принятия управленческих решений выступит и расширение сферы применения проектного управления.</w:t>
      </w:r>
      <w:bookmarkStart w:id="2" w:name="sub_333"/>
    </w:p>
    <w:bookmarkEnd w:id="2"/>
    <w:p w:rsidR="00492136" w:rsidRPr="00492136" w:rsidRDefault="006C37AD" w:rsidP="00492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C64C42">
        <w:rPr>
          <w:rFonts w:ascii="Times New Roman" w:hAnsi="Times New Roman"/>
          <w:sz w:val="28"/>
          <w:szCs w:val="28"/>
        </w:rPr>
        <w:t xml:space="preserve"> </w:t>
      </w:r>
      <w:r w:rsidR="00492136" w:rsidRPr="00492136">
        <w:rPr>
          <w:rFonts w:ascii="Times New Roman" w:hAnsi="Times New Roman"/>
          <w:sz w:val="28"/>
          <w:szCs w:val="28"/>
        </w:rPr>
        <w:t>рамках</w:t>
      </w:r>
      <w:proofErr w:type="gramEnd"/>
      <w:r w:rsidR="00492136" w:rsidRPr="00492136">
        <w:rPr>
          <w:rFonts w:ascii="Times New Roman" w:hAnsi="Times New Roman"/>
          <w:sz w:val="28"/>
          <w:szCs w:val="28"/>
        </w:rPr>
        <w:t xml:space="preserve"> определенных на федеральном уровне направлений стратегического развития Российской Федерации город </w:t>
      </w:r>
      <w:r w:rsidR="00492136" w:rsidRPr="006C37AD">
        <w:rPr>
          <w:rFonts w:ascii="Times New Roman" w:hAnsi="Times New Roman"/>
          <w:sz w:val="28"/>
          <w:szCs w:val="28"/>
        </w:rPr>
        <w:t xml:space="preserve">участвует в реализации 8-ми региональных портфелей проектов и исполняет </w:t>
      </w:r>
      <w:r w:rsidR="00817B2C" w:rsidRPr="006C37AD">
        <w:rPr>
          <w:rFonts w:ascii="Times New Roman" w:hAnsi="Times New Roman"/>
          <w:sz w:val="28"/>
          <w:szCs w:val="28"/>
        </w:rPr>
        <w:t>7</w:t>
      </w:r>
      <w:r w:rsidR="00492136" w:rsidRPr="006C37AD">
        <w:rPr>
          <w:rFonts w:ascii="Times New Roman" w:hAnsi="Times New Roman"/>
          <w:sz w:val="28"/>
          <w:szCs w:val="28"/>
        </w:rPr>
        <w:t xml:space="preserve"> проектов муниципального уровня.</w:t>
      </w:r>
    </w:p>
    <w:p w:rsidR="00492136" w:rsidRPr="00492136" w:rsidRDefault="00492136" w:rsidP="00492136">
      <w:pPr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136">
        <w:rPr>
          <w:rFonts w:ascii="Times New Roman" w:hAnsi="Times New Roman"/>
          <w:sz w:val="28"/>
          <w:szCs w:val="28"/>
          <w:lang w:eastAsia="ru-RU"/>
        </w:rPr>
        <w:t>В перспективе перечень проектов, реализуемых в рамках системы проектного управления деятельностью Администрации города планируется расширить. При этом необходимо решить задачу по интеграции проектов, реализуемых в рамках системы проектного управления с действующей системой муниципальных программ. Для обеспечения согласованной политики с Российской Федерацией и автономным округом предстоит выработать и механизм обособления расходов на реализацию проектов в бюджете города.</w:t>
      </w:r>
    </w:p>
    <w:p w:rsidR="00492136" w:rsidRPr="00492136" w:rsidRDefault="00492136" w:rsidP="00492136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136">
        <w:rPr>
          <w:rFonts w:ascii="Times New Roman" w:hAnsi="Times New Roman"/>
          <w:sz w:val="28"/>
          <w:szCs w:val="28"/>
          <w:lang w:eastAsia="ru-RU"/>
        </w:rPr>
        <w:t>В планируемом периоде необходимо продолжить поддержку малого и среднего предпринимательства, в том числе посредством предоставления финансовой поддержки субъектам малого и среднего предпринимательства по в</w:t>
      </w:r>
      <w:r w:rsidR="00526073">
        <w:rPr>
          <w:rFonts w:ascii="Times New Roman" w:hAnsi="Times New Roman"/>
          <w:sz w:val="28"/>
          <w:szCs w:val="28"/>
          <w:lang w:eastAsia="ru-RU"/>
        </w:rPr>
        <w:t>остребованным направлениям,</w:t>
      </w:r>
      <w:r w:rsidRPr="00492136">
        <w:rPr>
          <w:rFonts w:ascii="Times New Roman" w:hAnsi="Times New Roman"/>
          <w:sz w:val="28"/>
          <w:szCs w:val="28"/>
          <w:lang w:eastAsia="ru-RU"/>
        </w:rPr>
        <w:t xml:space="preserve"> в частности, по компенсации платежей по предоставленным консалтинговым услугам и приобретению оборудования и лицензионных программных продуктов. </w:t>
      </w:r>
    </w:p>
    <w:p w:rsidR="00492136" w:rsidRPr="00492136" w:rsidRDefault="00492136" w:rsidP="00492136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136">
        <w:rPr>
          <w:rFonts w:ascii="Times New Roman" w:eastAsia="Calibri" w:hAnsi="Times New Roman"/>
          <w:sz w:val="28"/>
          <w:szCs w:val="28"/>
        </w:rPr>
        <w:t xml:space="preserve">Для </w:t>
      </w:r>
      <w:r w:rsidRPr="00492136">
        <w:rPr>
          <w:rFonts w:ascii="Times New Roman" w:hAnsi="Times New Roman"/>
          <w:sz w:val="28"/>
          <w:szCs w:val="28"/>
        </w:rPr>
        <w:t>использования в рекламных целях и обеспечения узнаваемости продукции местных товаропроизводителей в 2018 году необходимо обеспечить им возможность нанесения на нее логотипа «Сделано в Сургуте».</w:t>
      </w:r>
    </w:p>
    <w:p w:rsidR="00492136" w:rsidRPr="00492136" w:rsidRDefault="00492136" w:rsidP="00492136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92136">
        <w:rPr>
          <w:rFonts w:ascii="Times New Roman" w:hAnsi="Times New Roman"/>
          <w:sz w:val="28"/>
          <w:szCs w:val="28"/>
          <w:shd w:val="clear" w:color="auto" w:fill="FFFFFF"/>
        </w:rPr>
        <w:t>В 2018 году необходимо завершить работы по созданию офиса «МФЦ для бизнеса». Это концепция предоставления широкого спектра услуг, включая банковские, ориентированная на взаимодействие с представителями бизнес-сообществ. </w:t>
      </w:r>
    </w:p>
    <w:p w:rsidR="00492136" w:rsidRPr="00492136" w:rsidRDefault="00492136" w:rsidP="00492136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136">
        <w:rPr>
          <w:rFonts w:ascii="Times New Roman" w:hAnsi="Times New Roman"/>
          <w:sz w:val="28"/>
          <w:szCs w:val="28"/>
          <w:lang w:eastAsia="ru-RU"/>
        </w:rPr>
        <w:t xml:space="preserve">Особое внимание в среднесрочном периоде необходимо уделить </w:t>
      </w:r>
      <w:r w:rsidRPr="00526073">
        <w:rPr>
          <w:rFonts w:ascii="Times New Roman" w:hAnsi="Times New Roman"/>
          <w:sz w:val="28"/>
          <w:szCs w:val="28"/>
          <w:lang w:eastAsia="ru-RU"/>
        </w:rPr>
        <w:t>формированию комфортной городской среды,</w:t>
      </w:r>
      <w:r w:rsidRPr="00492136">
        <w:rPr>
          <w:rFonts w:ascii="Times New Roman" w:hAnsi="Times New Roman"/>
          <w:sz w:val="28"/>
          <w:szCs w:val="28"/>
          <w:lang w:eastAsia="ru-RU"/>
        </w:rPr>
        <w:t xml:space="preserve"> отвечающей современным запросам жителей города и способствующей развитию человеческого капитала. </w:t>
      </w:r>
    </w:p>
    <w:p w:rsidR="00492136" w:rsidRPr="00492136" w:rsidRDefault="00492136" w:rsidP="0028754F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136">
        <w:rPr>
          <w:rFonts w:ascii="Times New Roman" w:hAnsi="Times New Roman"/>
          <w:sz w:val="28"/>
          <w:szCs w:val="28"/>
          <w:lang w:eastAsia="ru-RU"/>
        </w:rPr>
        <w:t xml:space="preserve">Эта задача обозначена на всех уровнях власти и частично решается в рамках соответствующего федерального приоритетного национального проекта. В этом направлении планируется продолжить обустройство парков, скверов, точек социального притяжения, современных остановочных комплексов, благоустройство дворовых территорий многоквартирных домов, в том числе с привлечением </w:t>
      </w:r>
      <w:proofErr w:type="spellStart"/>
      <w:r w:rsidRPr="00492136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492136">
        <w:rPr>
          <w:rFonts w:ascii="Times New Roman" w:hAnsi="Times New Roman"/>
          <w:sz w:val="28"/>
          <w:szCs w:val="28"/>
          <w:lang w:eastAsia="ru-RU"/>
        </w:rPr>
        <w:t xml:space="preserve"> жителей. </w:t>
      </w:r>
    </w:p>
    <w:p w:rsidR="00492136" w:rsidRPr="00492136" w:rsidRDefault="00492136" w:rsidP="0028754F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136">
        <w:rPr>
          <w:rFonts w:ascii="Times New Roman" w:hAnsi="Times New Roman"/>
          <w:sz w:val="28"/>
          <w:szCs w:val="28"/>
          <w:lang w:eastAsia="ru-RU"/>
        </w:rPr>
        <w:t xml:space="preserve">При реализации политики в сфере градостроительной деятельности в будущем необходимо учитывать и предложения федеральных экспертов-урбанистов, выработанные в ходе исследований городской среды Сургута, в частности, изменение организации дорожного движения, создание новых общественных пространств общегородского значения. </w:t>
      </w:r>
    </w:p>
    <w:p w:rsidR="00492136" w:rsidRPr="00492136" w:rsidRDefault="00492136" w:rsidP="00930DBA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136">
        <w:rPr>
          <w:rFonts w:ascii="Times New Roman" w:hAnsi="Times New Roman"/>
          <w:sz w:val="28"/>
          <w:szCs w:val="28"/>
        </w:rPr>
        <w:t xml:space="preserve">По-прежнему актуальна в среднесрочной перспективе задача </w:t>
      </w:r>
      <w:r w:rsidRPr="00C87F28">
        <w:rPr>
          <w:rFonts w:ascii="Times New Roman" w:hAnsi="Times New Roman"/>
          <w:sz w:val="28"/>
          <w:szCs w:val="28"/>
          <w:lang w:eastAsia="ru-RU"/>
        </w:rPr>
        <w:t>совершенствования системы документов стратегического планирования.</w:t>
      </w:r>
      <w:r w:rsidRPr="00492136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492136">
        <w:rPr>
          <w:rFonts w:ascii="Times New Roman" w:hAnsi="Times New Roman"/>
          <w:sz w:val="28"/>
          <w:szCs w:val="28"/>
          <w:lang w:eastAsia="ru-RU"/>
        </w:rPr>
        <w:t>В связи с принятием в июне 2017 года на региональном уровне изменений в Стратегию социально-экономического развития Ханты-Мансийского автономного округа – Югры до 2030, в 2018 году следует завершить работу по корректировке и актуализации Стратегии социально-экономического развития муниципального образования и плана мероприятий по ее реализации.</w:t>
      </w:r>
    </w:p>
    <w:p w:rsidR="00492136" w:rsidRPr="00492136" w:rsidRDefault="00492136" w:rsidP="00222492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136">
        <w:rPr>
          <w:rFonts w:ascii="Times New Roman" w:hAnsi="Times New Roman"/>
          <w:sz w:val="28"/>
          <w:szCs w:val="28"/>
          <w:lang w:eastAsia="ru-RU"/>
        </w:rPr>
        <w:t>С учетом изменения внешних условий и пересмотра стратегических приоритетов назрела необходимость оптимизаци</w:t>
      </w:r>
      <w:r w:rsidR="00817B2C">
        <w:rPr>
          <w:rFonts w:ascii="Times New Roman" w:hAnsi="Times New Roman"/>
          <w:sz w:val="28"/>
          <w:szCs w:val="28"/>
          <w:lang w:eastAsia="ru-RU"/>
        </w:rPr>
        <w:t>и</w:t>
      </w:r>
      <w:r w:rsidRPr="00492136">
        <w:rPr>
          <w:rFonts w:ascii="Times New Roman" w:hAnsi="Times New Roman"/>
          <w:sz w:val="28"/>
          <w:szCs w:val="28"/>
          <w:lang w:eastAsia="ru-RU"/>
        </w:rPr>
        <w:t xml:space="preserve"> структуры и состава реализуемых муниципальных программ. Данную работу необходимо провести уже при формировании проекта бюджета на 2018 год и плановый период 2019 – 2020 годов.</w:t>
      </w:r>
    </w:p>
    <w:p w:rsidR="00492136" w:rsidRPr="00492136" w:rsidRDefault="00492136" w:rsidP="000C4AC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136">
        <w:rPr>
          <w:rFonts w:ascii="Times New Roman" w:hAnsi="Times New Roman" w:cs="Times New Roman"/>
          <w:sz w:val="28"/>
          <w:szCs w:val="28"/>
        </w:rPr>
        <w:t xml:space="preserve">В целях установления ориентиров для определения объема финансового обеспечения муниципальных программ и выстраивания взаимоувязанной системы документов стратегического планирования муниципалитета, начиная с составления проекта бюджета на </w:t>
      </w:r>
      <w:r w:rsidRPr="00492136">
        <w:rPr>
          <w:rFonts w:ascii="Times New Roman" w:hAnsi="Times New Roman" w:cs="Times New Roman"/>
          <w:sz w:val="28"/>
          <w:szCs w:val="28"/>
          <w:lang w:eastAsia="ru-RU"/>
        </w:rPr>
        <w:t>2019 год и плановый период 2020-2021 годов</w:t>
      </w:r>
      <w:r w:rsidRPr="00492136">
        <w:rPr>
          <w:rFonts w:ascii="Times New Roman" w:hAnsi="Times New Roman" w:cs="Times New Roman"/>
          <w:sz w:val="28"/>
          <w:szCs w:val="28"/>
        </w:rPr>
        <w:t xml:space="preserve"> предстоит разработать долгосрочный б</w:t>
      </w:r>
      <w:r w:rsidRPr="00492136">
        <w:rPr>
          <w:rFonts w:ascii="Times New Roman" w:hAnsi="Times New Roman" w:cs="Times New Roman"/>
          <w:sz w:val="28"/>
          <w:szCs w:val="28"/>
          <w:lang w:eastAsia="ru-RU"/>
        </w:rPr>
        <w:t>юджетный прогноз</w:t>
      </w:r>
      <w:r w:rsidRPr="004921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Pr="00492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2136" w:rsidRPr="00C87F28" w:rsidRDefault="00492136" w:rsidP="000C4AC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136">
        <w:rPr>
          <w:rFonts w:ascii="Times New Roman" w:hAnsi="Times New Roman"/>
          <w:sz w:val="28"/>
          <w:szCs w:val="28"/>
          <w:lang w:eastAsia="ru-RU"/>
        </w:rPr>
        <w:t xml:space="preserve">В течение следующего бюджетного цикла необходимо продолжить последовательную работу </w:t>
      </w:r>
      <w:r w:rsidRPr="00C87F28">
        <w:rPr>
          <w:rFonts w:ascii="Times New Roman" w:hAnsi="Times New Roman"/>
          <w:sz w:val="28"/>
          <w:szCs w:val="28"/>
          <w:lang w:eastAsia="ru-RU"/>
        </w:rPr>
        <w:t xml:space="preserve">по повышению открытости деятельности органов местного самоуправления и вовлечению в процесс управления городом граждан. </w:t>
      </w:r>
    </w:p>
    <w:p w:rsidR="00492136" w:rsidRPr="00492136" w:rsidRDefault="00492136" w:rsidP="000C4AC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136">
        <w:rPr>
          <w:rFonts w:ascii="Times New Roman" w:hAnsi="Times New Roman"/>
          <w:sz w:val="28"/>
          <w:szCs w:val="28"/>
          <w:lang w:eastAsia="ru-RU"/>
        </w:rPr>
        <w:t>На территории города на регулярной основе проводится комплекс мероприятий, направленных на повышение финансовой грамотности населения, функционирует информационный портал «Бюджет для граждан».</w:t>
      </w:r>
    </w:p>
    <w:p w:rsidR="00492136" w:rsidRPr="00492136" w:rsidRDefault="00492136" w:rsidP="000C4AC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136">
        <w:rPr>
          <w:rFonts w:ascii="Times New Roman" w:hAnsi="Times New Roman"/>
          <w:sz w:val="28"/>
          <w:szCs w:val="28"/>
          <w:lang w:eastAsia="ru-RU"/>
        </w:rPr>
        <w:t xml:space="preserve">В 2017 году начата реализация проекта </w:t>
      </w:r>
      <w:proofErr w:type="spellStart"/>
      <w:r w:rsidRPr="00492136">
        <w:rPr>
          <w:rFonts w:ascii="Times New Roman" w:hAnsi="Times New Roman"/>
          <w:sz w:val="28"/>
          <w:szCs w:val="28"/>
          <w:lang w:eastAsia="ru-RU"/>
        </w:rPr>
        <w:t>партисипаторного</w:t>
      </w:r>
      <w:proofErr w:type="spellEnd"/>
      <w:r w:rsidRPr="00492136">
        <w:rPr>
          <w:rFonts w:ascii="Times New Roman" w:hAnsi="Times New Roman"/>
          <w:sz w:val="28"/>
          <w:szCs w:val="28"/>
          <w:lang w:eastAsia="ru-RU"/>
        </w:rPr>
        <w:t xml:space="preserve"> бюджетирования «Бюджет Сургута </w:t>
      </w:r>
      <w:r w:rsidRPr="00492136">
        <w:rPr>
          <w:rFonts w:ascii="Times New Roman" w:hAnsi="Times New Roman"/>
          <w:sz w:val="28"/>
          <w:szCs w:val="28"/>
          <w:lang w:val="en-US" w:eastAsia="ru-RU"/>
        </w:rPr>
        <w:t>Online</w:t>
      </w:r>
      <w:r w:rsidRPr="00492136">
        <w:rPr>
          <w:rFonts w:ascii="Times New Roman" w:hAnsi="Times New Roman"/>
          <w:sz w:val="28"/>
          <w:szCs w:val="28"/>
          <w:lang w:eastAsia="ru-RU"/>
        </w:rPr>
        <w:t xml:space="preserve">» - технологии непосредственного вовлечения граждан в процесс принятия отдельных управленческих решений в сфере муниципальных финансов. Создан Народный совет из граждан, объявлен сбор общественных инициатив от </w:t>
      </w:r>
      <w:r w:rsidR="00817B2C">
        <w:rPr>
          <w:rFonts w:ascii="Times New Roman" w:hAnsi="Times New Roman"/>
          <w:sz w:val="28"/>
          <w:szCs w:val="28"/>
          <w:lang w:eastAsia="ru-RU"/>
        </w:rPr>
        <w:t>населения</w:t>
      </w:r>
      <w:r w:rsidRPr="00492136">
        <w:rPr>
          <w:rFonts w:ascii="Times New Roman" w:hAnsi="Times New Roman"/>
          <w:sz w:val="28"/>
          <w:szCs w:val="28"/>
          <w:lang w:eastAsia="ru-RU"/>
        </w:rPr>
        <w:t xml:space="preserve">. Результаты работы Народного совета по отбору инициатив граждан будут учтены уже при формировании проекта бюджета на 2018 год и плановый период 2019-2020 годов. </w:t>
      </w:r>
    </w:p>
    <w:p w:rsidR="00492136" w:rsidRPr="00492136" w:rsidRDefault="00492136" w:rsidP="000C4AC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136">
        <w:rPr>
          <w:rFonts w:ascii="Times New Roman" w:hAnsi="Times New Roman" w:cs="Times New Roman"/>
          <w:sz w:val="28"/>
          <w:szCs w:val="28"/>
        </w:rPr>
        <w:t>Развитие деятельности по внедрению инструментов учета мнений и предложений граждан во всех сферах станет приоритетом бюджетной политики на 2018 – 2020 годы, однако р</w:t>
      </w:r>
      <w:r w:rsidRPr="00492136">
        <w:rPr>
          <w:rFonts w:ascii="Times New Roman" w:hAnsi="Times New Roman"/>
          <w:sz w:val="28"/>
          <w:szCs w:val="28"/>
          <w:lang w:eastAsia="ru-RU"/>
        </w:rPr>
        <w:t xml:space="preserve">еализация поставленной задачи должна осуществляется комплексно. </w:t>
      </w:r>
      <w:r w:rsidRPr="001356A0">
        <w:rPr>
          <w:rFonts w:ascii="Times New Roman" w:hAnsi="Times New Roman"/>
          <w:sz w:val="28"/>
          <w:szCs w:val="28"/>
          <w:lang w:eastAsia="ru-RU"/>
        </w:rPr>
        <w:t>Для этого следует консолидировать используемые органами местного самоуправления механизмы и элементы инициативного бюджетирования в единую систему.</w:t>
      </w:r>
    </w:p>
    <w:p w:rsidR="00492136" w:rsidRPr="000C4AC0" w:rsidRDefault="00492136" w:rsidP="000C4AC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136">
        <w:rPr>
          <w:rFonts w:ascii="Times New Roman" w:hAnsi="Times New Roman"/>
          <w:sz w:val="28"/>
          <w:szCs w:val="28"/>
        </w:rPr>
        <w:t xml:space="preserve">На фоне таких масштабных задач в планируемом периоде не следует </w:t>
      </w:r>
      <w:r w:rsidRPr="000C4AC0">
        <w:rPr>
          <w:rFonts w:ascii="Times New Roman" w:hAnsi="Times New Roman"/>
          <w:sz w:val="28"/>
          <w:szCs w:val="28"/>
        </w:rPr>
        <w:t xml:space="preserve">забывать о соблюдении и совершенствовании бюджетных процедур. </w:t>
      </w:r>
    </w:p>
    <w:p w:rsidR="00492136" w:rsidRPr="00492136" w:rsidRDefault="00492136" w:rsidP="000C4AC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136">
        <w:rPr>
          <w:rFonts w:ascii="Times New Roman" w:hAnsi="Times New Roman"/>
          <w:sz w:val="28"/>
          <w:szCs w:val="28"/>
        </w:rPr>
        <w:t>В настоящее время на уровне муниципального образования практически завершена интеграция закупочного и бюджетного процессов, функционирует информационная система, в автоматическом режиме реализован механизм финансового контроля в сфере закупок.</w:t>
      </w:r>
    </w:p>
    <w:p w:rsidR="00492136" w:rsidRPr="00492136" w:rsidRDefault="00492136" w:rsidP="000C4AC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136">
        <w:rPr>
          <w:rFonts w:ascii="Times New Roman" w:hAnsi="Times New Roman"/>
          <w:sz w:val="28"/>
          <w:szCs w:val="28"/>
        </w:rPr>
        <w:t>Дальнейшее развитие контрактной системы планируется по следующим направлениям:</w:t>
      </w:r>
    </w:p>
    <w:p w:rsidR="00492136" w:rsidRPr="00492136" w:rsidRDefault="00492136" w:rsidP="00492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136">
        <w:rPr>
          <w:rFonts w:ascii="Times New Roman" w:hAnsi="Times New Roman"/>
          <w:sz w:val="28"/>
          <w:szCs w:val="28"/>
        </w:rPr>
        <w:t>расширение хорошо зарекомендовавшей себя практики проведения совместных процедур определения поставщиков на территории города в целях консолидации закупок продукции, приобретаемой всеми заказчиками из года в год, и, как следствие, обеспечение достижения максимального экономического эффекта от их осуществления;</w:t>
      </w:r>
    </w:p>
    <w:p w:rsidR="00492136" w:rsidRPr="00492136" w:rsidRDefault="00492136" w:rsidP="00492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136">
        <w:rPr>
          <w:rFonts w:ascii="Times New Roman" w:hAnsi="Times New Roman"/>
          <w:sz w:val="28"/>
          <w:szCs w:val="28"/>
        </w:rPr>
        <w:t>внедрение унифицированных описаний объектов закупок при их осуществлении для обеспечения муниципальных нужд;</w:t>
      </w:r>
    </w:p>
    <w:p w:rsidR="00492136" w:rsidRPr="00492136" w:rsidRDefault="00492136" w:rsidP="00492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136">
        <w:rPr>
          <w:rFonts w:ascii="Times New Roman" w:hAnsi="Times New Roman"/>
          <w:sz w:val="28"/>
          <w:szCs w:val="28"/>
        </w:rPr>
        <w:t>развитие института нормирования закупок, развитие информационного пространства в целях повышения прозрачности закупочных процессов.</w:t>
      </w:r>
    </w:p>
    <w:p w:rsidR="00492136" w:rsidRPr="00492136" w:rsidRDefault="00492136" w:rsidP="00492136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136">
        <w:rPr>
          <w:rFonts w:ascii="Times New Roman" w:hAnsi="Times New Roman"/>
          <w:sz w:val="28"/>
          <w:szCs w:val="28"/>
          <w:lang w:eastAsia="ru-RU"/>
        </w:rPr>
        <w:t>В целях повышения операционной эффективности бюджетных средств и снижения уровня остатков на лицевых счетах бюджетных и автономных учреждений следует проработать и нормативно закрепить механизм предоставления в течение года субсидий на финансовое обеспечение муниципальных заданий в пределах суммы, необходимой для оплаты денежных обязательств ее получателей.</w:t>
      </w:r>
    </w:p>
    <w:p w:rsidR="00492136" w:rsidRPr="00492136" w:rsidRDefault="00492136" w:rsidP="004921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136" w:rsidRPr="00492136" w:rsidRDefault="00492136" w:rsidP="004921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92136">
        <w:rPr>
          <w:rFonts w:ascii="Times New Roman" w:eastAsia="Calibri" w:hAnsi="Times New Roman" w:cs="Calibri"/>
          <w:sz w:val="28"/>
          <w:szCs w:val="28"/>
          <w:lang w:eastAsia="ru-RU"/>
        </w:rPr>
        <w:t>ОЦЕНКА ПРОЕКТИРУЕМЫХ ПАРАМЕТРОВ БЮДЖЕТА ГОРОДА НА 2018 ГОД И ПЛАНОВЫЙ ПЕРИОД 2019 – 2020 ГОДОВ</w:t>
      </w:r>
    </w:p>
    <w:p w:rsidR="00492136" w:rsidRPr="00492136" w:rsidRDefault="00492136" w:rsidP="004921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136" w:rsidRPr="00492136" w:rsidRDefault="00492136" w:rsidP="004921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136">
        <w:rPr>
          <w:rFonts w:ascii="Times New Roman" w:hAnsi="Times New Roman" w:cs="Times New Roman"/>
          <w:sz w:val="28"/>
          <w:szCs w:val="28"/>
        </w:rPr>
        <w:t>Прогнозирование доходной части бюджета осуществлялось исходя из действующих норм бюджетного и налогового законодательства Российской Федерации, автономного округа и городского округа город Сургут, в условиях сохранения стабильности налогообложения.</w:t>
      </w:r>
    </w:p>
    <w:p w:rsidR="00492136" w:rsidRPr="00492136" w:rsidRDefault="008939CC" w:rsidP="0049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2136" w:rsidRPr="00492136">
        <w:rPr>
          <w:rFonts w:ascii="Times New Roman" w:hAnsi="Times New Roman" w:cs="Times New Roman"/>
          <w:sz w:val="28"/>
          <w:szCs w:val="28"/>
        </w:rPr>
        <w:t xml:space="preserve"> целях обеспечения единого с автономным округом подхода к формированию параметров бюджета, при определении прогнозных показателей по доходам бюджета применялся базовый вариант прогноза социально-экономического развития города,</w:t>
      </w:r>
      <w:r w:rsidR="00492136"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36" w:rsidRPr="00492136">
        <w:rPr>
          <w:rFonts w:ascii="Times New Roman" w:hAnsi="Times New Roman" w:cs="Times New Roman"/>
          <w:sz w:val="28"/>
          <w:szCs w:val="28"/>
        </w:rPr>
        <w:t>учитывающего возможности положительной динамики основных показателей развития.</w:t>
      </w:r>
    </w:p>
    <w:p w:rsidR="00492136" w:rsidRPr="00492136" w:rsidRDefault="00492136" w:rsidP="004921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8CA">
        <w:rPr>
          <w:rFonts w:ascii="Times New Roman" w:hAnsi="Times New Roman" w:cs="Times New Roman"/>
          <w:sz w:val="28"/>
          <w:szCs w:val="28"/>
        </w:rPr>
        <w:t>На дату подготовки настоящих основных направлений, показатели по доходам согласованы</w:t>
      </w:r>
      <w:r w:rsidRPr="00D318CA">
        <w:rPr>
          <w:rFonts w:ascii="Times New Roman" w:hAnsi="Times New Roman"/>
          <w:sz w:val="28"/>
          <w:szCs w:val="28"/>
        </w:rPr>
        <w:t xml:space="preserve"> с Департаментом финансов автономного округа.</w:t>
      </w:r>
    </w:p>
    <w:p w:rsidR="00492136" w:rsidRPr="00492136" w:rsidRDefault="00492136" w:rsidP="004921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213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Поскольку на текущий период времени объем межбюджетных трансфертов не доведен, при определении общих параметров доходов </w:t>
      </w:r>
      <w:r w:rsidRPr="0049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дотация из регионального фонда финансовой поддержки поселений принята на уровне утвержденного бюджета 2018-2019 года.</w:t>
      </w:r>
    </w:p>
    <w:p w:rsidR="00930DBA" w:rsidRDefault="00492136" w:rsidP="00930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136">
        <w:rPr>
          <w:rFonts w:ascii="Times New Roman" w:hAnsi="Times New Roman" w:cs="Times New Roman"/>
          <w:sz w:val="28"/>
          <w:szCs w:val="28"/>
        </w:rPr>
        <w:t>Основное внимание уделено оценке исполнения доходов в текущем периоде, которая легла в основу формирования доходной базы в очередном бюджетном цикле.</w:t>
      </w:r>
      <w:r w:rsidR="00DE5EDB" w:rsidRPr="00DE5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217" w:rsidRDefault="00930DBA" w:rsidP="00930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053">
        <w:rPr>
          <w:rFonts w:ascii="Times New Roman" w:hAnsi="Times New Roman" w:cs="Times New Roman"/>
          <w:sz w:val="28"/>
          <w:szCs w:val="28"/>
        </w:rPr>
        <w:t xml:space="preserve">Показатели ожидаемого исполнения прогнозируются ниже плановых по следующим причинам. </w:t>
      </w:r>
    </w:p>
    <w:p w:rsidR="00930DBA" w:rsidRPr="009D0053" w:rsidRDefault="00930DBA" w:rsidP="00930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053">
        <w:rPr>
          <w:rFonts w:ascii="Times New Roman" w:hAnsi="Times New Roman" w:cs="Times New Roman"/>
          <w:sz w:val="28"/>
          <w:szCs w:val="28"/>
        </w:rPr>
        <w:t xml:space="preserve">Прежде всего, снижается поступление налога на доходы физических лиц. Темп роста фонда оплаты труда, оцененный прогнозом социально-экономического развития города на уровне 105%, в 1 полугодии в сопоставимых условиях составил 102,1%. На снижение поступлений налога также оказали влияние такие факторы, как </w:t>
      </w:r>
      <w:r w:rsidRPr="009D0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системообразующего предприятия ООО «Газпром переработка» (- 26 млн. рублей) и</w:t>
      </w:r>
      <w:r w:rsidRPr="009D0053">
        <w:rPr>
          <w:rFonts w:ascii="Times New Roman" w:hAnsi="Times New Roman" w:cs="Times New Roman"/>
          <w:sz w:val="28"/>
          <w:szCs w:val="28"/>
        </w:rPr>
        <w:t xml:space="preserve"> увеличение возвратов физическим лицам по имущественным вычетам (- 89 млн. рублей). В целом выпадающие доходы по НДФЛ оцениваются в</w:t>
      </w:r>
      <w:r w:rsidR="00326797" w:rsidRPr="009D0053">
        <w:rPr>
          <w:rFonts w:ascii="Times New Roman" w:hAnsi="Times New Roman" w:cs="Times New Roman"/>
          <w:sz w:val="28"/>
          <w:szCs w:val="28"/>
        </w:rPr>
        <w:t xml:space="preserve"> объеме более</w:t>
      </w:r>
      <w:r w:rsidRPr="009D0053">
        <w:rPr>
          <w:rFonts w:ascii="Times New Roman" w:hAnsi="Times New Roman" w:cs="Times New Roman"/>
          <w:sz w:val="28"/>
          <w:szCs w:val="28"/>
        </w:rPr>
        <w:t xml:space="preserve"> 2</w:t>
      </w:r>
      <w:r w:rsidR="009D0053">
        <w:rPr>
          <w:rFonts w:ascii="Times New Roman" w:hAnsi="Times New Roman" w:cs="Times New Roman"/>
          <w:sz w:val="28"/>
          <w:szCs w:val="28"/>
        </w:rPr>
        <w:t>4</w:t>
      </w:r>
      <w:r w:rsidR="00326797" w:rsidRPr="009D0053">
        <w:rPr>
          <w:rFonts w:ascii="Times New Roman" w:hAnsi="Times New Roman" w:cs="Times New Roman"/>
          <w:sz w:val="28"/>
          <w:szCs w:val="28"/>
        </w:rPr>
        <w:t>0</w:t>
      </w:r>
      <w:r w:rsidRPr="009D0053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9D0053" w:rsidRPr="008939CC" w:rsidRDefault="00930DBA" w:rsidP="009D0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053">
        <w:rPr>
          <w:rFonts w:ascii="Times New Roman" w:hAnsi="Times New Roman" w:cs="Times New Roman"/>
          <w:sz w:val="28"/>
          <w:szCs w:val="28"/>
        </w:rPr>
        <w:t>Частично потери будут компенсированы сверхплановыми поступлениями налогов на совокупный доход. В 1 полугодии они поступили с ростом к прошлому году (111,6% к плану). Это связано с уве</w:t>
      </w:r>
      <w:r w:rsidRPr="009D0053">
        <w:rPr>
          <w:rFonts w:ascii="Times New Roman" w:hAnsi="Times New Roman" w:cs="Times New Roman"/>
          <w:sz w:val="28"/>
          <w:szCs w:val="28"/>
          <w:shd w:val="clear" w:color="auto" w:fill="FFFFFF"/>
        </w:rPr>
        <w:t>личением количества налогоплательщиков, применяющих упрощенную систему налогообложения, по причине увеличения с этого года лимитов доходов для возможности применения данного режима налогообложения.</w:t>
      </w:r>
      <w:r w:rsidR="009D0053" w:rsidRPr="009D0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0053">
        <w:rPr>
          <w:rFonts w:ascii="Times New Roman" w:hAnsi="Times New Roman" w:cs="Times New Roman"/>
          <w:sz w:val="28"/>
          <w:szCs w:val="28"/>
          <w:shd w:val="clear" w:color="auto" w:fill="FFFFFF"/>
        </w:rPr>
        <w:t>Позитивная динамика прогнозируется и в плановом периоде.</w:t>
      </w:r>
    </w:p>
    <w:p w:rsidR="008939CC" w:rsidRPr="008939CC" w:rsidRDefault="008939CC" w:rsidP="00893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9CC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поступлений прогнозируется главными администраторами и по неналоговым доходам, в том числе:                                 </w:t>
      </w:r>
    </w:p>
    <w:p w:rsidR="008939CC" w:rsidRPr="008939CC" w:rsidRDefault="008939CC" w:rsidP="00893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9CC">
        <w:rPr>
          <w:rFonts w:ascii="Times New Roman" w:hAnsi="Times New Roman" w:cs="Times New Roman"/>
          <w:sz w:val="28"/>
          <w:szCs w:val="28"/>
        </w:rPr>
        <w:t xml:space="preserve">- от продажи права на заключение договоров аренды земельных участков </w:t>
      </w:r>
      <w:r w:rsidRPr="008939CC">
        <w:rPr>
          <w:rFonts w:ascii="Times New Roman" w:hAnsi="Times New Roman" w:cs="Times New Roman"/>
          <w:color w:val="000000"/>
          <w:sz w:val="28"/>
          <w:szCs w:val="28"/>
        </w:rPr>
        <w:t>по причине сокращения</w:t>
      </w:r>
      <w:r w:rsidR="004A45AA"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Pr="008939CC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</w:t>
      </w:r>
      <w:r w:rsidR="004A45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39CC" w:rsidRPr="008939CC" w:rsidRDefault="008939CC" w:rsidP="00893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9CC">
        <w:rPr>
          <w:rFonts w:ascii="Times New Roman" w:hAnsi="Times New Roman" w:cs="Times New Roman"/>
          <w:sz w:val="28"/>
          <w:szCs w:val="28"/>
        </w:rPr>
        <w:t>- от продажи земельных участков в связи с сокращением количества обращений граждан и юридических лиц, желающих выкупить земельные участки, на которых расположены объекты недвижимости.</w:t>
      </w:r>
    </w:p>
    <w:p w:rsidR="008939CC" w:rsidRDefault="009D0053" w:rsidP="00893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39CC" w:rsidRPr="0089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выпадающих налоговых и неналоговых доходов бюджета по итогам текущего периода оценивается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</w:t>
      </w:r>
      <w:r w:rsidR="008939CC" w:rsidRPr="008939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939CC" w:rsidRPr="0089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8939CC" w:rsidRPr="008939C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492136" w:rsidRPr="00492136" w:rsidRDefault="008939CC" w:rsidP="0049213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учетом этого п</w:t>
      </w:r>
      <w:r w:rsidR="00492136" w:rsidRPr="00492136">
        <w:rPr>
          <w:rFonts w:ascii="Times New Roman" w:hAnsi="Times New Roman"/>
          <w:color w:val="000000"/>
          <w:sz w:val="28"/>
          <w:szCs w:val="28"/>
        </w:rPr>
        <w:t>рогнозный</w:t>
      </w:r>
      <w:r w:rsidR="00492136" w:rsidRPr="00492136">
        <w:rPr>
          <w:rFonts w:ascii="Times New Roman" w:hAnsi="Times New Roman"/>
          <w:sz w:val="28"/>
          <w:szCs w:val="28"/>
        </w:rPr>
        <w:t xml:space="preserve"> объем поступлений в бюджет города доходов на 2018 год и плановый период 2019 – 2020 годов оценивается в следующих размерах:</w:t>
      </w:r>
    </w:p>
    <w:p w:rsidR="00492136" w:rsidRPr="00492136" w:rsidRDefault="00492136" w:rsidP="004921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134"/>
        <w:gridCol w:w="1136"/>
        <w:gridCol w:w="990"/>
        <w:gridCol w:w="1134"/>
        <w:gridCol w:w="1275"/>
        <w:gridCol w:w="993"/>
        <w:gridCol w:w="1135"/>
      </w:tblGrid>
      <w:tr w:rsidR="00492136" w:rsidRPr="00492136" w:rsidTr="008651C6">
        <w:trPr>
          <w:trHeight w:val="426"/>
        </w:trPr>
        <w:tc>
          <w:tcPr>
            <w:tcW w:w="1985" w:type="dxa"/>
            <w:vMerge w:val="restart"/>
          </w:tcPr>
          <w:p w:rsidR="00492136" w:rsidRPr="00C56A8A" w:rsidRDefault="00492136" w:rsidP="0049213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Вид доходов</w:t>
            </w:r>
          </w:p>
        </w:tc>
        <w:tc>
          <w:tcPr>
            <w:tcW w:w="3260" w:type="dxa"/>
            <w:gridSpan w:val="3"/>
            <w:vAlign w:val="center"/>
          </w:tcPr>
          <w:p w:rsidR="00492136" w:rsidRPr="00C56A8A" w:rsidRDefault="00492136" w:rsidP="00492136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402" w:type="dxa"/>
            <w:gridSpan w:val="3"/>
            <w:vAlign w:val="center"/>
          </w:tcPr>
          <w:p w:rsidR="00492136" w:rsidRPr="00C56A8A" w:rsidRDefault="00492136" w:rsidP="00492136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5" w:type="dxa"/>
            <w:vAlign w:val="center"/>
          </w:tcPr>
          <w:p w:rsidR="00492136" w:rsidRPr="00C56A8A" w:rsidRDefault="00492136" w:rsidP="00492136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2020 год</w:t>
            </w:r>
          </w:p>
        </w:tc>
      </w:tr>
      <w:tr w:rsidR="00492136" w:rsidRPr="00492136" w:rsidTr="008651C6">
        <w:trPr>
          <w:trHeight w:val="210"/>
        </w:trPr>
        <w:tc>
          <w:tcPr>
            <w:tcW w:w="1985" w:type="dxa"/>
            <w:vMerge/>
          </w:tcPr>
          <w:p w:rsidR="00492136" w:rsidRPr="00C56A8A" w:rsidRDefault="00492136" w:rsidP="0049213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A8A">
              <w:rPr>
                <w:rFonts w:ascii="Times New Roman" w:hAnsi="Times New Roman" w:cs="Times New Roman"/>
              </w:rPr>
              <w:t>утверждённый  бюджет</w:t>
            </w:r>
            <w:proofErr w:type="gramEnd"/>
          </w:p>
        </w:tc>
        <w:tc>
          <w:tcPr>
            <w:tcW w:w="1136" w:type="dxa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к проекту бюджета на 2018-2020 годы</w:t>
            </w:r>
          </w:p>
        </w:tc>
        <w:tc>
          <w:tcPr>
            <w:tcW w:w="990" w:type="dxa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изменение</w:t>
            </w:r>
          </w:p>
        </w:tc>
        <w:tc>
          <w:tcPr>
            <w:tcW w:w="1134" w:type="dxa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утверждённый бюджет</w:t>
            </w:r>
          </w:p>
        </w:tc>
        <w:tc>
          <w:tcPr>
            <w:tcW w:w="1275" w:type="dxa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к проекту бюджета на 2018-2020 годы</w:t>
            </w:r>
          </w:p>
        </w:tc>
        <w:tc>
          <w:tcPr>
            <w:tcW w:w="993" w:type="dxa"/>
          </w:tcPr>
          <w:p w:rsidR="00492136" w:rsidRPr="00C56A8A" w:rsidRDefault="00492136" w:rsidP="0049213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измене</w:t>
            </w:r>
          </w:p>
          <w:p w:rsidR="00492136" w:rsidRPr="00C56A8A" w:rsidRDefault="00492136" w:rsidP="0049213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A8A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135" w:type="dxa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к проекту бюджета на 2018-2020 годы</w:t>
            </w:r>
          </w:p>
        </w:tc>
      </w:tr>
      <w:tr w:rsidR="00492136" w:rsidRPr="00492136" w:rsidTr="008651C6">
        <w:trPr>
          <w:trHeight w:val="210"/>
        </w:trPr>
        <w:tc>
          <w:tcPr>
            <w:tcW w:w="1985" w:type="dxa"/>
          </w:tcPr>
          <w:p w:rsidR="00492136" w:rsidRPr="00C56A8A" w:rsidRDefault="00492136" w:rsidP="004921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eastAsia="Calibri" w:hAnsi="Times New Roman" w:cs="Times New Roman"/>
              </w:rPr>
              <w:t>Всего собственных доходов млн. руб.</w:t>
            </w:r>
          </w:p>
        </w:tc>
        <w:tc>
          <w:tcPr>
            <w:tcW w:w="1134" w:type="dxa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10 637,9</w:t>
            </w:r>
          </w:p>
        </w:tc>
        <w:tc>
          <w:tcPr>
            <w:tcW w:w="1136" w:type="dxa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10 323,6</w:t>
            </w:r>
          </w:p>
        </w:tc>
        <w:tc>
          <w:tcPr>
            <w:tcW w:w="990" w:type="dxa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-314,3</w:t>
            </w:r>
          </w:p>
        </w:tc>
        <w:tc>
          <w:tcPr>
            <w:tcW w:w="1134" w:type="dxa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11 065,0</w:t>
            </w:r>
          </w:p>
        </w:tc>
        <w:tc>
          <w:tcPr>
            <w:tcW w:w="1275" w:type="dxa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10 781,1</w:t>
            </w:r>
          </w:p>
        </w:tc>
        <w:tc>
          <w:tcPr>
            <w:tcW w:w="993" w:type="dxa"/>
          </w:tcPr>
          <w:p w:rsidR="00492136" w:rsidRPr="00C56A8A" w:rsidRDefault="00492136" w:rsidP="0049213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-283,9</w:t>
            </w:r>
          </w:p>
        </w:tc>
        <w:tc>
          <w:tcPr>
            <w:tcW w:w="1135" w:type="dxa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11 216,1</w:t>
            </w:r>
          </w:p>
        </w:tc>
      </w:tr>
      <w:tr w:rsidR="00492136" w:rsidRPr="00492136" w:rsidTr="003037BC">
        <w:trPr>
          <w:trHeight w:val="338"/>
        </w:trPr>
        <w:tc>
          <w:tcPr>
            <w:tcW w:w="1985" w:type="dxa"/>
          </w:tcPr>
          <w:p w:rsidR="00492136" w:rsidRPr="00C56A8A" w:rsidRDefault="00492136" w:rsidP="0049213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- из них:</w:t>
            </w:r>
          </w:p>
        </w:tc>
        <w:tc>
          <w:tcPr>
            <w:tcW w:w="1134" w:type="dxa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2136" w:rsidRPr="00C56A8A" w:rsidRDefault="00492136" w:rsidP="0049213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136" w:rsidRPr="00492136" w:rsidTr="008651C6">
        <w:tc>
          <w:tcPr>
            <w:tcW w:w="1985" w:type="dxa"/>
          </w:tcPr>
          <w:p w:rsidR="00492136" w:rsidRPr="00C56A8A" w:rsidRDefault="00492136" w:rsidP="00492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Налоговые доходы, млн. руб.</w:t>
            </w:r>
          </w:p>
        </w:tc>
        <w:tc>
          <w:tcPr>
            <w:tcW w:w="1134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9 072,7</w:t>
            </w:r>
          </w:p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8 726,9</w:t>
            </w:r>
          </w:p>
        </w:tc>
        <w:tc>
          <w:tcPr>
            <w:tcW w:w="990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-345,8</w:t>
            </w:r>
          </w:p>
        </w:tc>
        <w:tc>
          <w:tcPr>
            <w:tcW w:w="1134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9 544,7</w:t>
            </w:r>
          </w:p>
        </w:tc>
        <w:tc>
          <w:tcPr>
            <w:tcW w:w="1275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9 197,1</w:t>
            </w:r>
          </w:p>
        </w:tc>
        <w:tc>
          <w:tcPr>
            <w:tcW w:w="993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-347,6</w:t>
            </w:r>
          </w:p>
        </w:tc>
        <w:tc>
          <w:tcPr>
            <w:tcW w:w="1135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9 327,9</w:t>
            </w:r>
          </w:p>
        </w:tc>
      </w:tr>
      <w:tr w:rsidR="00492136" w:rsidRPr="00492136" w:rsidTr="008651C6">
        <w:tc>
          <w:tcPr>
            <w:tcW w:w="1985" w:type="dxa"/>
          </w:tcPr>
          <w:p w:rsidR="00492136" w:rsidRPr="00C56A8A" w:rsidRDefault="00492136" w:rsidP="00492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- из них:</w:t>
            </w:r>
          </w:p>
        </w:tc>
        <w:tc>
          <w:tcPr>
            <w:tcW w:w="1134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ind w:left="506" w:hanging="5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ind w:left="506" w:hanging="5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136" w:rsidRPr="00492136" w:rsidTr="008651C6">
        <w:tc>
          <w:tcPr>
            <w:tcW w:w="1985" w:type="dxa"/>
          </w:tcPr>
          <w:p w:rsidR="00492136" w:rsidRPr="00C56A8A" w:rsidRDefault="00492136" w:rsidP="00492136">
            <w:pPr>
              <w:spacing w:after="0" w:line="240" w:lineRule="auto"/>
              <w:ind w:left="176" w:right="-72"/>
              <w:rPr>
                <w:rFonts w:ascii="Times New Roman" w:hAnsi="Times New Roman" w:cs="Times New Roman"/>
                <w:spacing w:val="-6"/>
              </w:rPr>
            </w:pPr>
            <w:r w:rsidRPr="00C56A8A">
              <w:rPr>
                <w:rFonts w:ascii="Times New Roman" w:hAnsi="Times New Roman" w:cs="Times New Roman"/>
                <w:spacing w:val="-6"/>
              </w:rPr>
              <w:t xml:space="preserve">налог на доходы физических </w:t>
            </w:r>
            <w:proofErr w:type="gramStart"/>
            <w:r w:rsidRPr="00C56A8A">
              <w:rPr>
                <w:rFonts w:ascii="Times New Roman" w:hAnsi="Times New Roman" w:cs="Times New Roman"/>
                <w:spacing w:val="-6"/>
              </w:rPr>
              <w:t>лиц,*</w:t>
            </w:r>
            <w:proofErr w:type="gramEnd"/>
            <w:r w:rsidRPr="00C56A8A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6 877,9</w:t>
            </w:r>
          </w:p>
        </w:tc>
        <w:tc>
          <w:tcPr>
            <w:tcW w:w="1136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6 470,7</w:t>
            </w:r>
          </w:p>
        </w:tc>
        <w:tc>
          <w:tcPr>
            <w:tcW w:w="990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-407,2</w:t>
            </w:r>
          </w:p>
        </w:tc>
        <w:tc>
          <w:tcPr>
            <w:tcW w:w="1134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7 260,3</w:t>
            </w:r>
          </w:p>
        </w:tc>
        <w:tc>
          <w:tcPr>
            <w:tcW w:w="1275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6 767,2</w:t>
            </w:r>
          </w:p>
        </w:tc>
        <w:tc>
          <w:tcPr>
            <w:tcW w:w="993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-493,1</w:t>
            </w:r>
          </w:p>
        </w:tc>
        <w:tc>
          <w:tcPr>
            <w:tcW w:w="1135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6 790,8</w:t>
            </w:r>
          </w:p>
        </w:tc>
      </w:tr>
      <w:tr w:rsidR="00492136" w:rsidRPr="00492136" w:rsidTr="008651C6">
        <w:tc>
          <w:tcPr>
            <w:tcW w:w="1985" w:type="dxa"/>
          </w:tcPr>
          <w:p w:rsidR="00492136" w:rsidRPr="00C56A8A" w:rsidRDefault="00492136" w:rsidP="00492136">
            <w:pPr>
              <w:spacing w:after="0" w:line="240" w:lineRule="auto"/>
              <w:ind w:left="176" w:right="-72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C56A8A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Налоги на совокупный </w:t>
            </w:r>
            <w:proofErr w:type="gramStart"/>
            <w:r w:rsidRPr="00C56A8A">
              <w:rPr>
                <w:rFonts w:ascii="Times New Roman" w:hAnsi="Times New Roman" w:cs="Times New Roman"/>
                <w:color w:val="000000" w:themeColor="text1"/>
                <w:spacing w:val="-6"/>
              </w:rPr>
              <w:t>доход  млн.</w:t>
            </w:r>
            <w:proofErr w:type="gramEnd"/>
            <w:r w:rsidRPr="00C56A8A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руб.</w:t>
            </w:r>
          </w:p>
        </w:tc>
        <w:tc>
          <w:tcPr>
            <w:tcW w:w="1134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6A8A">
              <w:rPr>
                <w:rFonts w:ascii="Times New Roman" w:hAnsi="Times New Roman" w:cs="Times New Roman"/>
                <w:color w:val="000000" w:themeColor="text1"/>
              </w:rPr>
              <w:t>1 467,8</w:t>
            </w:r>
          </w:p>
        </w:tc>
        <w:tc>
          <w:tcPr>
            <w:tcW w:w="1136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6A8A">
              <w:rPr>
                <w:rFonts w:ascii="Times New Roman" w:hAnsi="Times New Roman" w:cs="Times New Roman"/>
                <w:color w:val="000000" w:themeColor="text1"/>
              </w:rPr>
              <w:t>1 565,7</w:t>
            </w:r>
          </w:p>
        </w:tc>
        <w:tc>
          <w:tcPr>
            <w:tcW w:w="990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6A8A">
              <w:rPr>
                <w:rFonts w:ascii="Times New Roman" w:hAnsi="Times New Roman" w:cs="Times New Roman"/>
                <w:color w:val="000000" w:themeColor="text1"/>
              </w:rPr>
              <w:t>+97,9</w:t>
            </w:r>
          </w:p>
        </w:tc>
        <w:tc>
          <w:tcPr>
            <w:tcW w:w="1134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6A8A">
              <w:rPr>
                <w:rFonts w:ascii="Times New Roman" w:hAnsi="Times New Roman" w:cs="Times New Roman"/>
                <w:color w:val="000000" w:themeColor="text1"/>
              </w:rPr>
              <w:t>1 539,2</w:t>
            </w:r>
          </w:p>
        </w:tc>
        <w:tc>
          <w:tcPr>
            <w:tcW w:w="1275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6A8A">
              <w:rPr>
                <w:rFonts w:ascii="Times New Roman" w:hAnsi="Times New Roman" w:cs="Times New Roman"/>
                <w:color w:val="000000" w:themeColor="text1"/>
              </w:rPr>
              <w:t>1 726,4</w:t>
            </w:r>
          </w:p>
        </w:tc>
        <w:tc>
          <w:tcPr>
            <w:tcW w:w="993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6A8A">
              <w:rPr>
                <w:rFonts w:ascii="Times New Roman" w:hAnsi="Times New Roman" w:cs="Times New Roman"/>
                <w:color w:val="000000" w:themeColor="text1"/>
              </w:rPr>
              <w:t>+187,2</w:t>
            </w:r>
          </w:p>
        </w:tc>
        <w:tc>
          <w:tcPr>
            <w:tcW w:w="1135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6A8A">
              <w:rPr>
                <w:rFonts w:ascii="Times New Roman" w:hAnsi="Times New Roman" w:cs="Times New Roman"/>
                <w:color w:val="000000" w:themeColor="text1"/>
              </w:rPr>
              <w:t>1 823,7</w:t>
            </w:r>
          </w:p>
        </w:tc>
      </w:tr>
      <w:tr w:rsidR="00492136" w:rsidRPr="00492136" w:rsidTr="008651C6">
        <w:tc>
          <w:tcPr>
            <w:tcW w:w="1985" w:type="dxa"/>
          </w:tcPr>
          <w:p w:rsidR="00492136" w:rsidRPr="00C56A8A" w:rsidRDefault="00492136" w:rsidP="00492136">
            <w:pPr>
              <w:spacing w:after="0" w:line="240" w:lineRule="auto"/>
              <w:ind w:left="176" w:right="-72"/>
              <w:rPr>
                <w:rFonts w:ascii="Times New Roman" w:hAnsi="Times New Roman" w:cs="Times New Roman"/>
                <w:spacing w:val="-6"/>
              </w:rPr>
            </w:pPr>
            <w:r w:rsidRPr="00C56A8A">
              <w:rPr>
                <w:rFonts w:ascii="Times New Roman" w:hAnsi="Times New Roman" w:cs="Times New Roman"/>
                <w:spacing w:val="-6"/>
              </w:rPr>
              <w:t>имущественные налоги млн. руб.</w:t>
            </w:r>
          </w:p>
        </w:tc>
        <w:tc>
          <w:tcPr>
            <w:tcW w:w="1134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604,1</w:t>
            </w:r>
          </w:p>
        </w:tc>
        <w:tc>
          <w:tcPr>
            <w:tcW w:w="1136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574,6</w:t>
            </w:r>
          </w:p>
        </w:tc>
        <w:tc>
          <w:tcPr>
            <w:tcW w:w="990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-29,5</w:t>
            </w:r>
          </w:p>
        </w:tc>
        <w:tc>
          <w:tcPr>
            <w:tcW w:w="1134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620,8</w:t>
            </w:r>
          </w:p>
        </w:tc>
        <w:tc>
          <w:tcPr>
            <w:tcW w:w="1275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583,8</w:t>
            </w:r>
          </w:p>
        </w:tc>
        <w:tc>
          <w:tcPr>
            <w:tcW w:w="993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-37,0</w:t>
            </w:r>
          </w:p>
        </w:tc>
        <w:tc>
          <w:tcPr>
            <w:tcW w:w="1135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593,7</w:t>
            </w:r>
          </w:p>
        </w:tc>
      </w:tr>
      <w:tr w:rsidR="00492136" w:rsidRPr="00492136" w:rsidTr="008651C6">
        <w:tc>
          <w:tcPr>
            <w:tcW w:w="1985" w:type="dxa"/>
          </w:tcPr>
          <w:p w:rsidR="00492136" w:rsidRPr="00C56A8A" w:rsidRDefault="00492136" w:rsidP="00492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Неналоговые доходы, млн. руб.</w:t>
            </w:r>
          </w:p>
        </w:tc>
        <w:tc>
          <w:tcPr>
            <w:tcW w:w="1134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1 297,4</w:t>
            </w:r>
          </w:p>
        </w:tc>
        <w:tc>
          <w:tcPr>
            <w:tcW w:w="1136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1 338,4</w:t>
            </w:r>
          </w:p>
        </w:tc>
        <w:tc>
          <w:tcPr>
            <w:tcW w:w="990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34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1 252,4</w:t>
            </w:r>
          </w:p>
        </w:tc>
        <w:tc>
          <w:tcPr>
            <w:tcW w:w="1275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1 325,6</w:t>
            </w:r>
          </w:p>
        </w:tc>
        <w:tc>
          <w:tcPr>
            <w:tcW w:w="993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135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1 306,5</w:t>
            </w:r>
          </w:p>
        </w:tc>
      </w:tr>
      <w:tr w:rsidR="00492136" w:rsidRPr="00492136" w:rsidTr="008651C6">
        <w:tc>
          <w:tcPr>
            <w:tcW w:w="1985" w:type="dxa"/>
          </w:tcPr>
          <w:p w:rsidR="00492136" w:rsidRPr="00C56A8A" w:rsidRDefault="00492136" w:rsidP="00492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- из них:</w:t>
            </w:r>
          </w:p>
        </w:tc>
        <w:tc>
          <w:tcPr>
            <w:tcW w:w="1134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136" w:rsidRPr="00492136" w:rsidTr="008651C6">
        <w:tc>
          <w:tcPr>
            <w:tcW w:w="1985" w:type="dxa"/>
          </w:tcPr>
          <w:p w:rsidR="00492136" w:rsidRPr="00C56A8A" w:rsidRDefault="00492136" w:rsidP="00492136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eastAsia="Calibri" w:hAnsi="Times New Roman" w:cs="Times New Roman"/>
              </w:rPr>
              <w:t>Доходы от использования муниципального имущества, млн. руб.</w:t>
            </w:r>
          </w:p>
        </w:tc>
        <w:tc>
          <w:tcPr>
            <w:tcW w:w="1134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754,8</w:t>
            </w:r>
          </w:p>
        </w:tc>
        <w:tc>
          <w:tcPr>
            <w:tcW w:w="1136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855,7</w:t>
            </w:r>
          </w:p>
        </w:tc>
        <w:tc>
          <w:tcPr>
            <w:tcW w:w="990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+100,9</w:t>
            </w:r>
          </w:p>
        </w:tc>
        <w:tc>
          <w:tcPr>
            <w:tcW w:w="1134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740,8</w:t>
            </w:r>
          </w:p>
        </w:tc>
        <w:tc>
          <w:tcPr>
            <w:tcW w:w="1275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862,6</w:t>
            </w:r>
          </w:p>
        </w:tc>
        <w:tc>
          <w:tcPr>
            <w:tcW w:w="993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+121,8</w:t>
            </w:r>
          </w:p>
        </w:tc>
        <w:tc>
          <w:tcPr>
            <w:tcW w:w="1135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886,1</w:t>
            </w:r>
          </w:p>
        </w:tc>
      </w:tr>
      <w:tr w:rsidR="00492136" w:rsidRPr="00492136" w:rsidTr="008651C6">
        <w:trPr>
          <w:trHeight w:val="558"/>
        </w:trPr>
        <w:tc>
          <w:tcPr>
            <w:tcW w:w="1985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6A8A">
              <w:rPr>
                <w:rFonts w:ascii="Times New Roman" w:hAnsi="Times New Roman" w:cs="Times New Roman"/>
                <w:lang w:eastAsia="ru-RU"/>
              </w:rPr>
              <w:t xml:space="preserve">Дотация из ФФПП, </w:t>
            </w:r>
            <w:r w:rsidRPr="00C56A8A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264,6</w:t>
            </w:r>
          </w:p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264,6</w:t>
            </w:r>
          </w:p>
        </w:tc>
        <w:tc>
          <w:tcPr>
            <w:tcW w:w="990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264,6</w:t>
            </w:r>
          </w:p>
        </w:tc>
        <w:tc>
          <w:tcPr>
            <w:tcW w:w="1275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264,6</w:t>
            </w:r>
          </w:p>
        </w:tc>
        <w:tc>
          <w:tcPr>
            <w:tcW w:w="993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492136" w:rsidRPr="00C56A8A" w:rsidRDefault="00492136" w:rsidP="0049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A8A">
              <w:rPr>
                <w:rFonts w:ascii="Times New Roman" w:hAnsi="Times New Roman" w:cs="Times New Roman"/>
              </w:rPr>
              <w:t>588,0</w:t>
            </w:r>
          </w:p>
        </w:tc>
      </w:tr>
    </w:tbl>
    <w:p w:rsidR="00492136" w:rsidRPr="00492136" w:rsidRDefault="00492136" w:rsidP="004921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921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492136" w:rsidRPr="00492136" w:rsidRDefault="00492136" w:rsidP="004921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136">
        <w:rPr>
          <w:rFonts w:ascii="Times New Roman" w:hAnsi="Times New Roman"/>
          <w:sz w:val="24"/>
          <w:szCs w:val="24"/>
        </w:rPr>
        <w:t xml:space="preserve">Примечание: </w:t>
      </w:r>
    </w:p>
    <w:p w:rsidR="00492136" w:rsidRPr="00492136" w:rsidRDefault="00492136" w:rsidP="004921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136">
        <w:rPr>
          <w:rFonts w:ascii="Times New Roman" w:hAnsi="Times New Roman"/>
          <w:sz w:val="24"/>
          <w:szCs w:val="24"/>
        </w:rPr>
        <w:t>* Показатели налога на доходы физических лиц, соответствуют нормативу зачисления в бюджет города в размере 2017 -35,8%; 2018-35,7%; 2019-35,6%; 2020- 34%.</w:t>
      </w:r>
    </w:p>
    <w:p w:rsidR="00492136" w:rsidRPr="00492136" w:rsidRDefault="00492136" w:rsidP="00492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014" w:rsidRDefault="00EF4014" w:rsidP="00EF40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Законодательных изменений в составе доходов и нормативах их зачисления для муниципальных образований не отмечается.</w:t>
      </w:r>
    </w:p>
    <w:p w:rsidR="00EF4014" w:rsidRDefault="00EF4014" w:rsidP="00EF4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ормативы отчислений НДФЛ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применены в соответствии с решением Думы города от 31.10.2016 №6-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ДГ о согласовании частичной замены дотации из регионального фонда финансовой поддержки поселений дополнительными нормативами отчислений от НДФЛ в размерах: 35,7% на 2018 год; 35,6% на 2019 год; 34%-2020 год. </w:t>
      </w:r>
    </w:p>
    <w:p w:rsidR="00EF4014" w:rsidRDefault="00EF4014" w:rsidP="00EF4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Данные показатели будут уточнены после принятия</w:t>
      </w:r>
      <w:r w:rsidR="005C2D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автономным округом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соответствующего решения и </w:t>
      </w:r>
      <w:r w:rsidR="005C2DBA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рассмотрения Думой города вопроса о замене (отказе от замены) дотации дополнительным нормативом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F4014" w:rsidRDefault="00EF4014" w:rsidP="00EF4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целом налоговые и неналоговые доходы спрогнозированы со снижением к утвержденному бюджету 2017-2019 года. </w:t>
      </w:r>
    </w:p>
    <w:p w:rsidR="00EF4014" w:rsidRDefault="00EF4014" w:rsidP="00EF4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Отклонение сформированных параметров 2018 года от утвержденных сложилось за счёт уточнения прогнозных поступлений в сторону уменьшения следующих доходов:</w:t>
      </w:r>
    </w:p>
    <w:p w:rsidR="00DA2DA9" w:rsidRDefault="00FA4B8F" w:rsidP="00A17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EF4014" w:rsidRPr="001D3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алога на доходы физических лиц.</w:t>
      </w:r>
      <w:r w:rsidR="00EF40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EF4014">
        <w:rPr>
          <w:rFonts w:ascii="Times New Roman" w:hAnsi="Times New Roman" w:cs="Times New Roman"/>
          <w:sz w:val="28"/>
          <w:szCs w:val="28"/>
        </w:rPr>
        <w:t xml:space="preserve">Прогнозные назначения планируются исходя из ожидаемой оценки, с учетом темпов роста </w:t>
      </w:r>
      <w:r w:rsidR="002E5427">
        <w:rPr>
          <w:rFonts w:ascii="Times New Roman" w:hAnsi="Times New Roman" w:cs="Times New Roman"/>
          <w:sz w:val="28"/>
          <w:szCs w:val="28"/>
        </w:rPr>
        <w:t>фонда заработной платы</w:t>
      </w:r>
      <w:r w:rsidR="009C53F4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A8116A">
        <w:rPr>
          <w:rFonts w:ascii="Times New Roman" w:hAnsi="Times New Roman" w:cs="Times New Roman"/>
          <w:sz w:val="28"/>
          <w:szCs w:val="28"/>
        </w:rPr>
        <w:t>104%</w:t>
      </w:r>
      <w:r w:rsidR="00DA2DA9">
        <w:rPr>
          <w:rFonts w:ascii="Times New Roman" w:hAnsi="Times New Roman" w:cs="Times New Roman"/>
          <w:sz w:val="28"/>
          <w:szCs w:val="28"/>
        </w:rPr>
        <w:t>.</w:t>
      </w:r>
    </w:p>
    <w:p w:rsidR="00D318CA" w:rsidRPr="00492136" w:rsidRDefault="00D318CA" w:rsidP="00A57B8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32582">
        <w:rPr>
          <w:rFonts w:ascii="Times New Roman" w:hAnsi="Times New Roman"/>
          <w:color w:val="000000" w:themeColor="text1"/>
          <w:sz w:val="28"/>
          <w:szCs w:val="28"/>
        </w:rPr>
        <w:t>казанн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132582">
        <w:rPr>
          <w:rFonts w:ascii="Times New Roman" w:hAnsi="Times New Roman"/>
          <w:color w:val="000000" w:themeColor="text1"/>
          <w:sz w:val="28"/>
          <w:szCs w:val="28"/>
        </w:rPr>
        <w:t xml:space="preserve"> выше негативн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1325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25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тенденци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Pr="001325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32582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поступления НДФЛ </w:t>
      </w:r>
      <w:r>
        <w:rPr>
          <w:rFonts w:ascii="Times New Roman" w:eastAsia="TimesNewRomanPSMT" w:hAnsi="Times New Roman"/>
          <w:color w:val="000000" w:themeColor="text1"/>
          <w:sz w:val="28"/>
          <w:szCs w:val="28"/>
        </w:rPr>
        <w:t>требует принятия взвешенного решения о замене либо</w:t>
      </w:r>
      <w:r w:rsidRPr="00132582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отказе</w:t>
      </w:r>
      <w:r w:rsidRPr="001325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</w:t>
      </w:r>
      <w:r w:rsidRPr="001325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замены дотации из регионального фонда финансовой поддержки поселений дополнительными нормативами отчислений.</w:t>
      </w:r>
      <w:r w:rsidRPr="004921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C10DD" w:rsidRPr="00492136" w:rsidRDefault="003253A9" w:rsidP="00E2681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17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="00FA4B8F" w:rsidRPr="001D3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EF4014" w:rsidRPr="001D3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емельного налога</w:t>
      </w:r>
      <w:r w:rsidR="00D10EC2" w:rsidRPr="001D3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F40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5C10DD" w:rsidRPr="00492136">
        <w:rPr>
          <w:rFonts w:ascii="Times New Roman" w:eastAsia="TimesNewRomanPSMT" w:hAnsi="Times New Roman"/>
          <w:sz w:val="28"/>
          <w:szCs w:val="28"/>
        </w:rPr>
        <w:t xml:space="preserve">ИФНС России по городу Сургуту отмечается увеличение количества налогоплательщиков, оспаривающих кадастровую стоимость земельных участков, что приводит не только к снижению поступлений земельного налога, но и к его возвратам. </w:t>
      </w:r>
      <w:r w:rsidR="006F1C11">
        <w:rPr>
          <w:rFonts w:ascii="Times New Roman" w:eastAsia="TimesNewRomanPSMT" w:hAnsi="Times New Roman"/>
          <w:sz w:val="28"/>
          <w:szCs w:val="28"/>
        </w:rPr>
        <w:t>М</w:t>
      </w:r>
      <w:r w:rsidR="005C10DD" w:rsidRPr="00492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 решений, принятых в 2016 году комиссией по рассмотрению споров о результатах определения кадастровой стоимости, показал, что по отдельным оспоренным земельным участкам, уменьшение кадастровой стоимости достигает более 80 процентов.</w:t>
      </w:r>
    </w:p>
    <w:p w:rsidR="00E97BBC" w:rsidRPr="00492136" w:rsidRDefault="00E97BBC" w:rsidP="007A0D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813">
        <w:rPr>
          <w:rFonts w:ascii="Times New Roman" w:hAnsi="Times New Roman"/>
          <w:spacing w:val="-4"/>
          <w:sz w:val="28"/>
          <w:szCs w:val="28"/>
        </w:rPr>
        <w:t>Налоги</w:t>
      </w:r>
      <w:r w:rsidRPr="00E26813">
        <w:rPr>
          <w:rFonts w:ascii="Times New Roman" w:hAnsi="Times New Roman" w:cs="Times New Roman"/>
          <w:color w:val="000000"/>
          <w:sz w:val="28"/>
          <w:szCs w:val="28"/>
        </w:rPr>
        <w:t xml:space="preserve"> на совокупный доход</w:t>
      </w:r>
      <w:r w:rsidRPr="00492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136">
        <w:rPr>
          <w:rFonts w:ascii="Times New Roman" w:hAnsi="Times New Roman"/>
          <w:spacing w:val="-4"/>
          <w:sz w:val="28"/>
          <w:szCs w:val="28"/>
        </w:rPr>
        <w:t xml:space="preserve">(налог, взимаемый в связи с применением упрощённой системы налогообложения, единый налог на вменённый доход, патент) </w:t>
      </w:r>
      <w:r w:rsidRPr="00492136">
        <w:rPr>
          <w:rFonts w:ascii="Times New Roman" w:hAnsi="Times New Roman" w:cs="Times New Roman"/>
          <w:color w:val="000000"/>
          <w:sz w:val="28"/>
          <w:szCs w:val="28"/>
        </w:rPr>
        <w:t>прогнозиру</w:t>
      </w:r>
      <w:r>
        <w:rPr>
          <w:rFonts w:ascii="Times New Roman" w:hAnsi="Times New Roman" w:cs="Times New Roman"/>
          <w:color w:val="000000"/>
          <w:sz w:val="28"/>
          <w:szCs w:val="28"/>
        </w:rPr>
        <w:t>ются с ростом</w:t>
      </w:r>
      <w:r w:rsidRPr="00492136">
        <w:rPr>
          <w:rFonts w:ascii="Times New Roman" w:hAnsi="Times New Roman" w:cs="Times New Roman"/>
          <w:color w:val="000000"/>
          <w:sz w:val="28"/>
          <w:szCs w:val="28"/>
        </w:rPr>
        <w:t xml:space="preserve"> (106,7 %)</w:t>
      </w:r>
      <w:r w:rsidR="00E26813">
        <w:rPr>
          <w:rFonts w:ascii="Times New Roman" w:hAnsi="Times New Roman" w:cs="Times New Roman"/>
          <w:color w:val="000000"/>
          <w:sz w:val="28"/>
          <w:szCs w:val="28"/>
        </w:rPr>
        <w:t>, как отмечено выше</w:t>
      </w:r>
      <w:r w:rsidRPr="004921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5064" w:rsidRPr="00492136" w:rsidRDefault="000A5064" w:rsidP="00C9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136">
        <w:rPr>
          <w:rFonts w:ascii="Times New Roman" w:hAnsi="Times New Roman" w:cs="Times New Roman"/>
          <w:sz w:val="28"/>
          <w:szCs w:val="28"/>
        </w:rPr>
        <w:t xml:space="preserve">Рост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прогнозируется и </w:t>
      </w:r>
      <w:r w:rsidRPr="00492136">
        <w:rPr>
          <w:rFonts w:ascii="Times New Roman" w:hAnsi="Times New Roman" w:cs="Times New Roman"/>
          <w:sz w:val="28"/>
          <w:szCs w:val="28"/>
        </w:rPr>
        <w:t xml:space="preserve">по </w:t>
      </w:r>
      <w:r w:rsidRPr="007A0DF9">
        <w:rPr>
          <w:rFonts w:ascii="Times New Roman" w:hAnsi="Times New Roman" w:cs="Times New Roman"/>
          <w:sz w:val="28"/>
          <w:szCs w:val="28"/>
        </w:rPr>
        <w:t>патентной системе налогообложения</w:t>
      </w:r>
      <w:r w:rsidR="005B13DB">
        <w:rPr>
          <w:rFonts w:ascii="Times New Roman" w:hAnsi="Times New Roman" w:cs="Times New Roman"/>
          <w:sz w:val="28"/>
          <w:szCs w:val="28"/>
        </w:rPr>
        <w:t xml:space="preserve"> </w:t>
      </w:r>
      <w:r w:rsidR="006D417C">
        <w:rPr>
          <w:rFonts w:ascii="Times New Roman" w:hAnsi="Times New Roman" w:cs="Times New Roman"/>
          <w:sz w:val="28"/>
          <w:szCs w:val="28"/>
        </w:rPr>
        <w:t>(</w:t>
      </w:r>
      <w:r w:rsidR="00DD791A" w:rsidRPr="007A0DF9">
        <w:rPr>
          <w:rFonts w:ascii="Times New Roman" w:hAnsi="Times New Roman" w:cs="Times New Roman"/>
          <w:sz w:val="28"/>
          <w:szCs w:val="28"/>
        </w:rPr>
        <w:t>115,1%</w:t>
      </w:r>
      <w:r w:rsidR="006D417C">
        <w:rPr>
          <w:rFonts w:ascii="Times New Roman" w:hAnsi="Times New Roman" w:cs="Times New Roman"/>
          <w:sz w:val="28"/>
          <w:szCs w:val="28"/>
        </w:rPr>
        <w:t>), которая</w:t>
      </w:r>
      <w:r w:rsidRPr="00492136">
        <w:rPr>
          <w:rFonts w:ascii="Times New Roman" w:hAnsi="Times New Roman" w:cs="Times New Roman"/>
          <w:bCs/>
          <w:sz w:val="28"/>
          <w:szCs w:val="28"/>
        </w:rPr>
        <w:t xml:space="preserve"> остаётся востребованной многими индивидуальными предпринимателями. </w:t>
      </w:r>
    </w:p>
    <w:p w:rsidR="00EF4014" w:rsidRDefault="00EF4014" w:rsidP="00EF4014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неналоговых доходов осуществлено в основном с ростом к утвержденным показателям</w:t>
      </w:r>
      <w:r w:rsidR="002E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(100,9%)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136" w:rsidRPr="00386F4D" w:rsidRDefault="00492136" w:rsidP="005F29C7">
      <w:pPr>
        <w:pBdr>
          <w:top w:val="single" w:sz="4" w:space="0" w:color="FFFFFF"/>
          <w:left w:val="single" w:sz="4" w:space="0" w:color="FFFFFF"/>
          <w:bottom w:val="single" w:sz="4" w:space="3" w:color="FFFFFF"/>
          <w:right w:val="single" w:sz="4" w:space="0" w:color="FFFFFF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92136">
        <w:rPr>
          <w:rFonts w:ascii="Times New Roman" w:hAnsi="Times New Roman" w:cs="Times New Roman"/>
          <w:sz w:val="28"/>
          <w:szCs w:val="28"/>
        </w:rPr>
        <w:t>При формировании источников финансирования дефицита бюджета будет учтена необходимость погашения долговых обязательств в рамках действующих муниципальных контрактов и обеспечения возможного исполнения обязательств по муниципальной гарантии СГМУП "</w:t>
      </w:r>
      <w:proofErr w:type="spellStart"/>
      <w:r w:rsidRPr="00492136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492136">
        <w:rPr>
          <w:rFonts w:ascii="Times New Roman" w:hAnsi="Times New Roman" w:cs="Times New Roman"/>
          <w:sz w:val="28"/>
          <w:szCs w:val="28"/>
        </w:rPr>
        <w:t xml:space="preserve">", действующей до конца 2019 года. </w:t>
      </w:r>
    </w:p>
    <w:p w:rsidR="00492136" w:rsidRPr="00492136" w:rsidRDefault="00492136" w:rsidP="005F29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36">
        <w:rPr>
          <w:rFonts w:ascii="Times New Roman" w:hAnsi="Times New Roman" w:cs="Times New Roman"/>
          <w:sz w:val="28"/>
          <w:szCs w:val="28"/>
        </w:rPr>
        <w:t>Кроме того, будут учтены поступления от продажи акций, находящихся в собственности муниципального образования, в том числе акций ОАО "Сургутнефтегаз", и возврат бюджетных кредитов, ранее предоставленных из бюджета города, в соответствии с графиками.</w:t>
      </w:r>
    </w:p>
    <w:p w:rsidR="00492136" w:rsidRPr="00492136" w:rsidRDefault="00492136" w:rsidP="0049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136">
        <w:rPr>
          <w:rFonts w:ascii="Times New Roman" w:hAnsi="Times New Roman" w:cs="Times New Roman"/>
          <w:sz w:val="28"/>
          <w:szCs w:val="28"/>
        </w:rPr>
        <w:t>Состав источников финансирования дефицита бюджета представлен в таблице:</w:t>
      </w:r>
    </w:p>
    <w:p w:rsidR="00492136" w:rsidRPr="00492136" w:rsidRDefault="00492136" w:rsidP="004921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492136">
        <w:rPr>
          <w:rFonts w:ascii="Times New Roman" w:hAnsi="Times New Roman" w:cs="Times New Roman"/>
          <w:sz w:val="24"/>
          <w:szCs w:val="28"/>
        </w:rPr>
        <w:t>(тыс. рублей)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00"/>
        <w:gridCol w:w="1400"/>
        <w:gridCol w:w="1400"/>
      </w:tblGrid>
      <w:tr w:rsidR="00492136" w:rsidRPr="00492136" w:rsidTr="008651C6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</w:tr>
      <w:tr w:rsidR="00492136" w:rsidRPr="00492136" w:rsidTr="008651C6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492136" w:rsidRPr="00492136" w:rsidTr="008651C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13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597 200,0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127 518,9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- 57 900,7</w:t>
            </w:r>
          </w:p>
        </w:tc>
      </w:tr>
      <w:tr w:rsidR="00492136" w:rsidRPr="00492136" w:rsidTr="008651C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136">
              <w:rPr>
                <w:rFonts w:ascii="Times New Roman" w:eastAsia="Calibri" w:hAnsi="Times New Roman" w:cs="Times New Roman"/>
                <w:sz w:val="20"/>
                <w:szCs w:val="20"/>
              </w:rPr>
              <w:t>1. Кредиты кредитных организаций, 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138 521,7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- 22 520,5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- 112 500,0</w:t>
            </w:r>
          </w:p>
        </w:tc>
      </w:tr>
      <w:tr w:rsidR="00492136" w:rsidRPr="00492136" w:rsidTr="008651C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136">
              <w:rPr>
                <w:rFonts w:ascii="Times New Roman" w:eastAsia="Calibri" w:hAnsi="Times New Roman" w:cs="Times New Roman"/>
                <w:sz w:val="20"/>
                <w:szCs w:val="20"/>
              </w:rPr>
              <w:t>1.1. Погашение кредитов, 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- 104 628,9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- 37 500,0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- 112 500,0</w:t>
            </w:r>
          </w:p>
        </w:tc>
      </w:tr>
      <w:tr w:rsidR="00492136" w:rsidRPr="00492136" w:rsidTr="008651C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136">
              <w:rPr>
                <w:rFonts w:ascii="Times New Roman" w:eastAsia="Calibri" w:hAnsi="Times New Roman" w:cs="Times New Roman"/>
                <w:sz w:val="20"/>
                <w:szCs w:val="20"/>
              </w:rPr>
              <w:t>- по муниципальному контракту, заключенному</w:t>
            </w:r>
          </w:p>
          <w:p w:rsidR="00492136" w:rsidRPr="00492136" w:rsidRDefault="00492136" w:rsidP="0049213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136">
              <w:rPr>
                <w:rFonts w:ascii="Times New Roman" w:eastAsia="Calibri" w:hAnsi="Times New Roman" w:cs="Times New Roman"/>
                <w:sz w:val="20"/>
                <w:szCs w:val="20"/>
              </w:rPr>
              <w:t>в 2011 году с ПАО "Сбербанк России"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- 104 628,9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2136" w:rsidRPr="00492136" w:rsidTr="008651C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136">
              <w:rPr>
                <w:rFonts w:ascii="Times New Roman" w:eastAsia="Calibri" w:hAnsi="Times New Roman" w:cs="Times New Roman"/>
                <w:sz w:val="20"/>
                <w:szCs w:val="20"/>
              </w:rPr>
              <w:t>- по муниципальному контракту, заключенному</w:t>
            </w:r>
          </w:p>
          <w:p w:rsidR="00492136" w:rsidRPr="00492136" w:rsidRDefault="00492136" w:rsidP="0049213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136">
              <w:rPr>
                <w:rFonts w:ascii="Times New Roman" w:eastAsia="Calibri" w:hAnsi="Times New Roman" w:cs="Times New Roman"/>
                <w:sz w:val="20"/>
                <w:szCs w:val="20"/>
              </w:rPr>
              <w:t>в 2016 году на финансирование дефицита бюджета города с ПАО «Запсибкомбанк»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-37 500,0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- 112 500,0</w:t>
            </w:r>
          </w:p>
        </w:tc>
      </w:tr>
      <w:tr w:rsidR="00492136" w:rsidRPr="00492136" w:rsidTr="008651C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136">
              <w:rPr>
                <w:rFonts w:ascii="Times New Roman" w:eastAsia="Calibri" w:hAnsi="Times New Roman" w:cs="Times New Roman"/>
                <w:sz w:val="20"/>
                <w:szCs w:val="20"/>
              </w:rPr>
              <w:t>1.2. Получение кредитов, 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243 150,6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14 979,5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2136" w:rsidRPr="00492136" w:rsidTr="008651C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136">
              <w:rPr>
                <w:rFonts w:ascii="Times New Roman" w:eastAsia="Calibri" w:hAnsi="Times New Roman" w:cs="Times New Roman"/>
                <w:sz w:val="20"/>
                <w:szCs w:val="20"/>
              </w:rPr>
              <w:t>- по муниципальному контракту, планируемому</w:t>
            </w:r>
          </w:p>
          <w:p w:rsidR="00492136" w:rsidRPr="00492136" w:rsidRDefault="00492136" w:rsidP="0049213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136">
              <w:rPr>
                <w:rFonts w:ascii="Times New Roman" w:eastAsia="Calibri" w:hAnsi="Times New Roman" w:cs="Times New Roman"/>
                <w:sz w:val="20"/>
                <w:szCs w:val="20"/>
              </w:rPr>
              <w:t>к заключению в случае возникновения</w:t>
            </w:r>
          </w:p>
          <w:p w:rsidR="00492136" w:rsidRPr="00492136" w:rsidRDefault="00492136" w:rsidP="0049213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136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необходимости обеспечения обязательств</w:t>
            </w:r>
          </w:p>
          <w:p w:rsidR="00492136" w:rsidRPr="00492136" w:rsidRDefault="00492136" w:rsidP="0049213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136">
              <w:rPr>
                <w:rFonts w:ascii="Times New Roman" w:eastAsia="Calibri" w:hAnsi="Times New Roman" w:cs="Times New Roman"/>
                <w:sz w:val="20"/>
                <w:szCs w:val="20"/>
              </w:rPr>
              <w:t>по предоставленным муниципальным гарантиям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32 484,0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14 979,5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2136" w:rsidRPr="00492136" w:rsidTr="008651C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 муниципальному контракту, планируемому к заключению на финансирование дефицита бюджета в целях реализации инвестиционных проектов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210 666,6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2136" w:rsidRPr="00492136" w:rsidTr="008651C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E51B64" w:rsidP="0049213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92136" w:rsidRPr="00492136">
              <w:rPr>
                <w:rFonts w:ascii="Times New Roman" w:eastAsia="Calibri" w:hAnsi="Times New Roman" w:cs="Times New Roman"/>
                <w:sz w:val="20"/>
                <w:szCs w:val="20"/>
              </w:rPr>
              <w:t>. Поступления от продажи акций,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409 083,0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100 724,0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5 730,9</w:t>
            </w:r>
          </w:p>
        </w:tc>
      </w:tr>
      <w:tr w:rsidR="00492136" w:rsidRPr="00492136" w:rsidTr="008651C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136">
              <w:rPr>
                <w:rFonts w:ascii="Times New Roman" w:eastAsia="Calibri" w:hAnsi="Times New Roman" w:cs="Times New Roman"/>
                <w:sz w:val="20"/>
                <w:szCs w:val="20"/>
              </w:rPr>
              <w:t>- ОАО «Сургутнефтегаз»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372 398,1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136" w:rsidRPr="00492136" w:rsidTr="008651C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136">
              <w:rPr>
                <w:rFonts w:ascii="Times New Roman" w:eastAsia="Calibri" w:hAnsi="Times New Roman" w:cs="Times New Roman"/>
                <w:sz w:val="20"/>
                <w:szCs w:val="20"/>
              </w:rPr>
              <w:t>- ОАО «Югорская лизинговая компания»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36 684,9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136" w:rsidRPr="00492136" w:rsidTr="008651C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136">
              <w:rPr>
                <w:rFonts w:ascii="Times New Roman" w:eastAsia="Calibri" w:hAnsi="Times New Roman" w:cs="Times New Roman"/>
                <w:sz w:val="20"/>
                <w:szCs w:val="20"/>
              </w:rPr>
              <w:t>- ОАО «Агентство воздушных сообщений»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100 724,0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136" w:rsidRPr="00492136" w:rsidTr="008651C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136">
              <w:rPr>
                <w:rFonts w:ascii="Times New Roman" w:eastAsia="Calibri" w:hAnsi="Times New Roman" w:cs="Times New Roman"/>
                <w:sz w:val="20"/>
                <w:szCs w:val="20"/>
              </w:rPr>
              <w:t>- ПАО «Сбербанк России»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5 730,9</w:t>
            </w:r>
          </w:p>
        </w:tc>
      </w:tr>
      <w:tr w:rsidR="00492136" w:rsidRPr="00492136" w:rsidTr="008651C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E51B64" w:rsidP="0049213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92136" w:rsidRPr="00492136">
              <w:rPr>
                <w:rFonts w:ascii="Times New Roman" w:eastAsia="Calibri" w:hAnsi="Times New Roman" w:cs="Times New Roman"/>
                <w:sz w:val="20"/>
                <w:szCs w:val="20"/>
              </w:rPr>
              <w:t>. Возврат кредитов, ранее предоставленных</w:t>
            </w:r>
          </w:p>
          <w:p w:rsidR="00492136" w:rsidRPr="00492136" w:rsidRDefault="00492136" w:rsidP="007811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136">
              <w:rPr>
                <w:rFonts w:ascii="Times New Roman" w:eastAsia="Calibri" w:hAnsi="Times New Roman" w:cs="Times New Roman"/>
                <w:sz w:val="20"/>
                <w:szCs w:val="20"/>
              </w:rPr>
              <w:t>из бюджета города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49 595,3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49 315,4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136" w:rsidRPr="00492136" w:rsidRDefault="00492136" w:rsidP="0049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48 868,4</w:t>
            </w:r>
          </w:p>
        </w:tc>
      </w:tr>
    </w:tbl>
    <w:p w:rsidR="00492136" w:rsidRPr="00492136" w:rsidRDefault="00492136" w:rsidP="0049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862" w:rsidRPr="001F4862" w:rsidRDefault="001F4862" w:rsidP="001F4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862">
        <w:rPr>
          <w:rFonts w:ascii="Times New Roman" w:hAnsi="Times New Roman"/>
          <w:sz w:val="28"/>
          <w:szCs w:val="28"/>
          <w:lang w:eastAsia="ru-RU"/>
        </w:rPr>
        <w:t>Общие параметры проекта бюджета по расходам определены с учетом прогнозируемого объема доходов и поступлений источников финансирования дефицита бюджета и составляют по годам:</w:t>
      </w:r>
    </w:p>
    <w:p w:rsidR="001F4862" w:rsidRPr="00D87777" w:rsidRDefault="001F4862" w:rsidP="001F4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777">
        <w:rPr>
          <w:rFonts w:ascii="Times New Roman" w:hAnsi="Times New Roman"/>
          <w:sz w:val="28"/>
          <w:szCs w:val="28"/>
          <w:lang w:eastAsia="ru-RU"/>
        </w:rPr>
        <w:t>- на 2018 год –</w:t>
      </w:r>
      <w:r w:rsidR="00D87777" w:rsidRPr="00D87777">
        <w:rPr>
          <w:rFonts w:ascii="Times New Roman" w:hAnsi="Times New Roman"/>
          <w:sz w:val="28"/>
          <w:szCs w:val="28"/>
          <w:lang w:eastAsia="ru-RU"/>
        </w:rPr>
        <w:t>10 920,8</w:t>
      </w:r>
      <w:r w:rsidRPr="00D87777">
        <w:rPr>
          <w:rFonts w:ascii="Times New Roman" w:hAnsi="Times New Roman"/>
          <w:sz w:val="28"/>
          <w:szCs w:val="28"/>
          <w:lang w:eastAsia="ru-RU"/>
        </w:rPr>
        <w:t xml:space="preserve"> млн. рублей;</w:t>
      </w:r>
    </w:p>
    <w:p w:rsidR="001F4862" w:rsidRPr="00D87777" w:rsidRDefault="001F4862" w:rsidP="001F4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777">
        <w:rPr>
          <w:rFonts w:ascii="Times New Roman" w:hAnsi="Times New Roman"/>
          <w:sz w:val="28"/>
          <w:szCs w:val="28"/>
          <w:lang w:eastAsia="ru-RU"/>
        </w:rPr>
        <w:t>- на 2019 год –</w:t>
      </w:r>
      <w:r w:rsidR="00D87777" w:rsidRPr="00D87777">
        <w:rPr>
          <w:rFonts w:ascii="Times New Roman" w:hAnsi="Times New Roman"/>
          <w:sz w:val="28"/>
          <w:szCs w:val="28"/>
          <w:lang w:eastAsia="ru-RU"/>
        </w:rPr>
        <w:t xml:space="preserve">10 908,6 </w:t>
      </w:r>
      <w:r w:rsidRPr="00D87777">
        <w:rPr>
          <w:rFonts w:ascii="Times New Roman" w:hAnsi="Times New Roman"/>
          <w:sz w:val="28"/>
          <w:szCs w:val="28"/>
          <w:lang w:eastAsia="ru-RU"/>
        </w:rPr>
        <w:t>млн. рублей;</w:t>
      </w:r>
    </w:p>
    <w:p w:rsidR="001F4862" w:rsidRPr="001F4862" w:rsidRDefault="001F4862" w:rsidP="001F4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777">
        <w:rPr>
          <w:rFonts w:ascii="Times New Roman" w:hAnsi="Times New Roman"/>
          <w:sz w:val="28"/>
          <w:szCs w:val="28"/>
          <w:lang w:eastAsia="ru-RU"/>
        </w:rPr>
        <w:t>- на 2020 год –</w:t>
      </w:r>
      <w:r w:rsidR="00D87777" w:rsidRPr="00D87777">
        <w:rPr>
          <w:rFonts w:ascii="Times New Roman" w:hAnsi="Times New Roman"/>
          <w:sz w:val="28"/>
          <w:szCs w:val="28"/>
          <w:lang w:eastAsia="ru-RU"/>
        </w:rPr>
        <w:t xml:space="preserve">11 158,2 </w:t>
      </w:r>
      <w:r w:rsidRPr="00D87777">
        <w:rPr>
          <w:rFonts w:ascii="Times New Roman" w:hAnsi="Times New Roman"/>
          <w:sz w:val="28"/>
          <w:szCs w:val="28"/>
          <w:lang w:eastAsia="ru-RU"/>
        </w:rPr>
        <w:t>млн. рублей.</w:t>
      </w:r>
    </w:p>
    <w:p w:rsidR="001F4862" w:rsidRPr="001F4862" w:rsidRDefault="001F4862" w:rsidP="001F486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объем расходов позволяет обеспечить утвержденные действующей редакцией решения о бюджете расходы главных распорядителей бюджетных средств на 2018 год и обязательства, возникающие:</w:t>
      </w:r>
    </w:p>
    <w:p w:rsidR="001F4862" w:rsidRPr="001F4862" w:rsidRDefault="001F4862" w:rsidP="001F486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городской инфраструктуры (содержание спортивного комплекса с плавательным бассейном на 50 метров, объездной автомобильной дороги (съезд на ул. Дзержинского), детского технопарка «</w:t>
      </w:r>
      <w:proofErr w:type="spellStart"/>
      <w:r w:rsidRPr="001F4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1F48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ряда других объектов);</w:t>
      </w:r>
    </w:p>
    <w:p w:rsidR="001F4862" w:rsidRPr="001F4862" w:rsidRDefault="001F4862" w:rsidP="001F486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отменой на вышестоящих уровнях налоговой льготы в отношении движимого имущества муниципальных учреждений;</w:t>
      </w:r>
    </w:p>
    <w:p w:rsidR="001F4862" w:rsidRPr="001F4862" w:rsidRDefault="001F4862" w:rsidP="001F486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продлении на 2018 год предоставляемых из местного бюджета дополнительных мер социальной поддержки ограниченного срока действия, действовавших в 2017 году в соответствии с решениями Думы города.</w:t>
      </w:r>
    </w:p>
    <w:p w:rsidR="001F4862" w:rsidRPr="001F4862" w:rsidRDefault="001F4862" w:rsidP="001F4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862">
        <w:rPr>
          <w:rFonts w:ascii="Times New Roman" w:hAnsi="Times New Roman"/>
          <w:sz w:val="28"/>
          <w:szCs w:val="28"/>
          <w:lang w:eastAsia="ru-RU"/>
        </w:rPr>
        <w:t xml:space="preserve">На момент подготовки основных направлений предельные объемы бюджетных ассигнований доведены до главных распорядителей бюджетных средств (далее – ГРБС). Распределение предельных объемов бюджетных ассигнований </w:t>
      </w:r>
      <w:r w:rsidR="003149B2">
        <w:rPr>
          <w:rFonts w:ascii="Times New Roman" w:hAnsi="Times New Roman"/>
          <w:sz w:val="28"/>
          <w:szCs w:val="28"/>
          <w:lang w:eastAsia="ru-RU"/>
        </w:rPr>
        <w:t xml:space="preserve">за счет собственных средств </w:t>
      </w:r>
      <w:r w:rsidRPr="001F4862">
        <w:rPr>
          <w:rFonts w:ascii="Times New Roman" w:hAnsi="Times New Roman"/>
          <w:sz w:val="28"/>
          <w:szCs w:val="28"/>
          <w:lang w:eastAsia="ru-RU"/>
        </w:rPr>
        <w:t>по ГРБС представлено в таблице.</w:t>
      </w:r>
    </w:p>
    <w:p w:rsidR="001F4862" w:rsidRPr="001F4862" w:rsidRDefault="001F4862" w:rsidP="001F486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4862">
        <w:rPr>
          <w:rFonts w:ascii="Times New Roman" w:hAnsi="Times New Roman"/>
          <w:sz w:val="28"/>
          <w:szCs w:val="28"/>
          <w:lang w:eastAsia="ru-RU"/>
        </w:rPr>
        <w:t>млн. рублей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1417"/>
        <w:gridCol w:w="1560"/>
        <w:gridCol w:w="1553"/>
      </w:tblGrid>
      <w:tr w:rsidR="001F4862" w:rsidRPr="001F4862" w:rsidTr="00E62469">
        <w:trPr>
          <w:jc w:val="center"/>
        </w:trPr>
        <w:tc>
          <w:tcPr>
            <w:tcW w:w="2972" w:type="dxa"/>
            <w:vMerge w:val="restart"/>
          </w:tcPr>
          <w:p w:rsidR="001F4862" w:rsidRPr="001F4862" w:rsidRDefault="001F4862" w:rsidP="001F48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86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1843" w:type="dxa"/>
            <w:vMerge w:val="restart"/>
          </w:tcPr>
          <w:p w:rsidR="0062229C" w:rsidRDefault="001F4862" w:rsidP="0062229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8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Утвержденный бюджет на 2017 год </w:t>
            </w:r>
          </w:p>
          <w:p w:rsidR="001F4862" w:rsidRPr="001F4862" w:rsidRDefault="001F4862" w:rsidP="0062229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862">
              <w:rPr>
                <w:rFonts w:ascii="Times New Roman" w:hAnsi="Times New Roman"/>
                <w:sz w:val="24"/>
                <w:szCs w:val="24"/>
                <w:lang w:eastAsia="ru-RU"/>
              </w:rPr>
              <w:t>(в редакции от 28.06.2017 № 139-VI ДГ)</w:t>
            </w:r>
          </w:p>
        </w:tc>
        <w:tc>
          <w:tcPr>
            <w:tcW w:w="4530" w:type="dxa"/>
            <w:gridSpan w:val="3"/>
          </w:tcPr>
          <w:p w:rsidR="001F4862" w:rsidRPr="001F4862" w:rsidRDefault="001F4862" w:rsidP="001F48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862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Предельные объемы бюджетных ассигнований</w:t>
            </w:r>
          </w:p>
        </w:tc>
      </w:tr>
      <w:tr w:rsidR="001F4862" w:rsidRPr="001F4862" w:rsidTr="00E62469">
        <w:trPr>
          <w:jc w:val="center"/>
        </w:trPr>
        <w:tc>
          <w:tcPr>
            <w:tcW w:w="2972" w:type="dxa"/>
            <w:vMerge/>
          </w:tcPr>
          <w:p w:rsidR="001F4862" w:rsidRPr="001F4862" w:rsidRDefault="001F4862" w:rsidP="001F486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F4862" w:rsidRPr="001F4862" w:rsidRDefault="001F4862" w:rsidP="001F48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4862" w:rsidRPr="001F4862" w:rsidRDefault="001F4862" w:rsidP="001F48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862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</w:tcPr>
          <w:p w:rsidR="001F4862" w:rsidRPr="001F4862" w:rsidRDefault="001F4862" w:rsidP="001F48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862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3" w:type="dxa"/>
          </w:tcPr>
          <w:p w:rsidR="001F4862" w:rsidRPr="001F4862" w:rsidRDefault="001F4862" w:rsidP="001F48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862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1F4862" w:rsidRPr="001F4862" w:rsidTr="00E62469">
        <w:trPr>
          <w:jc w:val="center"/>
        </w:trPr>
        <w:tc>
          <w:tcPr>
            <w:tcW w:w="2972" w:type="dxa"/>
          </w:tcPr>
          <w:p w:rsidR="001F4862" w:rsidRPr="001F4862" w:rsidRDefault="001F4862" w:rsidP="001F486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862">
              <w:rPr>
                <w:rFonts w:ascii="Times New Roman" w:hAnsi="Times New Roman"/>
                <w:sz w:val="24"/>
                <w:szCs w:val="24"/>
                <w:lang w:eastAsia="ru-RU"/>
              </w:rPr>
              <w:t>Дума города</w:t>
            </w:r>
          </w:p>
        </w:tc>
        <w:tc>
          <w:tcPr>
            <w:tcW w:w="1843" w:type="dxa"/>
          </w:tcPr>
          <w:p w:rsidR="001F4862" w:rsidRPr="001F4862" w:rsidRDefault="00CA63B5" w:rsidP="00CA63B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417" w:type="dxa"/>
          </w:tcPr>
          <w:p w:rsidR="001F4862" w:rsidRPr="001F4862" w:rsidRDefault="00CA63B5" w:rsidP="001F48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560" w:type="dxa"/>
          </w:tcPr>
          <w:p w:rsidR="001F4862" w:rsidRPr="001F4862" w:rsidRDefault="00CA63B5" w:rsidP="00CA63B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553" w:type="dxa"/>
          </w:tcPr>
          <w:p w:rsidR="001F4862" w:rsidRPr="001F4862" w:rsidRDefault="00CA63B5" w:rsidP="00CA63B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1F4862" w:rsidRPr="001F4862" w:rsidTr="00E62469">
        <w:trPr>
          <w:jc w:val="center"/>
        </w:trPr>
        <w:tc>
          <w:tcPr>
            <w:tcW w:w="2972" w:type="dxa"/>
          </w:tcPr>
          <w:p w:rsidR="001F4862" w:rsidRPr="001F4862" w:rsidRDefault="001F4862" w:rsidP="001F486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86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1843" w:type="dxa"/>
          </w:tcPr>
          <w:p w:rsidR="001F4862" w:rsidRPr="001F4862" w:rsidRDefault="00CA63B5" w:rsidP="001F48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7 590,0</w:t>
            </w:r>
          </w:p>
        </w:tc>
        <w:tc>
          <w:tcPr>
            <w:tcW w:w="1417" w:type="dxa"/>
          </w:tcPr>
          <w:p w:rsidR="001F4862" w:rsidRPr="001F4862" w:rsidRDefault="00CA63B5" w:rsidP="001F48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7 618,3</w:t>
            </w:r>
          </w:p>
        </w:tc>
        <w:tc>
          <w:tcPr>
            <w:tcW w:w="1560" w:type="dxa"/>
          </w:tcPr>
          <w:p w:rsidR="001F4862" w:rsidRPr="001F4862" w:rsidRDefault="00CA63B5" w:rsidP="00376D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7 564,</w:t>
            </w:r>
            <w:r w:rsidR="00376D2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3" w:type="dxa"/>
          </w:tcPr>
          <w:p w:rsidR="001F4862" w:rsidRPr="001F4862" w:rsidRDefault="00CA63B5" w:rsidP="001F48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7 564,6</w:t>
            </w:r>
          </w:p>
        </w:tc>
      </w:tr>
      <w:tr w:rsidR="001F4862" w:rsidRPr="001F4862" w:rsidTr="00E62469">
        <w:trPr>
          <w:jc w:val="center"/>
        </w:trPr>
        <w:tc>
          <w:tcPr>
            <w:tcW w:w="2972" w:type="dxa"/>
          </w:tcPr>
          <w:p w:rsidR="001F4862" w:rsidRPr="001F4862" w:rsidRDefault="001F4862" w:rsidP="001F486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8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города</w:t>
            </w:r>
          </w:p>
        </w:tc>
        <w:tc>
          <w:tcPr>
            <w:tcW w:w="1843" w:type="dxa"/>
          </w:tcPr>
          <w:p w:rsidR="001F4862" w:rsidRPr="001F4862" w:rsidRDefault="00CA63B5" w:rsidP="001F48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</w:tcPr>
          <w:p w:rsidR="001F4862" w:rsidRPr="001F4862" w:rsidRDefault="00CA63B5" w:rsidP="001F48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</w:tcPr>
          <w:p w:rsidR="001F4862" w:rsidRPr="001F4862" w:rsidRDefault="00CA63B5" w:rsidP="001F48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3" w:type="dxa"/>
          </w:tcPr>
          <w:p w:rsidR="001F4862" w:rsidRPr="001F4862" w:rsidRDefault="00CA63B5" w:rsidP="001F48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1F4862" w:rsidRPr="001F4862" w:rsidTr="00E62469">
        <w:trPr>
          <w:trHeight w:val="413"/>
          <w:jc w:val="center"/>
        </w:trPr>
        <w:tc>
          <w:tcPr>
            <w:tcW w:w="2972" w:type="dxa"/>
          </w:tcPr>
          <w:p w:rsidR="001F4862" w:rsidRPr="001F4862" w:rsidRDefault="001F4862" w:rsidP="001F486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86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1843" w:type="dxa"/>
          </w:tcPr>
          <w:p w:rsidR="001F4862" w:rsidRPr="001F4862" w:rsidRDefault="00CA63B5" w:rsidP="00CA63B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1 883,7</w:t>
            </w:r>
          </w:p>
        </w:tc>
        <w:tc>
          <w:tcPr>
            <w:tcW w:w="1417" w:type="dxa"/>
          </w:tcPr>
          <w:p w:rsidR="001F4862" w:rsidRPr="001F4862" w:rsidRDefault="00CA63B5" w:rsidP="001F48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1 939,2</w:t>
            </w:r>
          </w:p>
        </w:tc>
        <w:tc>
          <w:tcPr>
            <w:tcW w:w="1560" w:type="dxa"/>
          </w:tcPr>
          <w:p w:rsidR="001F4862" w:rsidRPr="001F4862" w:rsidRDefault="00CA63B5" w:rsidP="00AA5F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</w:t>
            </w:r>
            <w:r w:rsidR="00AA5F4D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53" w:type="dxa"/>
          </w:tcPr>
          <w:p w:rsidR="001F4862" w:rsidRPr="001F4862" w:rsidRDefault="00CA63B5" w:rsidP="00AA5F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</w:t>
            </w:r>
            <w:r w:rsidR="00AA5F4D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</w:tr>
      <w:tr w:rsidR="001F4862" w:rsidRPr="001F4862" w:rsidTr="00E62469">
        <w:trPr>
          <w:jc w:val="center"/>
        </w:trPr>
        <w:tc>
          <w:tcPr>
            <w:tcW w:w="2972" w:type="dxa"/>
          </w:tcPr>
          <w:p w:rsidR="001F4862" w:rsidRPr="001F4862" w:rsidRDefault="001F4862" w:rsidP="001F486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86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  <w:tc>
          <w:tcPr>
            <w:tcW w:w="1843" w:type="dxa"/>
          </w:tcPr>
          <w:p w:rsidR="001F4862" w:rsidRPr="001F4862" w:rsidRDefault="00CA63B5" w:rsidP="001F48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738,1</w:t>
            </w:r>
          </w:p>
        </w:tc>
        <w:tc>
          <w:tcPr>
            <w:tcW w:w="1417" w:type="dxa"/>
          </w:tcPr>
          <w:p w:rsidR="001F4862" w:rsidRPr="001F4862" w:rsidRDefault="000720B8" w:rsidP="001F48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560" w:type="dxa"/>
          </w:tcPr>
          <w:p w:rsidR="001F4862" w:rsidRPr="001F4862" w:rsidRDefault="00CA63B5" w:rsidP="001F48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802,6</w:t>
            </w:r>
          </w:p>
        </w:tc>
        <w:tc>
          <w:tcPr>
            <w:tcW w:w="1553" w:type="dxa"/>
          </w:tcPr>
          <w:p w:rsidR="001F4862" w:rsidRPr="001F4862" w:rsidRDefault="00CA63B5" w:rsidP="001F48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802,6</w:t>
            </w:r>
          </w:p>
        </w:tc>
      </w:tr>
      <w:tr w:rsidR="001F4862" w:rsidRPr="001F4862" w:rsidTr="00E62469">
        <w:trPr>
          <w:jc w:val="center"/>
        </w:trPr>
        <w:tc>
          <w:tcPr>
            <w:tcW w:w="2972" w:type="dxa"/>
          </w:tcPr>
          <w:p w:rsidR="001F4862" w:rsidRPr="001F4862" w:rsidRDefault="001F4862" w:rsidP="001F486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86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Администрации города Сургута</w:t>
            </w:r>
          </w:p>
        </w:tc>
        <w:tc>
          <w:tcPr>
            <w:tcW w:w="1843" w:type="dxa"/>
          </w:tcPr>
          <w:p w:rsidR="001F4862" w:rsidRPr="001F4862" w:rsidRDefault="00CA63B5" w:rsidP="00CA63B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483,3</w:t>
            </w:r>
          </w:p>
        </w:tc>
        <w:tc>
          <w:tcPr>
            <w:tcW w:w="1417" w:type="dxa"/>
          </w:tcPr>
          <w:p w:rsidR="001F4862" w:rsidRPr="001F4862" w:rsidRDefault="00CA63B5" w:rsidP="001F48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560" w:type="dxa"/>
          </w:tcPr>
          <w:p w:rsidR="001F4862" w:rsidRPr="001F4862" w:rsidRDefault="00376D2C" w:rsidP="00AA5F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A5F4D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553" w:type="dxa"/>
          </w:tcPr>
          <w:p w:rsidR="001F4862" w:rsidRPr="001F4862" w:rsidRDefault="00CA63B5" w:rsidP="00AA5F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A5F4D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935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F4862" w:rsidRPr="001F4862" w:rsidTr="00E62469">
        <w:trPr>
          <w:jc w:val="center"/>
        </w:trPr>
        <w:tc>
          <w:tcPr>
            <w:tcW w:w="2972" w:type="dxa"/>
          </w:tcPr>
          <w:p w:rsidR="001F4862" w:rsidRPr="001F4862" w:rsidRDefault="001F4862" w:rsidP="001F486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86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1F4862" w:rsidRPr="001F4862" w:rsidRDefault="00CA63B5" w:rsidP="001F48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10 826,7</w:t>
            </w:r>
          </w:p>
        </w:tc>
        <w:tc>
          <w:tcPr>
            <w:tcW w:w="1417" w:type="dxa"/>
          </w:tcPr>
          <w:p w:rsidR="001F4862" w:rsidRPr="001F4862" w:rsidRDefault="000720B8" w:rsidP="001F48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10 920,8</w:t>
            </w:r>
          </w:p>
        </w:tc>
        <w:tc>
          <w:tcPr>
            <w:tcW w:w="1560" w:type="dxa"/>
          </w:tcPr>
          <w:p w:rsidR="001F4862" w:rsidRPr="001F4862" w:rsidRDefault="00376D2C" w:rsidP="001F48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10 908,6</w:t>
            </w:r>
          </w:p>
        </w:tc>
        <w:tc>
          <w:tcPr>
            <w:tcW w:w="1553" w:type="dxa"/>
          </w:tcPr>
          <w:p w:rsidR="001F4862" w:rsidRPr="001F4862" w:rsidRDefault="00393521" w:rsidP="001F48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11 158,2</w:t>
            </w:r>
          </w:p>
        </w:tc>
      </w:tr>
    </w:tbl>
    <w:p w:rsidR="001F4862" w:rsidRPr="001F4862" w:rsidRDefault="001F4862" w:rsidP="001F4862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1F4862">
        <w:rPr>
          <w:rFonts w:ascii="Times New Roman" w:eastAsia="Times New Roman" w:hAnsi="Times New Roman" w:cs="Verdana"/>
          <w:color w:val="000000"/>
          <w:sz w:val="28"/>
          <w:szCs w:val="28"/>
          <w:lang w:eastAsia="ru-RU"/>
        </w:rPr>
        <w:t xml:space="preserve">Дальнейшая процедура составления проекта бюджета предполагает самостоятельное распределение ГРБС доведенного объема ассигнований </w:t>
      </w:r>
      <w:r w:rsidRPr="001F486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 учетом определенных ими приоритетов, принятия конкретных мер по оптимизации действующих расходных обязательств </w:t>
      </w:r>
      <w:r w:rsidRPr="001F4862">
        <w:rPr>
          <w:rFonts w:ascii="Times New Roman" w:eastAsia="Times New Roman" w:hAnsi="Times New Roman" w:cs="Verdana"/>
          <w:color w:val="000000"/>
          <w:sz w:val="28"/>
          <w:szCs w:val="28"/>
          <w:lang w:eastAsia="ru-RU"/>
        </w:rPr>
        <w:t xml:space="preserve">с учетом ответственности за достижение показателей реализации муниципальных программ. </w:t>
      </w:r>
      <w:r w:rsidRPr="001F486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При финансовом обеспечении оказания муниципальных услуг необходимо учитывать такие внутренние ресурсы, как остатки средств на счетах бюджетных и автономных учреждений на начало года с учетом их динамики за ряд лет, с учетом их размера возможно корректировать нормативные затраты на оказание услуг. </w:t>
      </w:r>
    </w:p>
    <w:p w:rsidR="001F4862" w:rsidRPr="001F4862" w:rsidRDefault="001F4862" w:rsidP="001F4862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62">
        <w:rPr>
          <w:rFonts w:ascii="Times New Roman" w:hAnsi="Times New Roman" w:cs="Times New Roman"/>
          <w:sz w:val="28"/>
          <w:szCs w:val="28"/>
        </w:rPr>
        <w:t>Финансовое обеспечение Указов Президента Российской Федерации в части повышения оплаты труда отдельным категориям работников необходимо обеспечить путем проведения структурных изменений в отраслях, оптимизационных мероприятий с привлечением на эти цели доходов от предпринимательской деятельности.</w:t>
      </w:r>
    </w:p>
    <w:p w:rsidR="001F4862" w:rsidRPr="001F4862" w:rsidRDefault="001F4862" w:rsidP="001F4862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Бюджетные ассигнования будут направлены на выполнение законодательно установленных полномочий. Расходы бюджета будут сформированы на основе муниципальных программ, за исключением расходов на обеспечение деятельности представительного и контрольно-счетного органов. </w:t>
      </w:r>
    </w:p>
    <w:p w:rsidR="001F4862" w:rsidRPr="001F4862" w:rsidRDefault="001F4862" w:rsidP="001F4862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862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Программная структура бюджета города в целом будет сохранена. Перечень и структура муниципальных программ будут оптимизированы</w:t>
      </w:r>
      <w:r w:rsidRPr="001F4862">
        <w:rPr>
          <w:rFonts w:ascii="Times New Roman" w:hAnsi="Times New Roman"/>
          <w:sz w:val="28"/>
          <w:szCs w:val="28"/>
          <w:lang w:eastAsia="ru-RU"/>
        </w:rPr>
        <w:t>, общая их характеристика на следующий бюджетный цикл, показатели результатов бюджетной деятельности, которые будут включены в их состав, будут отражены в пояснительной записке к проекту бюджета города на 2018 год и плановый период 2019 – 2020 годов.</w:t>
      </w:r>
    </w:p>
    <w:p w:rsidR="001F4862" w:rsidRPr="001F4862" w:rsidRDefault="001F4862" w:rsidP="001F4862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862">
        <w:rPr>
          <w:rFonts w:ascii="Times New Roman" w:eastAsia="Calibri" w:hAnsi="Times New Roman" w:cs="Times New Roman"/>
          <w:sz w:val="28"/>
          <w:szCs w:val="28"/>
          <w:lang w:eastAsia="ru-RU"/>
        </w:rPr>
        <w:t>К моменту внесения проекта бюджета в Думу города параметры расходов могут быть скорректированы на объем межбюджетных трансфертов из бюджета автономного округа, а также в случае уточнения прогнозных значений главными администраторами доходов бюджета</w:t>
      </w:r>
      <w:r w:rsidR="00F92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принятия решений по возможности дополнительных муниципальных заимствований для реализации приоритетных инвестиционных задач, в том числе по итогам распределения ГРБС предельных объемов бюджетных ассигнований на 2017 год и плановый период 2019 – 2020 годов.</w:t>
      </w:r>
    </w:p>
    <w:p w:rsidR="001F4862" w:rsidRPr="001F4862" w:rsidRDefault="001F4862" w:rsidP="001F4862">
      <w:pPr>
        <w:pBdr>
          <w:top w:val="single" w:sz="4" w:space="0" w:color="FFFFFF"/>
          <w:left w:val="single" w:sz="4" w:space="0" w:color="FFFFFF"/>
          <w:bottom w:val="single" w:sz="4" w:space="5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4862" w:rsidRPr="001F4862" w:rsidRDefault="001F4862" w:rsidP="001F4862">
      <w:pPr>
        <w:pBdr>
          <w:top w:val="single" w:sz="4" w:space="0" w:color="FFFFFF"/>
          <w:left w:val="single" w:sz="4" w:space="0" w:color="FFFFFF"/>
          <w:bottom w:val="single" w:sz="4" w:space="5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4862" w:rsidRPr="001F4862" w:rsidRDefault="001F4862" w:rsidP="001F4862">
      <w:pPr>
        <w:pBdr>
          <w:top w:val="single" w:sz="4" w:space="0" w:color="FFFFFF"/>
          <w:left w:val="single" w:sz="4" w:space="0" w:color="FFFFFF"/>
          <w:bottom w:val="single" w:sz="4" w:space="5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4862" w:rsidRPr="001F4862" w:rsidRDefault="001F4862" w:rsidP="001F4862">
      <w:pPr>
        <w:pBdr>
          <w:top w:val="single" w:sz="4" w:space="0" w:color="FFFFFF"/>
          <w:left w:val="single" w:sz="4" w:space="0" w:color="FFFFFF"/>
          <w:bottom w:val="single" w:sz="4" w:space="5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4862" w:rsidRPr="001F4862" w:rsidRDefault="001F4862" w:rsidP="001F4862">
      <w:pPr>
        <w:pBdr>
          <w:top w:val="single" w:sz="4" w:space="0" w:color="FFFFFF"/>
          <w:left w:val="single" w:sz="4" w:space="0" w:color="FFFFFF"/>
          <w:bottom w:val="single" w:sz="4" w:space="5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2136" w:rsidRPr="00492136" w:rsidRDefault="00492136" w:rsidP="001F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136" w:rsidRPr="00492136" w:rsidRDefault="00492136" w:rsidP="00492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136" w:rsidRPr="00492136" w:rsidRDefault="00492136" w:rsidP="00492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136" w:rsidRPr="00492136" w:rsidRDefault="00492136" w:rsidP="00492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136" w:rsidRPr="00492136" w:rsidRDefault="00492136" w:rsidP="00492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136" w:rsidRPr="00492136" w:rsidRDefault="00492136" w:rsidP="00F41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92136" w:rsidRPr="004921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D4" w:rsidRDefault="009F43D4" w:rsidP="009F43D4">
      <w:pPr>
        <w:spacing w:after="0" w:line="240" w:lineRule="auto"/>
      </w:pPr>
      <w:r>
        <w:separator/>
      </w:r>
    </w:p>
  </w:endnote>
  <w:endnote w:type="continuationSeparator" w:id="0">
    <w:p w:rsidR="009F43D4" w:rsidRDefault="009F43D4" w:rsidP="009F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quiplight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401597"/>
      <w:docPartObj>
        <w:docPartGallery w:val="Page Numbers (Bottom of Page)"/>
        <w:docPartUnique/>
      </w:docPartObj>
    </w:sdtPr>
    <w:sdtEndPr/>
    <w:sdtContent>
      <w:p w:rsidR="009F43D4" w:rsidRDefault="009F43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51C">
          <w:rPr>
            <w:noProof/>
          </w:rPr>
          <w:t>16</w:t>
        </w:r>
        <w:r>
          <w:fldChar w:fldCharType="end"/>
        </w:r>
      </w:p>
    </w:sdtContent>
  </w:sdt>
  <w:p w:rsidR="009F43D4" w:rsidRDefault="009F43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D4" w:rsidRDefault="009F43D4" w:rsidP="009F43D4">
      <w:pPr>
        <w:spacing w:after="0" w:line="240" w:lineRule="auto"/>
      </w:pPr>
      <w:r>
        <w:separator/>
      </w:r>
    </w:p>
  </w:footnote>
  <w:footnote w:type="continuationSeparator" w:id="0">
    <w:p w:rsidR="009F43D4" w:rsidRDefault="009F43D4" w:rsidP="009F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BB1"/>
    <w:multiLevelType w:val="hybridMultilevel"/>
    <w:tmpl w:val="EC1EFCCC"/>
    <w:lvl w:ilvl="0" w:tplc="9F1A2E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6A2A97"/>
    <w:multiLevelType w:val="hybridMultilevel"/>
    <w:tmpl w:val="A09E3EBA"/>
    <w:lvl w:ilvl="0" w:tplc="E7C4D61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D35441"/>
    <w:multiLevelType w:val="hybridMultilevel"/>
    <w:tmpl w:val="5D9A397E"/>
    <w:lvl w:ilvl="0" w:tplc="422C1FD4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041164"/>
    <w:multiLevelType w:val="hybridMultilevel"/>
    <w:tmpl w:val="20523A94"/>
    <w:lvl w:ilvl="0" w:tplc="E72AD9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D63517"/>
    <w:multiLevelType w:val="multilevel"/>
    <w:tmpl w:val="91E0E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64B7253"/>
    <w:multiLevelType w:val="hybridMultilevel"/>
    <w:tmpl w:val="21EA991E"/>
    <w:lvl w:ilvl="0" w:tplc="9300DB5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CB"/>
    <w:rsid w:val="000026CA"/>
    <w:rsid w:val="00011A60"/>
    <w:rsid w:val="0002773F"/>
    <w:rsid w:val="00043CD8"/>
    <w:rsid w:val="00047912"/>
    <w:rsid w:val="00053063"/>
    <w:rsid w:val="000613E9"/>
    <w:rsid w:val="000720B8"/>
    <w:rsid w:val="000746E2"/>
    <w:rsid w:val="00076764"/>
    <w:rsid w:val="00077007"/>
    <w:rsid w:val="000812A1"/>
    <w:rsid w:val="00090EAA"/>
    <w:rsid w:val="00091CB9"/>
    <w:rsid w:val="000A4FCF"/>
    <w:rsid w:val="000A5064"/>
    <w:rsid w:val="000C4AC0"/>
    <w:rsid w:val="000D3B7C"/>
    <w:rsid w:val="001144B8"/>
    <w:rsid w:val="00132582"/>
    <w:rsid w:val="001356A0"/>
    <w:rsid w:val="0015122C"/>
    <w:rsid w:val="00152D70"/>
    <w:rsid w:val="00172F52"/>
    <w:rsid w:val="001940FB"/>
    <w:rsid w:val="001A3A46"/>
    <w:rsid w:val="001B72E8"/>
    <w:rsid w:val="001C654B"/>
    <w:rsid w:val="001D054F"/>
    <w:rsid w:val="001D3217"/>
    <w:rsid w:val="001E332B"/>
    <w:rsid w:val="001E65A1"/>
    <w:rsid w:val="001F4862"/>
    <w:rsid w:val="0022033A"/>
    <w:rsid w:val="00222492"/>
    <w:rsid w:val="002336B7"/>
    <w:rsid w:val="0024469C"/>
    <w:rsid w:val="00254810"/>
    <w:rsid w:val="00265A0B"/>
    <w:rsid w:val="0028754F"/>
    <w:rsid w:val="00293177"/>
    <w:rsid w:val="002A47B5"/>
    <w:rsid w:val="002B158C"/>
    <w:rsid w:val="002B22CA"/>
    <w:rsid w:val="002B2777"/>
    <w:rsid w:val="002B5F61"/>
    <w:rsid w:val="002D58A2"/>
    <w:rsid w:val="002E5189"/>
    <w:rsid w:val="002E5427"/>
    <w:rsid w:val="002E7604"/>
    <w:rsid w:val="003010B9"/>
    <w:rsid w:val="003037BC"/>
    <w:rsid w:val="003149B2"/>
    <w:rsid w:val="003205CE"/>
    <w:rsid w:val="00323BFA"/>
    <w:rsid w:val="003253A9"/>
    <w:rsid w:val="00326797"/>
    <w:rsid w:val="00343463"/>
    <w:rsid w:val="0036221E"/>
    <w:rsid w:val="00365D4C"/>
    <w:rsid w:val="00376D2C"/>
    <w:rsid w:val="00386F4D"/>
    <w:rsid w:val="00393521"/>
    <w:rsid w:val="003A0A8A"/>
    <w:rsid w:val="003A655E"/>
    <w:rsid w:val="003B4685"/>
    <w:rsid w:val="003B7939"/>
    <w:rsid w:val="003E15E6"/>
    <w:rsid w:val="003E791A"/>
    <w:rsid w:val="00401BD9"/>
    <w:rsid w:val="00414262"/>
    <w:rsid w:val="004338FF"/>
    <w:rsid w:val="004422E5"/>
    <w:rsid w:val="0045067C"/>
    <w:rsid w:val="00456C37"/>
    <w:rsid w:val="00484A0F"/>
    <w:rsid w:val="00492136"/>
    <w:rsid w:val="004A45AA"/>
    <w:rsid w:val="004A66BD"/>
    <w:rsid w:val="004C6390"/>
    <w:rsid w:val="004D4C95"/>
    <w:rsid w:val="004E0DD1"/>
    <w:rsid w:val="004F5C7C"/>
    <w:rsid w:val="004F745D"/>
    <w:rsid w:val="00502855"/>
    <w:rsid w:val="005034B1"/>
    <w:rsid w:val="00526073"/>
    <w:rsid w:val="00531B49"/>
    <w:rsid w:val="005371F4"/>
    <w:rsid w:val="00553C58"/>
    <w:rsid w:val="00556109"/>
    <w:rsid w:val="00556299"/>
    <w:rsid w:val="00565F9D"/>
    <w:rsid w:val="0056651C"/>
    <w:rsid w:val="00585541"/>
    <w:rsid w:val="00595693"/>
    <w:rsid w:val="005979E2"/>
    <w:rsid w:val="005A0FA4"/>
    <w:rsid w:val="005A205B"/>
    <w:rsid w:val="005A5F97"/>
    <w:rsid w:val="005B13DB"/>
    <w:rsid w:val="005B3F47"/>
    <w:rsid w:val="005B7751"/>
    <w:rsid w:val="005C10DD"/>
    <w:rsid w:val="005C2DBA"/>
    <w:rsid w:val="005F29C7"/>
    <w:rsid w:val="006074C3"/>
    <w:rsid w:val="00617F89"/>
    <w:rsid w:val="00620A6B"/>
    <w:rsid w:val="0062229C"/>
    <w:rsid w:val="006258CA"/>
    <w:rsid w:val="00625A3E"/>
    <w:rsid w:val="00656D7C"/>
    <w:rsid w:val="00665D4C"/>
    <w:rsid w:val="0067699E"/>
    <w:rsid w:val="006970BE"/>
    <w:rsid w:val="006C37AD"/>
    <w:rsid w:val="006C6514"/>
    <w:rsid w:val="006D2B32"/>
    <w:rsid w:val="006D417C"/>
    <w:rsid w:val="006E3C44"/>
    <w:rsid w:val="006F1C11"/>
    <w:rsid w:val="006F7284"/>
    <w:rsid w:val="007043C6"/>
    <w:rsid w:val="007126A9"/>
    <w:rsid w:val="007131AB"/>
    <w:rsid w:val="00714AD3"/>
    <w:rsid w:val="0071637C"/>
    <w:rsid w:val="00753439"/>
    <w:rsid w:val="00770BD9"/>
    <w:rsid w:val="00771136"/>
    <w:rsid w:val="00781107"/>
    <w:rsid w:val="00784588"/>
    <w:rsid w:val="007846BE"/>
    <w:rsid w:val="007867C2"/>
    <w:rsid w:val="007A06D4"/>
    <w:rsid w:val="007A0DF9"/>
    <w:rsid w:val="007A1FB5"/>
    <w:rsid w:val="007C4B77"/>
    <w:rsid w:val="007E1440"/>
    <w:rsid w:val="00802343"/>
    <w:rsid w:val="0081066C"/>
    <w:rsid w:val="00815749"/>
    <w:rsid w:val="00817B2C"/>
    <w:rsid w:val="00823308"/>
    <w:rsid w:val="008457FF"/>
    <w:rsid w:val="00866AF4"/>
    <w:rsid w:val="008708B5"/>
    <w:rsid w:val="00877E7B"/>
    <w:rsid w:val="008802B0"/>
    <w:rsid w:val="00887FD6"/>
    <w:rsid w:val="008939CC"/>
    <w:rsid w:val="008D4F3E"/>
    <w:rsid w:val="008F1AD6"/>
    <w:rsid w:val="009042EF"/>
    <w:rsid w:val="00912939"/>
    <w:rsid w:val="00926997"/>
    <w:rsid w:val="00930DBA"/>
    <w:rsid w:val="009519CD"/>
    <w:rsid w:val="00976A15"/>
    <w:rsid w:val="009B419D"/>
    <w:rsid w:val="009C53F4"/>
    <w:rsid w:val="009D0053"/>
    <w:rsid w:val="009F43D4"/>
    <w:rsid w:val="00A07301"/>
    <w:rsid w:val="00A12DA9"/>
    <w:rsid w:val="00A17D15"/>
    <w:rsid w:val="00A25224"/>
    <w:rsid w:val="00A3172E"/>
    <w:rsid w:val="00A57B8D"/>
    <w:rsid w:val="00A8116A"/>
    <w:rsid w:val="00AA5F4D"/>
    <w:rsid w:val="00AB647F"/>
    <w:rsid w:val="00AF1771"/>
    <w:rsid w:val="00B009AD"/>
    <w:rsid w:val="00B11B41"/>
    <w:rsid w:val="00B21CDD"/>
    <w:rsid w:val="00B32C00"/>
    <w:rsid w:val="00B35D46"/>
    <w:rsid w:val="00B470EA"/>
    <w:rsid w:val="00B5747A"/>
    <w:rsid w:val="00B77157"/>
    <w:rsid w:val="00BC17DF"/>
    <w:rsid w:val="00BD5E9D"/>
    <w:rsid w:val="00BE6F2D"/>
    <w:rsid w:val="00C043D9"/>
    <w:rsid w:val="00C05BE7"/>
    <w:rsid w:val="00C068D9"/>
    <w:rsid w:val="00C20DDC"/>
    <w:rsid w:val="00C3255D"/>
    <w:rsid w:val="00C56A8A"/>
    <w:rsid w:val="00C579AD"/>
    <w:rsid w:val="00C64C42"/>
    <w:rsid w:val="00C65CD1"/>
    <w:rsid w:val="00C6690B"/>
    <w:rsid w:val="00C71D6A"/>
    <w:rsid w:val="00C827D9"/>
    <w:rsid w:val="00C86ED0"/>
    <w:rsid w:val="00C87F28"/>
    <w:rsid w:val="00C92338"/>
    <w:rsid w:val="00C924B9"/>
    <w:rsid w:val="00C93D93"/>
    <w:rsid w:val="00C9526F"/>
    <w:rsid w:val="00C95496"/>
    <w:rsid w:val="00CA436D"/>
    <w:rsid w:val="00CA63B5"/>
    <w:rsid w:val="00CB30AB"/>
    <w:rsid w:val="00CC0D07"/>
    <w:rsid w:val="00CD1831"/>
    <w:rsid w:val="00CE4532"/>
    <w:rsid w:val="00CE4FAC"/>
    <w:rsid w:val="00CF21ED"/>
    <w:rsid w:val="00D0649C"/>
    <w:rsid w:val="00D0777C"/>
    <w:rsid w:val="00D10EC2"/>
    <w:rsid w:val="00D16018"/>
    <w:rsid w:val="00D21F4C"/>
    <w:rsid w:val="00D235CB"/>
    <w:rsid w:val="00D23643"/>
    <w:rsid w:val="00D254CF"/>
    <w:rsid w:val="00D278E4"/>
    <w:rsid w:val="00D318CA"/>
    <w:rsid w:val="00D3383D"/>
    <w:rsid w:val="00D44322"/>
    <w:rsid w:val="00D4599A"/>
    <w:rsid w:val="00D55BEC"/>
    <w:rsid w:val="00D87777"/>
    <w:rsid w:val="00D965B0"/>
    <w:rsid w:val="00DA2DA9"/>
    <w:rsid w:val="00DB023A"/>
    <w:rsid w:val="00DB4118"/>
    <w:rsid w:val="00DC3C65"/>
    <w:rsid w:val="00DD1D56"/>
    <w:rsid w:val="00DD791A"/>
    <w:rsid w:val="00DE5EDB"/>
    <w:rsid w:val="00DF55CE"/>
    <w:rsid w:val="00E26813"/>
    <w:rsid w:val="00E26F15"/>
    <w:rsid w:val="00E44143"/>
    <w:rsid w:val="00E51B64"/>
    <w:rsid w:val="00E53498"/>
    <w:rsid w:val="00E54CC9"/>
    <w:rsid w:val="00E60C73"/>
    <w:rsid w:val="00E61A0F"/>
    <w:rsid w:val="00E63385"/>
    <w:rsid w:val="00E65C2F"/>
    <w:rsid w:val="00E76451"/>
    <w:rsid w:val="00E97BBC"/>
    <w:rsid w:val="00EA6ACC"/>
    <w:rsid w:val="00EC4C20"/>
    <w:rsid w:val="00ED20A8"/>
    <w:rsid w:val="00ED3170"/>
    <w:rsid w:val="00EE729D"/>
    <w:rsid w:val="00EF4014"/>
    <w:rsid w:val="00F0563A"/>
    <w:rsid w:val="00F07F19"/>
    <w:rsid w:val="00F1270D"/>
    <w:rsid w:val="00F12855"/>
    <w:rsid w:val="00F168B5"/>
    <w:rsid w:val="00F23884"/>
    <w:rsid w:val="00F26E00"/>
    <w:rsid w:val="00F3071D"/>
    <w:rsid w:val="00F41229"/>
    <w:rsid w:val="00F83F8A"/>
    <w:rsid w:val="00F90681"/>
    <w:rsid w:val="00F928DB"/>
    <w:rsid w:val="00FA4B8F"/>
    <w:rsid w:val="00FB18CD"/>
    <w:rsid w:val="00FC5C53"/>
    <w:rsid w:val="00FD0AB7"/>
    <w:rsid w:val="00FE615A"/>
    <w:rsid w:val="00FF0836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9A5D0A5-E6D5-4982-8CCA-E644FD42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189"/>
    <w:pPr>
      <w:ind w:left="720"/>
      <w:contextualSpacing/>
    </w:pPr>
  </w:style>
  <w:style w:type="table" w:styleId="a4">
    <w:name w:val="Table Grid"/>
    <w:basedOn w:val="a1"/>
    <w:uiPriority w:val="39"/>
    <w:rsid w:val="001F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7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B2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3D4"/>
  </w:style>
  <w:style w:type="paragraph" w:styleId="a9">
    <w:name w:val="footer"/>
    <w:basedOn w:val="a"/>
    <w:link w:val="aa"/>
    <w:uiPriority w:val="99"/>
    <w:unhideWhenUsed/>
    <w:rsid w:val="009F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8426A-9BA6-4C8C-9F1F-549857C7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16</Pages>
  <Words>5739</Words>
  <Characters>32715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Дергунова Елена Владимировна</dc:creator>
  <cp:keywords/>
  <dc:description/>
  <cp:lastModifiedBy>Маркова Инесса Владимировна</cp:lastModifiedBy>
  <cp:revision>185</cp:revision>
  <cp:lastPrinted>2017-08-30T04:59:00Z</cp:lastPrinted>
  <dcterms:created xsi:type="dcterms:W3CDTF">2017-08-25T08:29:00Z</dcterms:created>
  <dcterms:modified xsi:type="dcterms:W3CDTF">2017-09-22T11:54:00Z</dcterms:modified>
</cp:coreProperties>
</file>