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43" w:rsidRPr="00601564" w:rsidRDefault="00082343" w:rsidP="00082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ОТЧЕТ</w:t>
      </w:r>
    </w:p>
    <w:p w:rsidR="00082343" w:rsidRPr="00601564" w:rsidRDefault="00082343" w:rsidP="00082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082343" w:rsidRPr="00601564" w:rsidRDefault="00082343" w:rsidP="00082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082343" w:rsidRPr="00601564" w:rsidTr="00814184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2343" w:rsidRPr="00601564" w:rsidRDefault="00C25CDF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2343"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6015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82343" w:rsidRPr="0060156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82343" w:rsidRPr="00601564" w:rsidRDefault="00082343" w:rsidP="008141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(присваивается уполномоченным органом)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</w:tc>
      </w:tr>
      <w:tr w:rsidR="00082343" w:rsidRPr="00601564" w:rsidTr="0081418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2343" w:rsidRPr="00601564" w:rsidRDefault="00082343" w:rsidP="0081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82343" w:rsidRPr="00601564" w:rsidRDefault="00082343" w:rsidP="00E90E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начало: "</w:t>
            </w:r>
            <w:r w:rsidR="00290397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29039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</w:tc>
      </w:tr>
      <w:tr w:rsidR="00082343" w:rsidRPr="00601564" w:rsidTr="0081418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2343" w:rsidRPr="00601564" w:rsidRDefault="00082343" w:rsidP="0081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082343" w:rsidRPr="00601564" w:rsidRDefault="00082343" w:rsidP="00E90E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окончание: "</w:t>
            </w:r>
            <w:r w:rsidR="00290397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90397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0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8"/>
      <w:bookmarkEnd w:id="0"/>
      <w:r w:rsidRPr="00601564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8141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1.1. Наименование разработчика проекта муниципального нормативного правового акта:</w:t>
            </w:r>
          </w:p>
          <w:p w:rsidR="00082343" w:rsidRPr="00601564" w:rsidRDefault="00082343" w:rsidP="0060156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города Сургута </w:t>
            </w:r>
            <w:r w:rsidR="00601564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8141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  <w:p w:rsidR="00082343" w:rsidRPr="00601564" w:rsidRDefault="00082343" w:rsidP="003A149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0156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Администрации города</w:t>
            </w:r>
            <w:r w:rsidR="00A004CB" w:rsidRPr="00A00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</w:t>
            </w:r>
            <w:r w:rsidR="003A14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порядке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</w:t>
            </w:r>
            <w:r w:rsidR="00476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3A149E">
              <w:rPr>
                <w:rFonts w:ascii="Times New Roman" w:hAnsi="Times New Roman" w:cs="Times New Roman"/>
                <w:i/>
                <w:sz w:val="28"/>
                <w:szCs w:val="28"/>
              </w:rPr>
              <w:t>жилищном фонде»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290397" w:rsidRDefault="00082343" w:rsidP="00290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1.3. Основание для разработки проекта муници</w:t>
            </w:r>
            <w:r w:rsidR="00290397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нормативного правового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106666" w:rsidRDefault="00290397" w:rsidP="0029039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9C4">
              <w:rPr>
                <w:rFonts w:ascii="Times New Roman" w:hAnsi="Times New Roman" w:cs="Times New Roman"/>
                <w:i/>
                <w:sz w:val="28"/>
                <w:szCs w:val="28"/>
              </w:rPr>
              <w:t>Статья 78 Бюджетного</w:t>
            </w:r>
            <w:r w:rsidRPr="00290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кодекс</w:t>
            </w:r>
            <w:r w:rsidR="00AE29C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90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29C4">
              <w:rPr>
                <w:rFonts w:ascii="Times New Roman" w:hAnsi="Times New Roman" w:cs="Times New Roman"/>
                <w:i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31.07.1998 №</w:t>
            </w:r>
            <w:r w:rsidRPr="00290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145-ФЗ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5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06666" w:rsidRPr="00106666">
              <w:rPr>
                <w:rFonts w:ascii="Times New Roman" w:hAnsi="Times New Roman" w:cs="Times New Roman"/>
                <w:i/>
                <w:sz w:val="28"/>
                <w:szCs w:val="28"/>
              </w:rPr>
              <w:t>. Постановление Правительства Ханты-Мансийского автономного округа-Югры от 09.10.2013 № 423-п «О государственной программе Ханты-Мансийского автономного округа-Югры «Развитие жилищно-коммунального комплекса и повышение энергетической эффективности в Ханты-Мансийском автономном округе на 2016-2020 годы»</w:t>
            </w:r>
          </w:p>
          <w:p w:rsidR="003A149E" w:rsidRPr="00890779" w:rsidRDefault="00290397" w:rsidP="00106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06666">
              <w:rPr>
                <w:rFonts w:ascii="Times New Roman" w:hAnsi="Times New Roman" w:cs="Times New Roman"/>
                <w:i/>
                <w:sz w:val="28"/>
                <w:szCs w:val="28"/>
              </w:rPr>
              <w:t>. Решение Думы города № 108-</w:t>
            </w:r>
            <w:r w:rsidR="001066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="00106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ДГ от 21.04.2017 «</w:t>
            </w:r>
            <w:r w:rsidR="00106666" w:rsidRPr="00106666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решение Думы города от 23.12.2016 № 46-IV ДГ «О бюджете городского округа город Сургут на 2017 год и плановый период 2018 – 2019 годов»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1.4. Контактная информация ответственного исполнителя проекта:</w:t>
            </w:r>
          </w:p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отчество: </w:t>
            </w:r>
            <w:r w:rsidR="00290397">
              <w:rPr>
                <w:rFonts w:ascii="Times New Roman" w:hAnsi="Times New Roman" w:cs="Times New Roman"/>
                <w:i/>
                <w:sz w:val="28"/>
                <w:szCs w:val="28"/>
              </w:rPr>
              <w:t>Боровкова Ирина Викторовна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290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инженер </w:t>
            </w:r>
            <w:r w:rsidR="002903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290397" w:rsidRPr="002903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0397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категории</w:t>
            </w:r>
            <w:r w:rsidR="00F545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организации энергосбережения управления инженерной инфраструктуры департамента</w:t>
            </w:r>
            <w:r w:rsidR="00E678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хозяйства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Сургута</w:t>
            </w:r>
          </w:p>
          <w:p w:rsidR="00082343" w:rsidRPr="00290397" w:rsidRDefault="00082343" w:rsidP="00F545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(3462) </w:t>
            </w:r>
            <w:r w:rsidR="00E678CC" w:rsidRPr="00E678CC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  <w:r w:rsidR="00F5458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678CC" w:rsidRPr="00E678C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F54588">
              <w:rPr>
                <w:rFonts w:ascii="Times New Roman" w:hAnsi="Times New Roman" w:cs="Times New Roman"/>
                <w:i/>
                <w:sz w:val="28"/>
                <w:szCs w:val="28"/>
              </w:rPr>
              <w:t>4-18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почты: </w:t>
            </w:r>
            <w:r w:rsidR="00290397" w:rsidRPr="00290397">
              <w:rPr>
                <w:rFonts w:ascii="Times New Roman" w:hAnsi="Times New Roman" w:cs="Times New Roman"/>
                <w:sz w:val="28"/>
                <w:szCs w:val="28"/>
              </w:rPr>
              <w:t>borovkova_iv@admsurgut.ru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0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lastRenderedPageBreak/>
        <w:t>2. Характеристика существующей проблемной ситуации</w:t>
      </w:r>
    </w:p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37CE6" w:rsidRPr="00B86EF6" w:rsidRDefault="00082343" w:rsidP="00537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626"/>
            <w:bookmarkEnd w:id="1"/>
            <w:r w:rsidRPr="00B86EF6">
              <w:rPr>
                <w:rFonts w:ascii="Times New Roman" w:hAnsi="Times New Roman" w:cs="Times New Roman"/>
                <w:sz w:val="28"/>
                <w:szCs w:val="28"/>
              </w:rPr>
              <w:t xml:space="preserve">2.1. Описание содержания проблемной ситуации, на урегулирование которой направлено предлагаемое правовое регулирование: </w:t>
            </w:r>
          </w:p>
          <w:p w:rsidR="00D83E81" w:rsidRDefault="00D83E81" w:rsidP="00525FFC">
            <w:pPr>
              <w:pStyle w:val="a8"/>
              <w:spacing w:line="120" w:lineRule="atLeast"/>
              <w:ind w:left="82" w:firstLine="567"/>
              <w:jc w:val="both"/>
              <w:rPr>
                <w:i/>
                <w:szCs w:val="28"/>
              </w:rPr>
            </w:pPr>
            <w:r w:rsidRPr="00B86EF6">
              <w:rPr>
                <w:i/>
                <w:szCs w:val="28"/>
              </w:rPr>
              <w:t xml:space="preserve">Отсутствует механизм предоставления субсидии на возмещение части затрат на уплату </w:t>
            </w:r>
            <w:r w:rsidR="006D5484" w:rsidRPr="00B86EF6">
              <w:rPr>
                <w:i/>
                <w:szCs w:val="28"/>
              </w:rPr>
              <w:t xml:space="preserve">процентов организациям, </w:t>
            </w:r>
            <w:r w:rsidR="006D5484" w:rsidRPr="006D5484">
              <w:rPr>
                <w:i/>
                <w:szCs w:val="28"/>
              </w:rPr>
              <w:t xml:space="preserve">юридическим лицам (за исключением государственных (муниципальных) учреждений), индивидуальным предпринимателям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</w:t>
            </w:r>
            <w:r w:rsidR="004765DF">
              <w:rPr>
                <w:i/>
                <w:szCs w:val="28"/>
              </w:rPr>
              <w:t xml:space="preserve">в </w:t>
            </w:r>
            <w:r w:rsidR="006D5484" w:rsidRPr="006D5484">
              <w:rPr>
                <w:i/>
                <w:szCs w:val="28"/>
              </w:rPr>
              <w:t>жилищном фонде</w:t>
            </w:r>
            <w:r w:rsidR="006D5484">
              <w:rPr>
                <w:i/>
                <w:szCs w:val="28"/>
              </w:rPr>
              <w:t xml:space="preserve"> (далее-субсидия).</w:t>
            </w:r>
          </w:p>
          <w:p w:rsidR="00525FFC" w:rsidRPr="00525FFC" w:rsidRDefault="00525FFC" w:rsidP="00525FFC">
            <w:pPr>
              <w:pStyle w:val="a8"/>
              <w:spacing w:line="120" w:lineRule="atLeast"/>
              <w:ind w:left="82" w:firstLine="567"/>
              <w:jc w:val="both"/>
              <w:rPr>
                <w:i/>
                <w:szCs w:val="28"/>
              </w:rPr>
            </w:pPr>
            <w:r w:rsidRPr="00525FFC">
              <w:rPr>
                <w:i/>
                <w:szCs w:val="28"/>
              </w:rPr>
              <w:t xml:space="preserve">В соответствии с Государственной программой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09.10.2013 № 423-п (далее-Государственная программа) до 01.01.2017 </w:t>
            </w:r>
            <w:r w:rsidR="00106666">
              <w:rPr>
                <w:i/>
                <w:szCs w:val="28"/>
              </w:rPr>
              <w:t xml:space="preserve">данная </w:t>
            </w:r>
            <w:r w:rsidR="006D5484">
              <w:rPr>
                <w:i/>
                <w:szCs w:val="28"/>
              </w:rPr>
              <w:t>субсидия предоставлялась</w:t>
            </w:r>
            <w:r w:rsidRPr="00525FFC">
              <w:rPr>
                <w:i/>
                <w:szCs w:val="28"/>
              </w:rPr>
              <w:t xml:space="preserve"> из бюджета автономного округа без участия муниципальных образований.</w:t>
            </w:r>
          </w:p>
          <w:p w:rsidR="00011450" w:rsidRPr="0040614F" w:rsidRDefault="00525FFC" w:rsidP="00106666">
            <w:pPr>
              <w:pStyle w:val="a8"/>
              <w:spacing w:line="120" w:lineRule="atLeast"/>
              <w:ind w:left="82" w:firstLine="567"/>
              <w:jc w:val="both"/>
              <w:rPr>
                <w:i/>
                <w:szCs w:val="28"/>
              </w:rPr>
            </w:pPr>
            <w:r w:rsidRPr="00525FFC">
              <w:rPr>
                <w:i/>
                <w:szCs w:val="28"/>
              </w:rPr>
              <w:t xml:space="preserve"> В связи с изменениями и дополнениями от 11.11.2016 N 448-п, внесенными в Государственную программу, установлен порядок предоставления субсидии из бюджета автономного округа бюджетам муниципальных образований в соответствии с приложением </w:t>
            </w:r>
            <w:r w:rsidR="00106666">
              <w:rPr>
                <w:i/>
                <w:szCs w:val="28"/>
              </w:rPr>
              <w:t>11 к Государственной программе.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4111DA" w:rsidRPr="00723775" w:rsidRDefault="00082343" w:rsidP="00EF474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2" w:name="P629"/>
            <w:bookmarkEnd w:id="2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  <w:r w:rsidR="00723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775" w:rsidRPr="00723775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Думы города № 108-VI ДГ от 21.04.2017 «О внесении изменений в решение Думы города от 23.12.2016 № 46-IV ДГ «О бюджете городского округа город Сургут на 2017 год и плановый период 2018 – 2019 годов»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B54C4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2.3. Опыт иных муниципальных образований в соответствующих сферах деятельности (при наличии): </w:t>
            </w:r>
            <w:r w:rsidR="0029039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F474E" w:rsidRPr="00EF47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Ханты-Мансийскому </w:t>
            </w:r>
            <w:r w:rsidR="00B92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автономному </w:t>
            </w:r>
            <w:r w:rsidR="00EF474E" w:rsidRPr="00EF474E">
              <w:rPr>
                <w:rFonts w:ascii="Times New Roman" w:hAnsi="Times New Roman" w:cs="Times New Roman"/>
                <w:i/>
                <w:sz w:val="28"/>
                <w:szCs w:val="28"/>
              </w:rPr>
              <w:t>округу отсутствует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290397" w:rsidRDefault="00082343" w:rsidP="00FA39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959">
              <w:rPr>
                <w:rFonts w:ascii="Times New Roman" w:hAnsi="Times New Roman" w:cs="Times New Roman"/>
                <w:sz w:val="28"/>
                <w:szCs w:val="28"/>
              </w:rPr>
              <w:t>2.4. Выявление рисков, связанных с существующей с</w:t>
            </w:r>
            <w:r w:rsidR="00290397">
              <w:rPr>
                <w:rFonts w:ascii="Times New Roman" w:hAnsi="Times New Roman" w:cs="Times New Roman"/>
                <w:sz w:val="28"/>
                <w:szCs w:val="28"/>
              </w:rPr>
              <w:t>итуацией:</w:t>
            </w:r>
          </w:p>
          <w:p w:rsidR="00B92846" w:rsidRPr="00290397" w:rsidRDefault="00290397" w:rsidP="00FA39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3FC4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>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ами</w:t>
            </w:r>
            <w:r w:rsidR="004F3FC4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устойчивого социально-экон</w:t>
            </w:r>
            <w:r w:rsidR="00FA3959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>омическо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 развития города являе</w:t>
            </w:r>
            <w:r w:rsidR="004F3FC4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тся формирование условий для широкого применения </w:t>
            </w:r>
            <w:proofErr w:type="spellStart"/>
            <w:r w:rsidR="004F3FC4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>энергоэффективных</w:t>
            </w:r>
            <w:proofErr w:type="spellEnd"/>
            <w:r w:rsidR="004F3FC4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технологий производства</w:t>
            </w:r>
            <w:r w:rsidR="00FA3959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</w:t>
            </w:r>
            <w:r w:rsidR="00FA3959" w:rsidRPr="00FA3959">
              <w:t xml:space="preserve"> </w:t>
            </w:r>
            <w:r w:rsidR="00FA3959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издержек производства коммунальных услуг путем интенсификации процессов энергосбережения, повышения энергетической эффективности и сниже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удельного энергопотребления.</w:t>
            </w:r>
            <w:r w:rsidR="00FA3959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</w:t>
            </w:r>
            <w:r w:rsidR="004F3FC4" w:rsidRPr="00FA3959">
              <w:rPr>
                <w:rFonts w:ascii="Times New Roman" w:hAnsi="Times New Roman" w:cs="Times New Roman"/>
                <w:i/>
                <w:sz w:val="28"/>
                <w:szCs w:val="28"/>
              </w:rPr>
              <w:t>тсутствие механизма поддержки  таких субъектов предпринимательской и инвестиционной деятельности ведет к менее активному развитию данного сектора.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D6AAC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AAC">
              <w:rPr>
                <w:rFonts w:ascii="Times New Roman" w:hAnsi="Times New Roman" w:cs="Times New Roman"/>
                <w:sz w:val="28"/>
                <w:szCs w:val="28"/>
              </w:rPr>
              <w:t xml:space="preserve">2.5. Моделирование последствий, наступление которых возможно при </w:t>
            </w:r>
            <w:r w:rsidRPr="006D6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отсутствии правового регулирования: </w:t>
            </w:r>
          </w:p>
          <w:p w:rsidR="006D5484" w:rsidRPr="00983600" w:rsidRDefault="006D5484" w:rsidP="006D6A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</w:t>
            </w:r>
            <w:r w:rsidR="006A7758"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предлагаемого правового регулирования</w:t>
            </w:r>
            <w:r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позвол</w:t>
            </w:r>
            <w:r w:rsidR="00FA3959"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>яе</w:t>
            </w:r>
            <w:r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="006D6AAC"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оказывать поддержку частных инвестиций субъектов предпринимательской и инвестиционной деятельности </w:t>
            </w:r>
            <w:r w:rsidR="006A7758"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>и как следствие  менее активно создаются условия</w:t>
            </w:r>
            <w:r w:rsidR="006A7758" w:rsidRPr="006D6AAC">
              <w:t xml:space="preserve"> </w:t>
            </w:r>
            <w:r w:rsidR="006A7758" w:rsidRPr="006D6AAC">
              <w:rPr>
                <w:rFonts w:ascii="Times New Roman" w:hAnsi="Times New Roman" w:cs="Times New Roman"/>
                <w:i/>
                <w:sz w:val="28"/>
                <w:szCs w:val="28"/>
              </w:rPr>
              <w:t>для развития энергосбережения и повышения энергетической эффективности в системах коммунальной инфраструктуры и в жилищном фонде, а также возрастает финансовая нагрузка на население города.</w:t>
            </w:r>
          </w:p>
        </w:tc>
      </w:tr>
      <w:tr w:rsidR="00082343" w:rsidRPr="00601564" w:rsidTr="00814184">
        <w:trPr>
          <w:trHeight w:val="369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9F1AB1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A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2.6. Источники данных:</w:t>
            </w:r>
          </w:p>
          <w:p w:rsidR="008B4E30" w:rsidRPr="008B4E30" w:rsidRDefault="008B4E30" w:rsidP="008B4E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>1.  Бюджетный кодекс Российской Федерации;</w:t>
            </w:r>
          </w:p>
          <w:p w:rsidR="008B4E30" w:rsidRPr="008B4E30" w:rsidRDefault="008B4E30" w:rsidP="008B4E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Федеральный закон от 23 ноября 2009 г. N 261-ФЗ «Об энергосбережении и о повышении </w:t>
            </w:r>
            <w:proofErr w:type="gramStart"/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энергетической эффективности</w:t>
            </w:r>
            <w:proofErr w:type="gramEnd"/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</w:t>
            </w:r>
          </w:p>
          <w:p w:rsidR="008B4E30" w:rsidRPr="008B4E30" w:rsidRDefault="008B4E30" w:rsidP="008B4E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>3. Постановление Правительства РФ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      </w:r>
          </w:p>
          <w:p w:rsidR="008B4E30" w:rsidRPr="008B4E30" w:rsidRDefault="008B4E30" w:rsidP="008B4E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>4. Постановление Правительства Ханты-Мансийского автономного округа-Югры от 09.10.2013 № 423-п «О государственной программе Ханты-Мансийского автономного округа-Югры «Развитие жилищно-коммунального комплекса и повышение энергетической эффективности в Ханты-Мансийском автономном округе на 2016-2020 годы»</w:t>
            </w:r>
          </w:p>
          <w:p w:rsidR="00983600" w:rsidRPr="009F1AB1" w:rsidRDefault="008B4E30" w:rsidP="008B4E3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>5. Решение Думы города № 108-VI ДГ от 21.04.2017 «О внесении изменений в решение Думы города от 23.12.2016 № 46-IV ДГ «О бюджете городского округа город Сургут на 2017 год и плановый период 2018 – 2019 годов»</w:t>
            </w:r>
          </w:p>
        </w:tc>
      </w:tr>
      <w:tr w:rsidR="00082343" w:rsidRPr="00601564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890779">
              <w:rPr>
                <w:rFonts w:ascii="Times New Roman" w:hAnsi="Times New Roman" w:cs="Times New Roman"/>
                <w:sz w:val="28"/>
                <w:szCs w:val="28"/>
              </w:rPr>
              <w:t xml:space="preserve"> Иная информация (при наличии):</w:t>
            </w:r>
            <w:r w:rsidR="0098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00" w:rsidRPr="0098360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F05B84" w:rsidP="000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8"/>
      <w:bookmarkEnd w:id="3"/>
      <w:r>
        <w:rPr>
          <w:rFonts w:ascii="Times New Roman" w:hAnsi="Times New Roman" w:cs="Times New Roman"/>
          <w:sz w:val="28"/>
          <w:szCs w:val="28"/>
        </w:rPr>
        <w:t>3. Цели</w:t>
      </w:r>
      <w:r w:rsidR="00082343" w:rsidRPr="00601564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 их соответствие приоритетам развития, представленным в </w:t>
      </w:r>
      <w:hyperlink r:id="rId6" w:history="1">
        <w:r w:rsidR="00082343" w:rsidRPr="00601564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="00082343" w:rsidRPr="00601564">
        <w:rPr>
          <w:rFonts w:ascii="Times New Roman" w:hAnsi="Times New Roman" w:cs="Times New Roman"/>
          <w:sz w:val="28"/>
          <w:szCs w:val="28"/>
        </w:rPr>
        <w:t xml:space="preserve"> (планах) социально-экономического развития города Сургута и муниципальных программах</w:t>
      </w:r>
    </w:p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983"/>
      </w:tblGrid>
      <w:tr w:rsidR="00082343" w:rsidRPr="00601564" w:rsidTr="00814184">
        <w:tc>
          <w:tcPr>
            <w:tcW w:w="4598" w:type="dxa"/>
          </w:tcPr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3.1. Цель предлагаемого правового регулирования:</w:t>
            </w:r>
          </w:p>
        </w:tc>
        <w:tc>
          <w:tcPr>
            <w:tcW w:w="4983" w:type="dxa"/>
          </w:tcPr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3.2. Обоснование достижимости цели правового регулирования (включая способы ее достижения):</w:t>
            </w:r>
          </w:p>
        </w:tc>
      </w:tr>
      <w:tr w:rsidR="00AA3EA7" w:rsidRPr="00601564" w:rsidTr="00C02862">
        <w:tc>
          <w:tcPr>
            <w:tcW w:w="4598" w:type="dxa"/>
          </w:tcPr>
          <w:p w:rsidR="00AA3EA7" w:rsidRPr="00AE0C01" w:rsidRDefault="00AE29C4" w:rsidP="00A739ED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E29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Достижение положительного социального эффекта для города, повышение </w:t>
            </w:r>
            <w:proofErr w:type="spellStart"/>
            <w:r w:rsidRPr="00AE29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энергоэффективности</w:t>
            </w:r>
            <w:proofErr w:type="spellEnd"/>
            <w:r w:rsidRPr="00AE29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жилого фонда</w:t>
            </w:r>
          </w:p>
        </w:tc>
        <w:tc>
          <w:tcPr>
            <w:tcW w:w="4983" w:type="dxa"/>
          </w:tcPr>
          <w:p w:rsidR="00AA3EA7" w:rsidRPr="00FB3592" w:rsidRDefault="00B92846" w:rsidP="00B92846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385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Порядка позволи</w:t>
            </w:r>
            <w:r w:rsidR="00A33385" w:rsidRPr="00A33385">
              <w:rPr>
                <w:rFonts w:ascii="Times New Roman" w:hAnsi="Times New Roman" w:cs="Times New Roman"/>
                <w:i/>
                <w:sz w:val="28"/>
                <w:szCs w:val="28"/>
              </w:rPr>
              <w:t>т снизить затраты предприятий на энергосберегающие мероприяти</w:t>
            </w:r>
            <w:r w:rsidR="00A33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я, которые </w:t>
            </w:r>
            <w:r w:rsidR="000A6A21">
              <w:rPr>
                <w:rFonts w:ascii="Times New Roman" w:hAnsi="Times New Roman" w:cs="Times New Roman"/>
                <w:i/>
                <w:sz w:val="28"/>
                <w:szCs w:val="28"/>
              </w:rPr>
              <w:t>снижают потребление энергоресурсов, и, соответственно, платежи для населения.</w:t>
            </w:r>
            <w:r w:rsidRPr="00476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83E81" w:rsidRPr="00476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F3B15" w:rsidRPr="00601564" w:rsidTr="00814184">
        <w:trPr>
          <w:trHeight w:val="1162"/>
        </w:trPr>
        <w:tc>
          <w:tcPr>
            <w:tcW w:w="9581" w:type="dxa"/>
            <w:gridSpan w:val="2"/>
          </w:tcPr>
          <w:p w:rsidR="00A50697" w:rsidRDefault="005F3B15" w:rsidP="00D83E8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 Обоснование соответствия целей предлагаемого правового регулирования приоритетам развития, представленным в </w:t>
            </w:r>
            <w:hyperlink r:id="rId7" w:history="1">
              <w:r w:rsidRPr="006015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Стратегии</w:t>
              </w:r>
            </w:hyperlink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(планах) социально-экономического развития города и муниципальных программах: </w:t>
            </w:r>
            <w:r w:rsidRPr="00B74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правового регулирования соответствует </w:t>
            </w:r>
            <w:r w:rsidR="00A50697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направлениям Стратегии развития города, нацеленным на решение:</w:t>
            </w:r>
          </w:p>
          <w:p w:rsidR="005F3B15" w:rsidRDefault="00A50697" w:rsidP="00D83E8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задачи</w:t>
            </w:r>
            <w:r w:rsidR="002133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вектора «ЖКХ»</w:t>
            </w:r>
            <w:r w:rsidR="002133AC" w:rsidRPr="002133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направления «Жизнеобеспечение»</w:t>
            </w:r>
            <w:r w:rsidR="00D83E8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83E81">
              <w:t xml:space="preserve"> </w:t>
            </w:r>
            <w:r w:rsidR="00D83E81" w:rsidRPr="00D83E81">
              <w:rPr>
                <w:rFonts w:ascii="Times New Roman" w:hAnsi="Times New Roman" w:cs="Times New Roman"/>
                <w:i/>
                <w:sz w:val="28"/>
                <w:szCs w:val="28"/>
              </w:rPr>
              <w:t>снижение издержек производства коммунальных услуг путем интенсификации процессов энергосбережения, повышения энергетической эффективности и снижения удельного энергопотребления</w:t>
            </w:r>
            <w:r w:rsidR="002133A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F3FC4" w:rsidRPr="002133AC" w:rsidRDefault="00A50697" w:rsidP="00A5069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задачи </w:t>
            </w:r>
            <w:r w:rsidRPr="004F3FC4">
              <w:rPr>
                <w:rFonts w:ascii="Times New Roman" w:hAnsi="Times New Roman" w:cs="Times New Roman"/>
                <w:i/>
                <w:sz w:val="28"/>
                <w:szCs w:val="28"/>
              </w:rPr>
              <w:t>вектор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3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«Промышленность» направления «Предпринимательство»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4F3FC4" w:rsidRPr="004F3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условий для широкого применения </w:t>
            </w:r>
            <w:proofErr w:type="spellStart"/>
            <w:r w:rsidR="004F3FC4" w:rsidRPr="004F3FC4">
              <w:rPr>
                <w:rFonts w:ascii="Times New Roman" w:hAnsi="Times New Roman" w:cs="Times New Roman"/>
                <w:i/>
                <w:sz w:val="28"/>
                <w:szCs w:val="28"/>
              </w:rPr>
              <w:t>энергоэффе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ктивных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технологий производства</w:t>
            </w:r>
            <w:r w:rsidR="004F3FC4" w:rsidRPr="004F3FC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0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0"/>
      <w:bookmarkEnd w:id="4"/>
      <w:r w:rsidRPr="00601564">
        <w:rPr>
          <w:rFonts w:ascii="Times New Roman" w:hAnsi="Times New Roman" w:cs="Times New Roman"/>
          <w:sz w:val="28"/>
          <w:szCs w:val="28"/>
        </w:rPr>
        <w:t>4. Перечень показателей для последующего анализа достижения заявленной цели правового регулирования</w:t>
      </w:r>
    </w:p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762"/>
      </w:tblGrid>
      <w:tr w:rsidR="00082343" w:rsidRPr="00601564" w:rsidTr="00814184">
        <w:tc>
          <w:tcPr>
            <w:tcW w:w="4819" w:type="dxa"/>
          </w:tcPr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4.1. Цель предлагаемого правового регулирования:</w:t>
            </w:r>
          </w:p>
        </w:tc>
        <w:tc>
          <w:tcPr>
            <w:tcW w:w="4762" w:type="dxa"/>
          </w:tcPr>
          <w:p w:rsidR="00082343" w:rsidRPr="00601564" w:rsidRDefault="00082343" w:rsidP="00814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4.2. Показатели последующего анализа достижения цели правового регулирования (включая способы, методы, сроки):</w:t>
            </w:r>
          </w:p>
        </w:tc>
      </w:tr>
      <w:tr w:rsidR="00AA3EA7" w:rsidRPr="00601564" w:rsidTr="00C02862">
        <w:tc>
          <w:tcPr>
            <w:tcW w:w="4819" w:type="dxa"/>
          </w:tcPr>
          <w:p w:rsidR="00AA3EA7" w:rsidRPr="00FB3592" w:rsidRDefault="000E5637" w:rsidP="00C0286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637">
              <w:rPr>
                <w:rFonts w:ascii="Times New Roman" w:hAnsi="Times New Roman" w:cs="Times New Roman"/>
                <w:i/>
                <w:sz w:val="28"/>
                <w:szCs w:val="28"/>
              </w:rPr>
              <w:t>Достижение положительного соц</w:t>
            </w:r>
            <w:r w:rsidR="00AE29C4">
              <w:rPr>
                <w:rFonts w:ascii="Times New Roman" w:hAnsi="Times New Roman" w:cs="Times New Roman"/>
                <w:i/>
                <w:sz w:val="28"/>
                <w:szCs w:val="28"/>
              </w:rPr>
              <w:t>иального эффекта для города</w:t>
            </w:r>
            <w:r w:rsidRPr="000E5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повышение </w:t>
            </w:r>
            <w:proofErr w:type="spellStart"/>
            <w:r w:rsidRPr="000E5637">
              <w:rPr>
                <w:rFonts w:ascii="Times New Roman" w:hAnsi="Times New Roman" w:cs="Times New Roman"/>
                <w:i/>
                <w:sz w:val="28"/>
                <w:szCs w:val="28"/>
              </w:rPr>
              <w:t>энергоэффективности</w:t>
            </w:r>
            <w:proofErr w:type="spellEnd"/>
            <w:r w:rsidRPr="000E56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жилого фонда</w:t>
            </w:r>
          </w:p>
        </w:tc>
        <w:tc>
          <w:tcPr>
            <w:tcW w:w="4762" w:type="dxa"/>
          </w:tcPr>
          <w:p w:rsidR="00AA3EA7" w:rsidRPr="00C02740" w:rsidRDefault="000A6A21" w:rsidP="00AE0C01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приведены в приложении к отчету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0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5. Описание предлагаемого правового регулирования и иных возможных способов решения проблемы</w:t>
      </w:r>
    </w:p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7"/>
      </w:tblGrid>
      <w:tr w:rsidR="00082343" w:rsidRPr="00601564" w:rsidTr="00814184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DD0AE9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E9">
              <w:rPr>
                <w:rFonts w:ascii="Times New Roman" w:hAnsi="Times New Roman" w:cs="Times New Roman"/>
                <w:sz w:val="28"/>
                <w:szCs w:val="28"/>
              </w:rPr>
              <w:t xml:space="preserve">5.1. Описание предлагаемого способа решения проблемы и преодоления связанных с ней негативных эффектов: </w:t>
            </w:r>
          </w:p>
          <w:p w:rsidR="002C67AD" w:rsidRPr="00DD0AE9" w:rsidRDefault="002C67AD" w:rsidP="00DD0A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нормативно-правового акта </w:t>
            </w:r>
            <w:r w:rsidR="00DD0AE9" w:rsidRPr="00DD0AE9">
              <w:rPr>
                <w:rFonts w:ascii="Times New Roman" w:hAnsi="Times New Roman" w:cs="Times New Roman"/>
                <w:i/>
                <w:sz w:val="28"/>
                <w:szCs w:val="28"/>
              </w:rPr>
              <w:t>позволит Администрации города путем предоставления субсидии оказывать поддержку субъектам предпринимательской и инвестиционной деятельности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фонде, способствуя решению задач</w:t>
            </w:r>
            <w:r w:rsidR="00DD0AE9" w:rsidRPr="00DD0AE9">
              <w:rPr>
                <w:i/>
              </w:rPr>
              <w:t xml:space="preserve"> </w:t>
            </w:r>
            <w:r w:rsidR="00DD0AE9" w:rsidRPr="00DD0AE9">
              <w:rPr>
                <w:rFonts w:ascii="Times New Roman" w:hAnsi="Times New Roman" w:cs="Times New Roman"/>
                <w:i/>
                <w:sz w:val="28"/>
                <w:szCs w:val="28"/>
              </w:rPr>
              <w:t>устойчивого социально-экономического развития города в данной сфере.</w:t>
            </w:r>
          </w:p>
        </w:tc>
      </w:tr>
      <w:tr w:rsidR="00082343" w:rsidRPr="00601564" w:rsidTr="00814184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5.2. Описание иных возможных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</w:t>
            </w:r>
            <w:r w:rsidR="00841672">
              <w:rPr>
                <w:rFonts w:ascii="Times New Roman" w:hAnsi="Times New Roman" w:cs="Times New Roman"/>
                <w:sz w:val="28"/>
                <w:szCs w:val="28"/>
              </w:rPr>
              <w:t xml:space="preserve">огла бы быть решена </w:t>
            </w:r>
            <w:r w:rsidR="0084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проблема): </w:t>
            </w:r>
            <w:r w:rsidR="00AE0C01" w:rsidRPr="00AE0C01">
              <w:rPr>
                <w:rFonts w:ascii="Times New Roman" w:hAnsi="Times New Roman" w:cs="Times New Roman"/>
                <w:i/>
                <w:sz w:val="28"/>
                <w:szCs w:val="28"/>
              </w:rPr>
              <w:t>иные способы отсутствуют</w:t>
            </w:r>
          </w:p>
        </w:tc>
      </w:tr>
      <w:tr w:rsidR="00082343" w:rsidRPr="00381F48" w:rsidTr="00814184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C25CDF" w:rsidRPr="00DD0AE9" w:rsidRDefault="00082343" w:rsidP="00381F4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C67A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  <w:r w:rsidRPr="00DD0A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.3. Обоснование выбора предлагаемого способа решения проблемы: </w:t>
            </w:r>
          </w:p>
          <w:p w:rsidR="00C25CDF" w:rsidRPr="002C67AD" w:rsidRDefault="006D6AAC" w:rsidP="006D6AA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DD0AE9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Предоставление субсидии позволит привлечь дополнительный объем инвестиций, создать условия для развития энергосбережения и повышения энергетической эффективности в системах коммунальной инфраструктуры и в жилищном фонде, а также сократить финансовую нагрузку на население города.</w:t>
            </w:r>
          </w:p>
        </w:tc>
      </w:tr>
      <w:tr w:rsidR="00082343" w:rsidRPr="00601564" w:rsidTr="00814184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CC6FBC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5.4. Иная информация о предлагаемом способе решения проблемы (при наличии): </w:t>
            </w:r>
            <w:r w:rsidR="002C67AD" w:rsidRPr="002C67A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0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6. Анализ ожидаемых положительных и отрицательных последствий от принятия муниципального нормативного правового акта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106666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66">
              <w:rPr>
                <w:rFonts w:ascii="Times New Roman" w:hAnsi="Times New Roman" w:cs="Times New Roman"/>
                <w:sz w:val="28"/>
                <w:szCs w:val="28"/>
              </w:rPr>
              <w:t xml:space="preserve">6.1. Сектор экономики, группа субъектов предпринимательской и инвестиционной деятельности, территория ожидаемого воздействия: </w:t>
            </w:r>
          </w:p>
          <w:p w:rsidR="002C67AD" w:rsidRPr="00850B12" w:rsidRDefault="002C67AD" w:rsidP="008907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B12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(за исключением государственных (муниципальных) учреждений), индивидуальные предприниматели, привлекшие заемные средства на реализацию инвестиционных проектов по энергосбережению и повышению энергетической эффективности в системах коммунальной инфраструктуры и в жилищном фонде.</w:t>
            </w:r>
          </w:p>
        </w:tc>
      </w:tr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6.2. Качественное описание и количественная оценка ожидаемых положительных и отрицательных последствий (в том числе от введения обязанностей, запретов и ограничений субъектов предпринимательской и инвестиционной деятельности): </w:t>
            </w:r>
          </w:p>
          <w:p w:rsidR="002C67AD" w:rsidRPr="00850B12" w:rsidRDefault="002C67AD" w:rsidP="008907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6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50B12" w:rsidRPr="00850B12">
              <w:rPr>
                <w:rFonts w:ascii="Times New Roman" w:hAnsi="Times New Roman" w:cs="Times New Roman"/>
                <w:i/>
                <w:sz w:val="28"/>
                <w:szCs w:val="28"/>
              </w:rPr>
              <w:t>. Прогнозируемая оценка негатив</w:t>
            </w:r>
            <w:r w:rsidRPr="00850B12">
              <w:rPr>
                <w:rFonts w:ascii="Times New Roman" w:hAnsi="Times New Roman" w:cs="Times New Roman"/>
                <w:i/>
                <w:sz w:val="28"/>
                <w:szCs w:val="28"/>
              </w:rPr>
              <w:t>ного воздействия отсутствует.</w:t>
            </w:r>
          </w:p>
          <w:p w:rsidR="002C67AD" w:rsidRPr="00501E54" w:rsidRDefault="00850B12" w:rsidP="00850B1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AE9">
              <w:rPr>
                <w:rFonts w:ascii="Times New Roman" w:hAnsi="Times New Roman" w:cs="Times New Roman"/>
                <w:i/>
                <w:sz w:val="28"/>
                <w:szCs w:val="28"/>
              </w:rPr>
              <w:t>2. Утверждение проекта постановления позволит</w:t>
            </w:r>
            <w:r w:rsidR="00DD0AE9" w:rsidRPr="00DD0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оказывать поддержку субъектам предпринимательской и инвестиционной деятельности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</w:t>
            </w:r>
          </w:p>
        </w:tc>
      </w:tr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575F4" w:rsidRDefault="00082343" w:rsidP="008907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6.3. Оценка возможной суммы расходов (доходов) субъектов предпринимательской и инвестиционной деятельности от введения соответствующих обязан</w:t>
            </w:r>
            <w:r w:rsidR="000575F4">
              <w:rPr>
                <w:rFonts w:ascii="Times New Roman" w:hAnsi="Times New Roman" w:cs="Times New Roman"/>
                <w:sz w:val="28"/>
                <w:szCs w:val="28"/>
              </w:rPr>
              <w:t xml:space="preserve">ностей, запретов и ограничений: </w:t>
            </w:r>
            <w:r w:rsidR="00B21735">
              <w:rPr>
                <w:rFonts w:ascii="Times New Roman" w:hAnsi="Times New Roman" w:cs="Times New Roman"/>
                <w:i/>
                <w:sz w:val="28"/>
                <w:szCs w:val="28"/>
              </w:rPr>
              <w:t>13 616,45 руб. Расчёт прилагается.</w:t>
            </w:r>
          </w:p>
        </w:tc>
      </w:tr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Default="00082343" w:rsidP="00EC4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6.4. Оценка возможной суммы расходов (доходов) местного бюджета: </w:t>
            </w:r>
          </w:p>
          <w:p w:rsidR="00EC4992" w:rsidRPr="00EC4992" w:rsidRDefault="000575F4" w:rsidP="00EC499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EC4992" w:rsidRPr="00EC4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рамках утвержденного бюджета</w:t>
            </w:r>
            <w:r w:rsidR="003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</w:t>
            </w:r>
          </w:p>
        </w:tc>
      </w:tr>
    </w:tbl>
    <w:p w:rsidR="00082343" w:rsidRPr="00601564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341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7. Результаты оценки регулирующего воздействия и публичных консультаций</w:t>
      </w:r>
    </w:p>
    <w:p w:rsidR="00341D8F" w:rsidRPr="00601564" w:rsidRDefault="00341D8F" w:rsidP="00341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082343" w:rsidRPr="00601564" w:rsidTr="0081418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E5637" w:rsidRDefault="00082343" w:rsidP="0084167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Выявленные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бюджета, в том числе в соответствии с заключением об ОРВ (при их наличии), и мотивированная позиция разработчика относительно данных положений:</w:t>
            </w:r>
            <w:r w:rsidR="00AF7641"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82343" w:rsidRPr="00601564" w:rsidTr="0081418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E5637" w:rsidRDefault="00082343" w:rsidP="0084167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5" w:name="P700"/>
            <w:bookmarkEnd w:id="5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7.2. Количество замечаний и предложений, полученных в связи с размещением уведомления о проведении публичной консультации: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37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получено 5 отзывов, в которых замечания и (или) предложения отсутствуют</w:t>
            </w:r>
          </w:p>
        </w:tc>
      </w:tr>
      <w:tr w:rsidR="00082343" w:rsidRPr="00601564" w:rsidTr="0081418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E5637" w:rsidRDefault="00082343" w:rsidP="0084167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6" w:name="P703"/>
            <w:bookmarkEnd w:id="6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7.3. Сведения о принятых предложениях (в том числе рекомендованных к учету при внесении очередных изменений в правовой акт) и мотивир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672">
              <w:rPr>
                <w:rFonts w:ascii="Times New Roman" w:hAnsi="Times New Roman" w:cs="Times New Roman"/>
                <w:sz w:val="28"/>
                <w:szCs w:val="28"/>
              </w:rPr>
              <w:t>ванно отклоненных предложениях:</w:t>
            </w:r>
            <w:r w:rsidR="000E5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6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82343" w:rsidRDefault="00082343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A70" w:rsidRDefault="00B21735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</w:t>
      </w:r>
      <w:r w:rsidR="000A6A21"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0A6A21" w:rsidRDefault="000A6A21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A21" w:rsidRPr="00601564" w:rsidRDefault="000A6A21" w:rsidP="0008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5F1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40F7A" w:rsidRPr="00601564" w:rsidRDefault="005F3B15" w:rsidP="005F1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1672">
        <w:rPr>
          <w:rFonts w:ascii="Times New Roman" w:hAnsi="Times New Roman" w:cs="Times New Roman"/>
          <w:sz w:val="28"/>
          <w:szCs w:val="28"/>
        </w:rPr>
        <w:t>иректор департамента городского хозяйства</w:t>
      </w:r>
    </w:p>
    <w:p w:rsidR="00082343" w:rsidRPr="00601564" w:rsidRDefault="00082343" w:rsidP="005F1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841672">
        <w:rPr>
          <w:rFonts w:ascii="Times New Roman" w:hAnsi="Times New Roman" w:cs="Times New Roman"/>
          <w:sz w:val="28"/>
          <w:szCs w:val="28"/>
        </w:rPr>
        <w:tab/>
      </w:r>
      <w:r w:rsidR="00841672">
        <w:rPr>
          <w:rFonts w:ascii="Times New Roman" w:hAnsi="Times New Roman" w:cs="Times New Roman"/>
          <w:sz w:val="28"/>
          <w:szCs w:val="28"/>
        </w:rPr>
        <w:tab/>
      </w:r>
      <w:r w:rsidR="00841672">
        <w:rPr>
          <w:rFonts w:ascii="Times New Roman" w:hAnsi="Times New Roman" w:cs="Times New Roman"/>
          <w:sz w:val="28"/>
          <w:szCs w:val="28"/>
        </w:rPr>
        <w:tab/>
      </w:r>
      <w:r w:rsidR="00841672">
        <w:rPr>
          <w:rFonts w:ascii="Times New Roman" w:hAnsi="Times New Roman" w:cs="Times New Roman"/>
          <w:sz w:val="28"/>
          <w:szCs w:val="28"/>
        </w:rPr>
        <w:tab/>
      </w:r>
      <w:r w:rsidR="00841672">
        <w:rPr>
          <w:rFonts w:ascii="Times New Roman" w:hAnsi="Times New Roman" w:cs="Times New Roman"/>
          <w:sz w:val="28"/>
          <w:szCs w:val="28"/>
        </w:rPr>
        <w:tab/>
      </w:r>
      <w:r w:rsidR="0084167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90779">
        <w:rPr>
          <w:rFonts w:ascii="Times New Roman" w:hAnsi="Times New Roman" w:cs="Times New Roman"/>
          <w:sz w:val="28"/>
          <w:szCs w:val="28"/>
        </w:rPr>
        <w:t xml:space="preserve">      </w:t>
      </w:r>
      <w:r w:rsidR="00842DF8">
        <w:rPr>
          <w:rFonts w:ascii="Times New Roman" w:hAnsi="Times New Roman" w:cs="Times New Roman"/>
          <w:sz w:val="28"/>
          <w:szCs w:val="28"/>
        </w:rPr>
        <w:t xml:space="preserve"> </w:t>
      </w:r>
      <w:r w:rsidR="00890779">
        <w:rPr>
          <w:rFonts w:ascii="Times New Roman" w:hAnsi="Times New Roman" w:cs="Times New Roman"/>
          <w:sz w:val="28"/>
          <w:szCs w:val="28"/>
        </w:rPr>
        <w:t>К.Ю. Карпеткин</w:t>
      </w:r>
    </w:p>
    <w:p w:rsidR="006E6605" w:rsidRDefault="006E6605">
      <w:pPr>
        <w:rPr>
          <w:rFonts w:ascii="Times New Roman" w:hAnsi="Times New Roman" w:cs="Times New Roman"/>
          <w:sz w:val="28"/>
          <w:szCs w:val="28"/>
        </w:rPr>
      </w:pPr>
    </w:p>
    <w:p w:rsidR="005F3B15" w:rsidRDefault="005F3B15">
      <w:pPr>
        <w:rPr>
          <w:rFonts w:ascii="Times New Roman" w:hAnsi="Times New Roman" w:cs="Times New Roman"/>
          <w:sz w:val="28"/>
          <w:szCs w:val="28"/>
        </w:rPr>
      </w:pPr>
    </w:p>
    <w:p w:rsidR="00DD0AE9" w:rsidRDefault="00DD0AE9">
      <w:pPr>
        <w:rPr>
          <w:rFonts w:ascii="Times New Roman" w:hAnsi="Times New Roman" w:cs="Times New Roman"/>
          <w:sz w:val="28"/>
          <w:szCs w:val="28"/>
        </w:rPr>
      </w:pPr>
    </w:p>
    <w:p w:rsidR="00DD0AE9" w:rsidRDefault="00DD0AE9">
      <w:pPr>
        <w:rPr>
          <w:rFonts w:ascii="Times New Roman" w:hAnsi="Times New Roman" w:cs="Times New Roman"/>
          <w:sz w:val="28"/>
          <w:szCs w:val="28"/>
        </w:rPr>
      </w:pPr>
    </w:p>
    <w:p w:rsidR="00DD0AE9" w:rsidRDefault="00DD0AE9">
      <w:pPr>
        <w:rPr>
          <w:rFonts w:ascii="Times New Roman" w:hAnsi="Times New Roman" w:cs="Times New Roman"/>
          <w:sz w:val="28"/>
          <w:szCs w:val="28"/>
        </w:rPr>
      </w:pPr>
    </w:p>
    <w:p w:rsidR="00DD0AE9" w:rsidRDefault="00DD0AE9">
      <w:pPr>
        <w:rPr>
          <w:rFonts w:ascii="Times New Roman" w:hAnsi="Times New Roman" w:cs="Times New Roman"/>
          <w:sz w:val="28"/>
          <w:szCs w:val="28"/>
        </w:rPr>
      </w:pPr>
    </w:p>
    <w:p w:rsidR="000A6A21" w:rsidRDefault="000A6A21">
      <w:pPr>
        <w:rPr>
          <w:rFonts w:ascii="Times New Roman" w:hAnsi="Times New Roman" w:cs="Times New Roman"/>
          <w:sz w:val="28"/>
          <w:szCs w:val="28"/>
        </w:rPr>
      </w:pPr>
    </w:p>
    <w:p w:rsidR="000A6A21" w:rsidRDefault="000A6A21">
      <w:pPr>
        <w:rPr>
          <w:rFonts w:ascii="Times New Roman" w:hAnsi="Times New Roman" w:cs="Times New Roman"/>
          <w:sz w:val="28"/>
          <w:szCs w:val="28"/>
        </w:rPr>
      </w:pPr>
    </w:p>
    <w:p w:rsidR="000A6A21" w:rsidRDefault="000A6A21">
      <w:pPr>
        <w:rPr>
          <w:rFonts w:ascii="Times New Roman" w:hAnsi="Times New Roman" w:cs="Times New Roman"/>
          <w:sz w:val="28"/>
          <w:szCs w:val="28"/>
        </w:rPr>
      </w:pPr>
    </w:p>
    <w:p w:rsidR="000A6A21" w:rsidRDefault="000A6A21">
      <w:pPr>
        <w:rPr>
          <w:rFonts w:ascii="Times New Roman" w:hAnsi="Times New Roman" w:cs="Times New Roman"/>
          <w:sz w:val="28"/>
          <w:szCs w:val="28"/>
        </w:rPr>
      </w:pPr>
    </w:p>
    <w:p w:rsidR="000A6A21" w:rsidRDefault="000A6A21">
      <w:pPr>
        <w:rPr>
          <w:rFonts w:ascii="Times New Roman" w:hAnsi="Times New Roman" w:cs="Times New Roman"/>
          <w:sz w:val="28"/>
          <w:szCs w:val="28"/>
        </w:rPr>
      </w:pPr>
    </w:p>
    <w:p w:rsidR="005F3B15" w:rsidRPr="00850B12" w:rsidRDefault="000E5637" w:rsidP="0085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Боровкова Ирина Викторовна</w:t>
      </w:r>
    </w:p>
    <w:p w:rsidR="00850B12" w:rsidRDefault="00B553AE" w:rsidP="0085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850B12" w:rsidRPr="00850B12">
        <w:rPr>
          <w:rFonts w:ascii="Times New Roman" w:hAnsi="Times New Roman" w:cs="Times New Roman"/>
          <w:sz w:val="24"/>
          <w:szCs w:val="24"/>
        </w:rPr>
        <w:t>(3462) 52-44-18</w:t>
      </w:r>
    </w:p>
    <w:p w:rsidR="000A6A21" w:rsidRDefault="000A6A21" w:rsidP="0085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A21" w:rsidRPr="000A6A21" w:rsidRDefault="000A6A21" w:rsidP="000A6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1735">
        <w:rPr>
          <w:rFonts w:ascii="Times New Roman" w:hAnsi="Times New Roman" w:cs="Times New Roman"/>
          <w:sz w:val="28"/>
          <w:szCs w:val="28"/>
        </w:rPr>
        <w:t xml:space="preserve"> 1</w:t>
      </w:r>
      <w:r w:rsidRPr="000A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21" w:rsidRPr="000A6A21" w:rsidRDefault="000A6A21" w:rsidP="000A6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21">
        <w:rPr>
          <w:rFonts w:ascii="Times New Roman" w:hAnsi="Times New Roman" w:cs="Times New Roman"/>
          <w:sz w:val="28"/>
          <w:szCs w:val="28"/>
        </w:rPr>
        <w:t xml:space="preserve">к отчету об оценке </w:t>
      </w:r>
    </w:p>
    <w:p w:rsidR="000A6A21" w:rsidRPr="000A6A21" w:rsidRDefault="000A6A21" w:rsidP="000A6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21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0A6A21" w:rsidRPr="000A6A21" w:rsidRDefault="000A6A21" w:rsidP="000A6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21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</w:p>
    <w:p w:rsidR="000A6A21" w:rsidRPr="000A6A21" w:rsidRDefault="000A6A21" w:rsidP="000A6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2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0A6A21" w:rsidRDefault="000A6A21" w:rsidP="000A6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A6A21" w:rsidTr="000A6A21">
        <w:trPr>
          <w:jc w:val="center"/>
        </w:trPr>
        <w:tc>
          <w:tcPr>
            <w:tcW w:w="2336" w:type="dxa"/>
            <w:vMerge w:val="restart"/>
            <w:vAlign w:val="center"/>
          </w:tcPr>
          <w:p w:rsidR="000A6A21" w:rsidRDefault="000A6A21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21">
              <w:rPr>
                <w:rFonts w:ascii="Times New Roman" w:hAnsi="Times New Roman" w:cs="Times New Roman"/>
                <w:sz w:val="24"/>
                <w:szCs w:val="24"/>
              </w:rPr>
              <w:t>Показатели последующего анализа достижения цели правового регулирования</w:t>
            </w:r>
          </w:p>
        </w:tc>
        <w:tc>
          <w:tcPr>
            <w:tcW w:w="7009" w:type="dxa"/>
            <w:gridSpan w:val="3"/>
            <w:vAlign w:val="center"/>
          </w:tcPr>
          <w:p w:rsidR="000A6A21" w:rsidRDefault="000A6A21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достижения</w:t>
            </w:r>
          </w:p>
        </w:tc>
      </w:tr>
      <w:tr w:rsidR="000A6A21" w:rsidTr="000A6A21">
        <w:trPr>
          <w:jc w:val="center"/>
        </w:trPr>
        <w:tc>
          <w:tcPr>
            <w:tcW w:w="2336" w:type="dxa"/>
            <w:vMerge/>
            <w:vAlign w:val="center"/>
          </w:tcPr>
          <w:p w:rsidR="000A6A21" w:rsidRDefault="000A6A21" w:rsidP="000A6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6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37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A6A21" w:rsidTr="00E71AE6">
        <w:trPr>
          <w:jc w:val="center"/>
        </w:trPr>
        <w:tc>
          <w:tcPr>
            <w:tcW w:w="2336" w:type="dxa"/>
          </w:tcPr>
          <w:p w:rsidR="000A6A21" w:rsidRDefault="00E71AE6" w:rsidP="00E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получателей субсидии, ед.</w:t>
            </w:r>
          </w:p>
        </w:tc>
        <w:tc>
          <w:tcPr>
            <w:tcW w:w="2336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A21" w:rsidTr="00E71AE6">
        <w:trPr>
          <w:jc w:val="center"/>
        </w:trPr>
        <w:tc>
          <w:tcPr>
            <w:tcW w:w="2336" w:type="dxa"/>
          </w:tcPr>
          <w:p w:rsidR="000A6A21" w:rsidRDefault="00E71AE6" w:rsidP="00E7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расход холодной воды в МКД, </w:t>
            </w:r>
            <w:proofErr w:type="spellStart"/>
            <w:r w:rsidRPr="00E71AE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71AE6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  <w:tc>
          <w:tcPr>
            <w:tcW w:w="2336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  <w:vAlign w:val="center"/>
          </w:tcPr>
          <w:p w:rsidR="000A6A21" w:rsidRDefault="00E71AE6" w:rsidP="00E7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A6A21" w:rsidRDefault="000A6A21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0A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09A" w:rsidRDefault="009B109A" w:rsidP="009B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B109A" w:rsidRPr="009B109A" w:rsidRDefault="009B109A" w:rsidP="009B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к отчету об оценке </w:t>
      </w:r>
    </w:p>
    <w:p w:rsidR="009B109A" w:rsidRPr="009B109A" w:rsidRDefault="009B109A" w:rsidP="009B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9B109A" w:rsidRPr="009B109A" w:rsidRDefault="009B109A" w:rsidP="009B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</w:p>
    <w:p w:rsidR="009B109A" w:rsidRDefault="009B109A" w:rsidP="009B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Разделом 2 Порядка предоставления субсидии на возмещение части затрат на уплату процентов по привлекаемым заемным средствам для реализации инвестиционных проектов, направленных на энергосбережение и повышение энергетической эффективности в системах коммунальной инфраструктуры и в жилищном фонде определен перечень документов, необходимых для подачи на заявки на получение субсидии (информационное требование – 1). 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ab/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Для получения субсидии Предприятие направляет в Департамент следующие документы: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- заявку на предоставление субсидии по форме согласно приложению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- плановый расчет размера субсидии по форме согласно приложениям 2 и (или) 3 к настоящему порядку;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- заверенную кредитной организацией копию кредитного договора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с учетом изменений и графиков погашения кредита и уплаты процентов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по нему; 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- копию бизнес-плана, предусматривающего реализацию инвестиционного проекта, за исключением проектной документации, заверенную получателем субсидии и согласованную кредитной организацией, в котором получен кредит (1 экземпляр на бумажном носителе, прошитый и скрепленный подписью руководителя и печатью, 1 экземпляр в электронном виде).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отчетности Предприятие направляет в Департамент следующие документы: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ab/>
        <w:t>- расчет размера субсидии на возмещение части затрат на уплату процентов согласно приложениям 2 и (или) 3 к настоящему порядку;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- расчет размера процентов к уплате за пользование кредитными ресурсами в случае его направления кредитной организацией в адрес получателя субсидии;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lastRenderedPageBreak/>
        <w:t>- выписки по ссудному или лицевому счету заемщика, подтверждающие получение и погашение кредита;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- документы, подтверждающие объём и своевременность уплаты заемщиком начисленных процентов за пользование кредитом, размер и своевременность погашения кредита, заверенные кредитной организацией;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целевое использование кредитных средств, с приложением копий первичных учетных документов, на основании которых осуществлялись соответствующие расчеты, заверенные заемщиком.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1 организации;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1 сотрудника;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1 событие.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Заявка подается 1 раз в год.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Частота выполнения – 1.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Отчетность производится 1 раз в квартал, следующий за отчётным.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Частота выполнения – 4.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необходимых на выполнение информационных требований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Рассчитаем </w:t>
      </w:r>
      <w:proofErr w:type="spellStart"/>
      <w:r w:rsidRPr="009B109A">
        <w:rPr>
          <w:rFonts w:ascii="Times New Roman" w:hAnsi="Times New Roman" w:cs="Times New Roman"/>
          <w:sz w:val="28"/>
          <w:szCs w:val="28"/>
        </w:rPr>
        <w:t>трудозатраность</w:t>
      </w:r>
      <w:proofErr w:type="spellEnd"/>
      <w:r w:rsidRPr="009B109A">
        <w:rPr>
          <w:rFonts w:ascii="Times New Roman" w:hAnsi="Times New Roman" w:cs="Times New Roman"/>
          <w:sz w:val="28"/>
          <w:szCs w:val="28"/>
        </w:rPr>
        <w:t xml:space="preserve"> на одного сотрудника: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ТЗ= (п раб. * t)/ продолжительностью рабочего дня, где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п раб. – число работников, участвующих в работе;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ТЗ</w:t>
      </w:r>
      <w:proofErr w:type="gramStart"/>
      <w:r w:rsidRPr="009B109A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>1*40 часов)/8=5 человека дней = 40 часов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В качестве заработной платы специалиста взята среднемесячная заработная плата за 2016г. по предприятию и составляет 47 357,35руб.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Рабочий месяц = 22 раб. дня = 176 часов (8-часовой рабочий день).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Минимальная  заработная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плата 1 работника в 2016 году = 47 357,35руб.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Средняя стоимость работы часа персонала =                            47 357,35/176=269,07 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</w:rPr>
        <w:t>= 40*269,07 руб. = 10 763,03 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На приобретение материалов, сотрудник затратит в среднем 3 часа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 xml:space="preserve">Т=3*269,07=807,21 руб. 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ИТ1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=10 763,03+807,21 = 11 570,24 руб. </w:t>
      </w: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Осуществление дополнительных административных процедур.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ab/>
      </w:r>
      <w:r w:rsidRPr="009B109A">
        <w:rPr>
          <w:rFonts w:ascii="Times New Roman" w:hAnsi="Times New Roman" w:cs="Times New Roman"/>
          <w:sz w:val="28"/>
          <w:szCs w:val="28"/>
        </w:rPr>
        <w:t xml:space="preserve">Для предоставления таких документов, как заверенную кредитной организацией копию кредитного договора с учетом изменений и графиков погашения кредита и уплаты процентов по нему;  копию бизнес-плана, предусматривающего реализацию инвестиционного проекта, за исключением проектной документации, заверенную получателем субсидии и согласованную кредитной организацией, в котором получен кредит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109A">
        <w:rPr>
          <w:rFonts w:ascii="Times New Roman" w:hAnsi="Times New Roman" w:cs="Times New Roman"/>
          <w:sz w:val="28"/>
          <w:szCs w:val="28"/>
        </w:rPr>
        <w:t>(1 экземпляр на бумажном носителе, прошитый и скрепленный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109A">
        <w:rPr>
          <w:rFonts w:ascii="Times New Roman" w:hAnsi="Times New Roman" w:cs="Times New Roman"/>
          <w:sz w:val="28"/>
          <w:szCs w:val="28"/>
        </w:rPr>
        <w:t>: специалист организации затратит определенное количество времени: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sz w:val="28"/>
          <w:szCs w:val="28"/>
        </w:rPr>
        <w:tab/>
        <w:t>1,5 часа – поездка в отделение Банка для предоставления письма о заверении кредитного договора, копии бизнес-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плана ;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1,5 часа – поездка в отделение Банка 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для получения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заверенного банком кредитного договора, копии бизнес-плана; 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Итого на получение сведений затрачено 3 часа.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Оплата специалисту составит: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ИТ2</w:t>
      </w:r>
      <w:r w:rsidRPr="009B109A">
        <w:rPr>
          <w:rFonts w:ascii="Times New Roman" w:hAnsi="Times New Roman" w:cs="Times New Roman"/>
          <w:b/>
          <w:sz w:val="28"/>
          <w:szCs w:val="28"/>
        </w:rPr>
        <w:t>= 3*269,07=807,21руб.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>= 11 570,24+807,21 = 12 377,45 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Картридж – 1 000 руб./шт.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Пачка бумаги (А4) – 239 руб./пачка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(данные из сети интернет, с официальных сайтов предприятий продажи)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ИЭ</w:t>
      </w:r>
      <w:r w:rsidRPr="009B109A">
        <w:rPr>
          <w:rFonts w:ascii="Times New Roman" w:hAnsi="Times New Roman" w:cs="Times New Roman"/>
          <w:b/>
          <w:sz w:val="28"/>
          <w:szCs w:val="28"/>
        </w:rPr>
        <w:t>=МР/ (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B109A">
        <w:rPr>
          <w:rFonts w:ascii="Times New Roman" w:hAnsi="Times New Roman" w:cs="Times New Roman"/>
          <w:b/>
          <w:sz w:val="28"/>
          <w:szCs w:val="28"/>
        </w:rPr>
        <w:t>*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9B109A">
        <w:rPr>
          <w:rFonts w:ascii="Times New Roman" w:hAnsi="Times New Roman" w:cs="Times New Roman"/>
          <w:b/>
          <w:sz w:val="28"/>
          <w:szCs w:val="28"/>
        </w:rPr>
        <w:t>), где: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109A">
        <w:rPr>
          <w:rFonts w:ascii="Times New Roman" w:hAnsi="Times New Roman" w:cs="Times New Roman"/>
          <w:sz w:val="28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9B10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109A">
        <w:rPr>
          <w:rFonts w:ascii="Times New Roman" w:hAnsi="Times New Roman" w:cs="Times New Roman"/>
          <w:sz w:val="28"/>
          <w:szCs w:val="28"/>
        </w:rPr>
        <w:t>=1)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B109A">
        <w:rPr>
          <w:rFonts w:ascii="Times New Roman" w:hAnsi="Times New Roman" w:cs="Times New Roman"/>
          <w:sz w:val="28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ИЭ1</w:t>
      </w:r>
      <w:r w:rsidRPr="009B109A">
        <w:rPr>
          <w:rFonts w:ascii="Times New Roman" w:hAnsi="Times New Roman" w:cs="Times New Roman"/>
          <w:b/>
          <w:sz w:val="28"/>
          <w:szCs w:val="28"/>
        </w:rPr>
        <w:t>= (1000+239)</w:t>
      </w:r>
      <w:proofErr w:type="gramStart"/>
      <w:r w:rsidRPr="009B109A">
        <w:rPr>
          <w:rFonts w:ascii="Times New Roman" w:hAnsi="Times New Roman" w:cs="Times New Roman"/>
          <w:b/>
          <w:sz w:val="28"/>
          <w:szCs w:val="28"/>
        </w:rPr>
        <w:t>/(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>1*1) = 1 239руб.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 xml:space="preserve">  7 этап. Сумма информационных издержек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И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>=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>*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9B109A">
        <w:rPr>
          <w:rFonts w:ascii="Times New Roman" w:hAnsi="Times New Roman" w:cs="Times New Roman"/>
          <w:b/>
          <w:sz w:val="28"/>
          <w:szCs w:val="28"/>
        </w:rPr>
        <w:t>+А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ИТ,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109A">
        <w:rPr>
          <w:rFonts w:ascii="Times New Roman" w:hAnsi="Times New Roman" w:cs="Times New Roman"/>
          <w:sz w:val="28"/>
          <w:szCs w:val="28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109A">
        <w:rPr>
          <w:rFonts w:ascii="Times New Roman" w:hAnsi="Times New Roman" w:cs="Times New Roman"/>
          <w:sz w:val="28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9B109A" w:rsidRPr="009B109A" w:rsidRDefault="009B109A" w:rsidP="009B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b/>
          <w:sz w:val="28"/>
          <w:szCs w:val="28"/>
        </w:rPr>
        <w:t>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109A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И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>= 12 377,45 + 1 239 = 13 616,45 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9B109A">
        <w:rPr>
          <w:rFonts w:ascii="Times New Roman" w:hAnsi="Times New Roman" w:cs="Times New Roman"/>
          <w:sz w:val="28"/>
          <w:szCs w:val="28"/>
        </w:rPr>
        <w:t xml:space="preserve">Таким образом, ежегодные 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информационные  издержки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 по предприятию составят 13 616,45 руб.</w:t>
      </w: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9A" w:rsidRPr="009B109A" w:rsidRDefault="009B109A" w:rsidP="009B1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109A" w:rsidRPr="009B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71F4"/>
    <w:multiLevelType w:val="hybridMultilevel"/>
    <w:tmpl w:val="C6043EEC"/>
    <w:lvl w:ilvl="0" w:tplc="E18C5FF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3"/>
    <w:rsid w:val="00011450"/>
    <w:rsid w:val="000575F4"/>
    <w:rsid w:val="00082343"/>
    <w:rsid w:val="000878AC"/>
    <w:rsid w:val="000A6A21"/>
    <w:rsid w:val="000C7448"/>
    <w:rsid w:val="000E473D"/>
    <w:rsid w:val="000E5637"/>
    <w:rsid w:val="00106666"/>
    <w:rsid w:val="00115FAA"/>
    <w:rsid w:val="00187907"/>
    <w:rsid w:val="001A6DCD"/>
    <w:rsid w:val="001B4E0E"/>
    <w:rsid w:val="00203D4B"/>
    <w:rsid w:val="002133AC"/>
    <w:rsid w:val="00220821"/>
    <w:rsid w:val="00280B62"/>
    <w:rsid w:val="00290397"/>
    <w:rsid w:val="002C67AD"/>
    <w:rsid w:val="0031074F"/>
    <w:rsid w:val="003231AA"/>
    <w:rsid w:val="00341D8F"/>
    <w:rsid w:val="00357BA0"/>
    <w:rsid w:val="003638D5"/>
    <w:rsid w:val="003679BC"/>
    <w:rsid w:val="00381F48"/>
    <w:rsid w:val="003A149E"/>
    <w:rsid w:val="003A28B7"/>
    <w:rsid w:val="003D0CC1"/>
    <w:rsid w:val="003E5399"/>
    <w:rsid w:val="0040614F"/>
    <w:rsid w:val="004111DA"/>
    <w:rsid w:val="00442B84"/>
    <w:rsid w:val="004765DF"/>
    <w:rsid w:val="004A6498"/>
    <w:rsid w:val="004F3FC4"/>
    <w:rsid w:val="00501E54"/>
    <w:rsid w:val="00525FFC"/>
    <w:rsid w:val="00537CE6"/>
    <w:rsid w:val="00561420"/>
    <w:rsid w:val="005F130C"/>
    <w:rsid w:val="005F3B15"/>
    <w:rsid w:val="00601564"/>
    <w:rsid w:val="00606FD9"/>
    <w:rsid w:val="00643885"/>
    <w:rsid w:val="006A0740"/>
    <w:rsid w:val="006A7758"/>
    <w:rsid w:val="006D5484"/>
    <w:rsid w:val="006D6AAC"/>
    <w:rsid w:val="006E6605"/>
    <w:rsid w:val="006E7881"/>
    <w:rsid w:val="00723775"/>
    <w:rsid w:val="00740F7A"/>
    <w:rsid w:val="007B20C1"/>
    <w:rsid w:val="00841672"/>
    <w:rsid w:val="00842DF8"/>
    <w:rsid w:val="00850B12"/>
    <w:rsid w:val="008564CF"/>
    <w:rsid w:val="00890779"/>
    <w:rsid w:val="008B4E30"/>
    <w:rsid w:val="008E0213"/>
    <w:rsid w:val="00970CE1"/>
    <w:rsid w:val="009761D9"/>
    <w:rsid w:val="00983600"/>
    <w:rsid w:val="009B109A"/>
    <w:rsid w:val="009F1AB1"/>
    <w:rsid w:val="00A004CB"/>
    <w:rsid w:val="00A33385"/>
    <w:rsid w:val="00A50697"/>
    <w:rsid w:val="00A573D4"/>
    <w:rsid w:val="00A739ED"/>
    <w:rsid w:val="00AA3EA7"/>
    <w:rsid w:val="00AE0C01"/>
    <w:rsid w:val="00AE29C4"/>
    <w:rsid w:val="00AF6414"/>
    <w:rsid w:val="00AF7641"/>
    <w:rsid w:val="00B21735"/>
    <w:rsid w:val="00B54C4A"/>
    <w:rsid w:val="00B553AE"/>
    <w:rsid w:val="00B57C5A"/>
    <w:rsid w:val="00B7468B"/>
    <w:rsid w:val="00B86EF6"/>
    <w:rsid w:val="00B86F33"/>
    <w:rsid w:val="00B92846"/>
    <w:rsid w:val="00B93FF8"/>
    <w:rsid w:val="00B96D33"/>
    <w:rsid w:val="00BB20EC"/>
    <w:rsid w:val="00C02740"/>
    <w:rsid w:val="00C052E1"/>
    <w:rsid w:val="00C25CDF"/>
    <w:rsid w:val="00C47F25"/>
    <w:rsid w:val="00C76305"/>
    <w:rsid w:val="00CC4605"/>
    <w:rsid w:val="00CC6FBC"/>
    <w:rsid w:val="00D15A70"/>
    <w:rsid w:val="00D433FA"/>
    <w:rsid w:val="00D66487"/>
    <w:rsid w:val="00D83E81"/>
    <w:rsid w:val="00DC0EF1"/>
    <w:rsid w:val="00DD0AE9"/>
    <w:rsid w:val="00DF07BF"/>
    <w:rsid w:val="00E4118E"/>
    <w:rsid w:val="00E63D6C"/>
    <w:rsid w:val="00E678CC"/>
    <w:rsid w:val="00E71AE6"/>
    <w:rsid w:val="00E90E84"/>
    <w:rsid w:val="00EC4992"/>
    <w:rsid w:val="00EF4456"/>
    <w:rsid w:val="00EF474E"/>
    <w:rsid w:val="00F05B84"/>
    <w:rsid w:val="00F17045"/>
    <w:rsid w:val="00F2273C"/>
    <w:rsid w:val="00F54588"/>
    <w:rsid w:val="00F63BD4"/>
    <w:rsid w:val="00FA3959"/>
    <w:rsid w:val="00FB3592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5869"/>
  <w15:docId w15:val="{C435E251-7C13-412D-A846-2128557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43"/>
  </w:style>
  <w:style w:type="paragraph" w:styleId="1">
    <w:name w:val="heading 1"/>
    <w:basedOn w:val="a"/>
    <w:next w:val="a"/>
    <w:link w:val="10"/>
    <w:uiPriority w:val="99"/>
    <w:qFormat/>
    <w:rsid w:val="0008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1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37CE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uiPriority w:val="99"/>
    <w:rsid w:val="00537CE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878A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A00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A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E76A3EC34CC9F770152CC551A6FE86D2A7216AF4A8D784EB346ACECFC32E12A3BFD4903BD2D81D900A231F66n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E76A3EC34CC9F770152CC551A6FE86D2A7216AF4A8D784EB346ACECFC32E12A3BFD4903BD2D81D900A231F66n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8377-87C3-4F8E-9044-B3CE16F1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Боровкова Ирина Викторовна</cp:lastModifiedBy>
  <cp:revision>12</cp:revision>
  <cp:lastPrinted>2017-07-03T09:47:00Z</cp:lastPrinted>
  <dcterms:created xsi:type="dcterms:W3CDTF">2017-05-11T12:07:00Z</dcterms:created>
  <dcterms:modified xsi:type="dcterms:W3CDTF">2017-07-05T10:24:00Z</dcterms:modified>
</cp:coreProperties>
</file>