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0" w:rsidRPr="00E33DD0" w:rsidRDefault="00E33DD0" w:rsidP="00E33DD0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bookmarkStart w:id="0" w:name="sub_1000"/>
    </w:p>
    <w:p w:rsidR="00E33DD0" w:rsidRPr="00E33DD0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E33DD0" w:rsidRPr="00E33DD0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9" w:history="1"/>
      <w:r w:rsidRPr="00E33DD0">
        <w:rPr>
          <w:rFonts w:eastAsia="Times New Roman" w:cs="Arial"/>
          <w:szCs w:val="28"/>
          <w:lang w:eastAsia="ru-RU"/>
        </w:rPr>
        <w:t xml:space="preserve">порядком </w:t>
      </w:r>
      <w:r w:rsidRPr="00E33DD0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E33DD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E33DD0">
        <w:rPr>
          <w:rFonts w:eastAsia="Times New Roman" w:cs="Arial"/>
          <w:szCs w:val="28"/>
          <w:lang w:eastAsia="ru-RU"/>
        </w:rPr>
        <w:br/>
        <w:t>от</w:t>
      </w:r>
      <w:r w:rsidR="00547FA9">
        <w:rPr>
          <w:rFonts w:eastAsia="Times New Roman" w:cs="Arial"/>
          <w:szCs w:val="28"/>
          <w:lang w:eastAsia="ru-RU"/>
        </w:rPr>
        <w:t xml:space="preserve"> 14.11.2017</w:t>
      </w:r>
      <w:r w:rsidRPr="00E33DD0">
        <w:rPr>
          <w:rFonts w:eastAsia="Times New Roman" w:cs="Arial"/>
          <w:szCs w:val="28"/>
          <w:lang w:eastAsia="ru-RU"/>
        </w:rPr>
        <w:t xml:space="preserve"> №</w:t>
      </w:r>
      <w:r w:rsidR="00547FA9">
        <w:rPr>
          <w:rFonts w:eastAsia="Times New Roman" w:cs="Arial"/>
          <w:szCs w:val="28"/>
          <w:lang w:eastAsia="ru-RU"/>
        </w:rPr>
        <w:t xml:space="preserve"> 172</w:t>
      </w:r>
      <w:r w:rsidRPr="00E33DD0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E33DD0">
        <w:rPr>
          <w:rFonts w:eastAsia="Times New Roman" w:cs="Times New Roman"/>
          <w:szCs w:val="28"/>
          <w:lang w:eastAsia="ru-RU"/>
        </w:rPr>
        <w:tab/>
        <w:t>акт</w:t>
      </w:r>
      <w:r w:rsidR="003445D3">
        <w:rPr>
          <w:rFonts w:eastAsia="Times New Roman" w:cs="Times New Roman"/>
          <w:szCs w:val="28"/>
          <w:lang w:eastAsia="ru-RU"/>
        </w:rPr>
        <w:t xml:space="preserve"> -</w:t>
      </w:r>
      <w:r w:rsidRPr="00E33DD0">
        <w:rPr>
          <w:rFonts w:eastAsia="Times New Roman" w:cs="Times New Roman"/>
          <w:szCs w:val="28"/>
          <w:lang w:eastAsia="ru-RU"/>
        </w:rPr>
        <w:t xml:space="preserve"> </w:t>
      </w:r>
      <w:r w:rsidR="00547FA9" w:rsidRPr="003445D3">
        <w:rPr>
          <w:rFonts w:eastAsia="Times New Roman" w:cs="Times New Roman"/>
          <w:i/>
          <w:szCs w:val="28"/>
          <w:lang w:eastAsia="ru-RU"/>
        </w:rPr>
        <w:t xml:space="preserve">постановление Администрации </w:t>
      </w:r>
      <w:bookmarkStart w:id="1" w:name="_GoBack"/>
      <w:bookmarkEnd w:id="1"/>
      <w:r w:rsidR="00547FA9" w:rsidRPr="003445D3">
        <w:rPr>
          <w:rFonts w:eastAsia="Times New Roman" w:cs="Times New Roman"/>
          <w:i/>
          <w:szCs w:val="28"/>
          <w:lang w:eastAsia="ru-RU"/>
        </w:rPr>
        <w:t>города от 21.06.2017 № 5185 «Об утверждении положения о порядке и сроках подачи документов для закрепления муниципального имущества на праве оперативного управления или хозяйственного ведения за муниципальными организациями»</w:t>
      </w:r>
      <w:r w:rsidR="00547FA9">
        <w:rPr>
          <w:rFonts w:eastAsia="Times New Roman" w:cs="Times New Roman"/>
          <w:szCs w:val="28"/>
          <w:lang w:eastAsia="ru-RU"/>
        </w:rPr>
        <w:t xml:space="preserve">, </w:t>
      </w:r>
      <w:r w:rsidRPr="00E33DD0">
        <w:rPr>
          <w:rFonts w:eastAsia="Times New Roman" w:cs="Times New Roman"/>
          <w:szCs w:val="28"/>
          <w:lang w:eastAsia="ru-RU"/>
        </w:rPr>
        <w:t xml:space="preserve">сводный отчет </w:t>
      </w:r>
      <w:r w:rsidR="003445D3">
        <w:rPr>
          <w:rFonts w:eastAsia="Times New Roman" w:cs="Times New Roman"/>
          <w:szCs w:val="28"/>
          <w:lang w:eastAsia="ru-RU"/>
        </w:rPr>
        <w:br/>
      </w:r>
      <w:r w:rsidRPr="00E33DD0">
        <w:rPr>
          <w:rFonts w:eastAsia="Times New Roman" w:cs="Times New Roman"/>
          <w:szCs w:val="28"/>
          <w:lang w:eastAsia="ru-RU"/>
        </w:rPr>
        <w:t xml:space="preserve">об экспертизе действующего нормативного правового акта </w:t>
      </w:r>
      <w:r w:rsidRPr="00E33DD0">
        <w:rPr>
          <w:rFonts w:eastAsia="Times New Roman" w:cs="Times New Roman"/>
          <w:szCs w:val="28"/>
          <w:lang w:eastAsia="ru-RU"/>
        </w:rPr>
        <w:br/>
        <w:t xml:space="preserve">и свод предложений по результатам публичных консультаций, подготовленные </w:t>
      </w:r>
      <w:r w:rsidR="00547FA9" w:rsidRPr="003445D3">
        <w:rPr>
          <w:rFonts w:eastAsia="Times New Roman" w:cs="Times New Roman"/>
          <w:szCs w:val="28"/>
          <w:u w:val="single"/>
          <w:lang w:eastAsia="ru-RU"/>
        </w:rPr>
        <w:t>комитетом по управлению имуществом Администрации города</w:t>
      </w:r>
      <w:r w:rsidR="00547FA9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F54749" w:rsidRDefault="00F5474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</w:t>
      </w:r>
      <w:r w:rsidR="00C06A42" w:rsidRPr="00C06A42">
        <w:t xml:space="preserve"> </w:t>
      </w:r>
      <w:r w:rsidR="00C06A42" w:rsidRPr="00C06A42">
        <w:rPr>
          <w:rFonts w:eastAsia="Times New Roman" w:cs="Times New Roman"/>
          <w:szCs w:val="28"/>
          <w:lang w:eastAsia="ru-RU"/>
        </w:rPr>
        <w:t xml:space="preserve">Главы города от 12.01.2017 № 03 </w:t>
      </w:r>
      <w:r w:rsidR="000C4662">
        <w:rPr>
          <w:rFonts w:eastAsia="Times New Roman" w:cs="Times New Roman"/>
          <w:szCs w:val="28"/>
          <w:lang w:eastAsia="ru-RU"/>
        </w:rPr>
        <w:br/>
      </w:r>
      <w:r w:rsidR="00C06A42" w:rsidRPr="00C06A42">
        <w:rPr>
          <w:rFonts w:eastAsia="Times New Roman" w:cs="Times New Roman"/>
          <w:szCs w:val="28"/>
          <w:lang w:eastAsia="ru-RU"/>
        </w:rPr>
        <w:t>«Об утверждении плана проведения экспертизы действующих муниципальных правовых актов на 2017 год» (с изменениями от 15.11.2017 № 59)</w:t>
      </w:r>
      <w:r w:rsidR="00C06A42">
        <w:rPr>
          <w:rFonts w:eastAsia="Times New Roman" w:cs="Times New Roman"/>
          <w:szCs w:val="28"/>
          <w:lang w:eastAsia="ru-RU"/>
        </w:rPr>
        <w:t>.</w:t>
      </w:r>
    </w:p>
    <w:p w:rsidR="00C06A42" w:rsidRPr="00E33DD0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>
        <w:rPr>
          <w:rFonts w:eastAsia="Times New Roman" w:cs="Times New Roman"/>
          <w:szCs w:val="28"/>
          <w:lang w:eastAsia="ru-RU"/>
        </w:rPr>
        <w:t xml:space="preserve">ки </w:t>
      </w:r>
      <w:r w:rsidRPr="00E33DD0">
        <w:rPr>
          <w:rFonts w:eastAsia="Times New Roman" w:cs="Times New Roman"/>
          <w:szCs w:val="28"/>
          <w:lang w:eastAsia="ru-RU"/>
        </w:rPr>
        <w:t>настоящего</w:t>
      </w:r>
      <w:r w:rsidRPr="00E33DD0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63434C" w:rsidRPr="0063434C">
        <w:t xml:space="preserve"> </w:t>
      </w:r>
      <w:r w:rsidR="0063434C" w:rsidRPr="0063434C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547FA9">
        <w:rPr>
          <w:rFonts w:eastAsia="Times New Roman" w:cs="Times New Roman"/>
          <w:szCs w:val="28"/>
          <w:lang w:eastAsia="ru-RU"/>
        </w:rPr>
        <w:t xml:space="preserve">. </w:t>
      </w:r>
    </w:p>
    <w:p w:rsidR="0063434C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>
        <w:rPr>
          <w:rFonts w:eastAsia="Times New Roman" w:cs="Times New Roman"/>
          <w:sz w:val="22"/>
          <w:szCs w:val="28"/>
          <w:lang w:eastAsia="ru-RU"/>
        </w:rPr>
        <w:t xml:space="preserve">                                    </w:t>
      </w:r>
      <w:r w:rsidRPr="0063434C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63434C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63434C" w:rsidRDefault="001A6B75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Исходя из представленных сведений в отчете об экспертизе, потенциальными адресатами правового регулирования являются муниципальные предприятия</w:t>
      </w:r>
      <w:r w:rsidR="00984251">
        <w:rPr>
          <w:rFonts w:eastAsia="Times New Roman" w:cs="Times New Roman"/>
          <w:szCs w:val="28"/>
          <w:lang w:eastAsia="ru-RU"/>
        </w:rPr>
        <w:t xml:space="preserve">, которые  в целях </w:t>
      </w:r>
      <w:r w:rsidR="00984251" w:rsidRPr="00984251">
        <w:rPr>
          <w:rFonts w:eastAsia="Times New Roman" w:cs="Times New Roman"/>
          <w:szCs w:val="28"/>
          <w:lang w:eastAsia="ru-RU"/>
        </w:rPr>
        <w:t>закреплении муниципального имущества</w:t>
      </w:r>
      <w:r w:rsidR="00984251">
        <w:rPr>
          <w:rFonts w:eastAsia="Times New Roman" w:cs="Times New Roman"/>
          <w:szCs w:val="28"/>
          <w:lang w:eastAsia="ru-RU"/>
        </w:rPr>
        <w:t xml:space="preserve"> на праве оперативного управления или хозяйственного ведения направляют в комитет по управлению имуществом обращение</w:t>
      </w:r>
      <w:r w:rsidR="0049250C">
        <w:rPr>
          <w:rFonts w:eastAsia="Times New Roman" w:cs="Times New Roman"/>
          <w:szCs w:val="28"/>
          <w:lang w:eastAsia="ru-RU"/>
        </w:rPr>
        <w:t xml:space="preserve"> и</w:t>
      </w:r>
      <w:r w:rsidR="00984251">
        <w:rPr>
          <w:rFonts w:eastAsia="Times New Roman" w:cs="Times New Roman"/>
          <w:szCs w:val="28"/>
          <w:lang w:eastAsia="ru-RU"/>
        </w:rPr>
        <w:t xml:space="preserve"> установленный </w:t>
      </w:r>
      <w:r w:rsidR="003802FC">
        <w:rPr>
          <w:rFonts w:eastAsia="Times New Roman" w:cs="Times New Roman"/>
          <w:szCs w:val="28"/>
          <w:lang w:eastAsia="ru-RU"/>
        </w:rPr>
        <w:t>муниципальным правовым актом</w:t>
      </w:r>
      <w:r w:rsidR="00984251">
        <w:rPr>
          <w:rFonts w:eastAsia="Times New Roman" w:cs="Times New Roman"/>
          <w:szCs w:val="28"/>
          <w:lang w:eastAsia="ru-RU"/>
        </w:rPr>
        <w:t xml:space="preserve"> пакет документов.</w:t>
      </w:r>
    </w:p>
    <w:p w:rsidR="00984251" w:rsidRDefault="0049250C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Правовым регулированием установлены обязанности для субъектов предпринимательской деятельности</w:t>
      </w:r>
      <w:r w:rsidR="00A65870">
        <w:rPr>
          <w:rFonts w:eastAsia="Times New Roman" w:cs="Times New Roman"/>
          <w:szCs w:val="28"/>
          <w:lang w:eastAsia="ru-RU"/>
        </w:rPr>
        <w:t xml:space="preserve"> при применении муниципального правового акта, в частности в целях закрепления муниципального имущества </w:t>
      </w:r>
      <w:r w:rsidR="00F259F5">
        <w:rPr>
          <w:rFonts w:eastAsia="Times New Roman" w:cs="Times New Roman"/>
          <w:szCs w:val="28"/>
          <w:lang w:eastAsia="ru-RU"/>
        </w:rPr>
        <w:br/>
      </w:r>
      <w:r w:rsidR="00A65870">
        <w:rPr>
          <w:rFonts w:eastAsia="Times New Roman" w:cs="Times New Roman"/>
          <w:szCs w:val="28"/>
          <w:lang w:eastAsia="ru-RU"/>
        </w:rPr>
        <w:t>на праве хозяйственного ведения</w:t>
      </w:r>
      <w:r>
        <w:rPr>
          <w:rFonts w:eastAsia="Times New Roman" w:cs="Times New Roman"/>
          <w:szCs w:val="28"/>
          <w:lang w:eastAsia="ru-RU"/>
        </w:rPr>
        <w:t xml:space="preserve">, которые влекут </w:t>
      </w:r>
      <w:r w:rsidR="00057369">
        <w:rPr>
          <w:rFonts w:eastAsia="Times New Roman" w:cs="Times New Roman"/>
          <w:szCs w:val="28"/>
          <w:lang w:eastAsia="ru-RU"/>
        </w:rPr>
        <w:t xml:space="preserve">информационные </w:t>
      </w:r>
      <w:r>
        <w:rPr>
          <w:rFonts w:eastAsia="Times New Roman" w:cs="Times New Roman"/>
          <w:szCs w:val="28"/>
          <w:lang w:eastAsia="ru-RU"/>
        </w:rPr>
        <w:t xml:space="preserve">расходы </w:t>
      </w:r>
      <w:r w:rsidR="00057369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в сумме 9 144,15 рублей</w:t>
      </w:r>
      <w:r w:rsidR="00A65870">
        <w:rPr>
          <w:rFonts w:eastAsia="Times New Roman" w:cs="Times New Roman"/>
          <w:szCs w:val="28"/>
          <w:lang w:eastAsia="ru-RU"/>
        </w:rPr>
        <w:t>.</w:t>
      </w:r>
    </w:p>
    <w:p w:rsidR="0049278A" w:rsidRPr="0049278A" w:rsidRDefault="0049278A" w:rsidP="0049278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278A">
        <w:rPr>
          <w:rFonts w:eastAsia="Times New Roman" w:cs="Times New Roman"/>
          <w:szCs w:val="28"/>
          <w:lang w:eastAsia="ru-RU"/>
        </w:rPr>
        <w:t xml:space="preserve">Расчет расходов </w:t>
      </w:r>
      <w:r>
        <w:rPr>
          <w:rFonts w:eastAsia="Times New Roman" w:cs="Times New Roman"/>
          <w:szCs w:val="28"/>
          <w:lang w:eastAsia="ru-RU"/>
        </w:rPr>
        <w:t>подготовлен</w:t>
      </w:r>
      <w:r w:rsidRPr="0049278A">
        <w:rPr>
          <w:rFonts w:eastAsia="Times New Roman" w:cs="Times New Roman"/>
          <w:szCs w:val="28"/>
          <w:lang w:eastAsia="ru-RU"/>
        </w:rPr>
        <w:t xml:space="preserve">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</w:t>
      </w:r>
      <w:r w:rsidRPr="0049278A">
        <w:rPr>
          <w:rFonts w:eastAsia="Times New Roman" w:cs="Times New Roman"/>
          <w:spacing w:val="-4"/>
          <w:szCs w:val="28"/>
          <w:lang w:eastAsia="ru-RU"/>
        </w:rPr>
        <w:t>развития Ханты-Мансийского автономного округа – Югры от 30.09.2013 № 155.</w:t>
      </w:r>
    </w:p>
    <w:p w:rsidR="00E33DD0" w:rsidRPr="00E33DD0" w:rsidRDefault="00E33DD0" w:rsidP="00E33DD0">
      <w:pPr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 </w:t>
      </w:r>
      <w:r w:rsidR="00547FA9">
        <w:rPr>
          <w:rFonts w:eastAsia="Times New Roman" w:cs="Times New Roman"/>
          <w:szCs w:val="28"/>
          <w:lang w:eastAsia="ru-RU"/>
        </w:rPr>
        <w:t xml:space="preserve">07.11.2017 </w:t>
      </w:r>
      <w:r w:rsidRPr="00E33DD0">
        <w:rPr>
          <w:rFonts w:eastAsia="Times New Roman" w:cs="Times New Roman"/>
          <w:szCs w:val="28"/>
          <w:lang w:eastAsia="ru-RU"/>
        </w:rPr>
        <w:t>года.</w:t>
      </w:r>
    </w:p>
    <w:p w:rsid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lastRenderedPageBreak/>
        <w:t xml:space="preserve">Ответственным за проведение экспертизы проведены публичные консультации в период с </w:t>
      </w:r>
      <w:r w:rsidR="000D767F">
        <w:rPr>
          <w:rFonts w:eastAsia="Times New Roman" w:cs="Times New Roman"/>
          <w:szCs w:val="28"/>
          <w:lang w:eastAsia="ru-RU"/>
        </w:rPr>
        <w:t>07.11.2017</w:t>
      </w:r>
      <w:r w:rsidRPr="00E33DD0">
        <w:rPr>
          <w:rFonts w:eastAsia="Times New Roman" w:cs="Times New Roman"/>
          <w:szCs w:val="28"/>
          <w:lang w:eastAsia="ru-RU"/>
        </w:rPr>
        <w:t xml:space="preserve"> по </w:t>
      </w:r>
      <w:r w:rsidR="000D767F">
        <w:rPr>
          <w:rFonts w:eastAsia="Times New Roman" w:cs="Times New Roman"/>
          <w:szCs w:val="28"/>
          <w:lang w:eastAsia="ru-RU"/>
        </w:rPr>
        <w:t>13.11.2017.</w:t>
      </w:r>
    </w:p>
    <w:p w:rsidR="00555BDE" w:rsidRPr="00555BDE" w:rsidRDefault="00555BDE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35 отзывов от их участников. </w:t>
      </w:r>
      <w:r w:rsidRPr="00555BDE">
        <w:rPr>
          <w:rFonts w:ascii="Times New Roman" w:hAnsi="Times New Roman" w:cs="Times New Roman"/>
          <w:sz w:val="28"/>
          <w:szCs w:val="28"/>
        </w:rPr>
        <w:t xml:space="preserve">В представленных отзывах отражено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5BDE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5BDE">
        <w:rPr>
          <w:rFonts w:ascii="Times New Roman" w:hAnsi="Times New Roman" w:cs="Times New Roman"/>
          <w:sz w:val="28"/>
          <w:szCs w:val="28"/>
        </w:rPr>
        <w:t xml:space="preserve"> (замечани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5BDE">
        <w:rPr>
          <w:rFonts w:ascii="Times New Roman" w:hAnsi="Times New Roman" w:cs="Times New Roman"/>
          <w:sz w:val="28"/>
          <w:szCs w:val="28"/>
        </w:rPr>
        <w:t>), из них:</w:t>
      </w:r>
      <w:r>
        <w:rPr>
          <w:rFonts w:ascii="Times New Roman" w:hAnsi="Times New Roman" w:cs="Times New Roman"/>
          <w:sz w:val="28"/>
          <w:szCs w:val="28"/>
        </w:rPr>
        <w:t xml:space="preserve"> 1 принято, 1 не принято.</w:t>
      </w:r>
    </w:p>
    <w:p w:rsidR="00555BDE" w:rsidRDefault="00555BDE" w:rsidP="00555BDE">
      <w:pPr>
        <w:pStyle w:val="afff9"/>
        <w:widowControl/>
        <w:autoSpaceDE/>
        <w:adjustRightInd/>
        <w:ind w:left="0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257">
        <w:rPr>
          <w:rFonts w:cs="Times New Roman"/>
          <w:szCs w:val="28"/>
        </w:rPr>
        <w:t xml:space="preserve">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СГМУП «</w:t>
      </w:r>
      <w:proofErr w:type="spellStart"/>
      <w:r w:rsidRPr="00C0256D">
        <w:rPr>
          <w:rFonts w:ascii="Times New Roman" w:hAnsi="Times New Roman" w:cs="Times New Roman"/>
        </w:rPr>
        <w:t>Горводоканал</w:t>
      </w:r>
      <w:proofErr w:type="spellEnd"/>
      <w:r w:rsidRPr="00C0256D">
        <w:rPr>
          <w:rFonts w:ascii="Times New Roman" w:hAnsi="Times New Roman" w:cs="Times New Roman"/>
        </w:rPr>
        <w:t xml:space="preserve">»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МАУ «Городской парк культуры и отдыха»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МБУ ДО «Детская школа искусств № 1»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МБУ СП СШ «Аверс»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МБУ </w:t>
      </w:r>
      <w:r>
        <w:rPr>
          <w:rFonts w:ascii="Times New Roman" w:hAnsi="Times New Roman" w:cs="Times New Roman"/>
        </w:rPr>
        <w:t>«</w:t>
      </w:r>
      <w:r w:rsidRPr="00C0256D">
        <w:rPr>
          <w:rFonts w:ascii="Times New Roman" w:hAnsi="Times New Roman" w:cs="Times New Roman"/>
        </w:rPr>
        <w:t>Централ</w:t>
      </w:r>
      <w:r>
        <w:rPr>
          <w:rFonts w:ascii="Times New Roman" w:hAnsi="Times New Roman" w:cs="Times New Roman"/>
        </w:rPr>
        <w:t xml:space="preserve">изованная </w:t>
      </w:r>
      <w:r w:rsidRPr="00C0256D">
        <w:rPr>
          <w:rFonts w:ascii="Times New Roman" w:hAnsi="Times New Roman" w:cs="Times New Roman"/>
        </w:rPr>
        <w:t xml:space="preserve">библиотечная система»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МАУ ДО СДЮСШОР «Олимп»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МАУ «ДО «Детская хореографическая школа № 1»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МАУ «Городской культурный центр»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МАУ «Городская дирекция культурных программ»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МАУ «Ледовый дворец</w:t>
      </w:r>
      <w:r>
        <w:rPr>
          <w:rFonts w:ascii="Times New Roman" w:hAnsi="Times New Roman" w:cs="Times New Roman"/>
        </w:rPr>
        <w:t xml:space="preserve"> спорта</w:t>
      </w:r>
      <w:r w:rsidRPr="00C0256D">
        <w:rPr>
          <w:rFonts w:ascii="Times New Roman" w:hAnsi="Times New Roman" w:cs="Times New Roman"/>
        </w:rPr>
        <w:t xml:space="preserve">»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МАУ «Многофункциональный культурно-досуговый центр»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 МАУ ПРСМ «Наше время»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МАУ «</w:t>
      </w:r>
      <w:proofErr w:type="spellStart"/>
      <w:r w:rsidRPr="00C0256D">
        <w:rPr>
          <w:rFonts w:ascii="Times New Roman" w:hAnsi="Times New Roman" w:cs="Times New Roman"/>
        </w:rPr>
        <w:t>Сургутская</w:t>
      </w:r>
      <w:proofErr w:type="spellEnd"/>
      <w:r w:rsidRPr="00C0256D">
        <w:rPr>
          <w:rFonts w:ascii="Times New Roman" w:hAnsi="Times New Roman" w:cs="Times New Roman"/>
        </w:rPr>
        <w:t xml:space="preserve"> филармония»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МАУ «</w:t>
      </w:r>
      <w:proofErr w:type="spellStart"/>
      <w:r w:rsidRPr="00C0256D">
        <w:rPr>
          <w:rFonts w:ascii="Times New Roman" w:hAnsi="Times New Roman" w:cs="Times New Roman"/>
        </w:rPr>
        <w:t>ТАиК</w:t>
      </w:r>
      <w:proofErr w:type="spellEnd"/>
      <w:r w:rsidRPr="00C0256D">
        <w:rPr>
          <w:rFonts w:ascii="Times New Roman" w:hAnsi="Times New Roman" w:cs="Times New Roman"/>
        </w:rPr>
        <w:t xml:space="preserve"> «Петрушка»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«Вариант»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ДО «Детская художественная школа № 1 им. Л.А. Горда»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МБУ ДО «Детская школа искусств № 2»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МБУ ДО «Детская школа искусств им. Г. </w:t>
      </w:r>
      <w:proofErr w:type="spellStart"/>
      <w:r w:rsidRPr="00C0256D">
        <w:rPr>
          <w:rFonts w:ascii="Times New Roman" w:hAnsi="Times New Roman" w:cs="Times New Roman"/>
        </w:rPr>
        <w:t>Кукуевицкого</w:t>
      </w:r>
      <w:proofErr w:type="spellEnd"/>
      <w:r w:rsidRPr="00C0256D">
        <w:rPr>
          <w:rFonts w:ascii="Times New Roman" w:hAnsi="Times New Roman" w:cs="Times New Roman"/>
        </w:rPr>
        <w:t xml:space="preserve">»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ДО ДЮСШ «Виктория»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ДО СДЮСШОР № 1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ДО СДЮСШОР «Ермак»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МБУ ДО СДЮСШОР «Кедр»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МБУ ИКЦ «Старый Сургут»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СП СШОР «</w:t>
      </w:r>
      <w:proofErr w:type="spellStart"/>
      <w:r w:rsidRPr="00C0256D">
        <w:rPr>
          <w:rFonts w:ascii="Times New Roman" w:hAnsi="Times New Roman" w:cs="Times New Roman"/>
        </w:rPr>
        <w:t>Югория</w:t>
      </w:r>
      <w:proofErr w:type="spellEnd"/>
      <w:r w:rsidRPr="00C0256D">
        <w:rPr>
          <w:rFonts w:ascii="Times New Roman" w:hAnsi="Times New Roman" w:cs="Times New Roman"/>
        </w:rPr>
        <w:t xml:space="preserve">» им. А.А. </w:t>
      </w:r>
      <w:proofErr w:type="spellStart"/>
      <w:r w:rsidRPr="00C0256D">
        <w:rPr>
          <w:rFonts w:ascii="Times New Roman" w:hAnsi="Times New Roman" w:cs="Times New Roman"/>
        </w:rPr>
        <w:t>Пилоян</w:t>
      </w:r>
      <w:proofErr w:type="spellEnd"/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«ЦСП «Сибирский легион»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ЦФП «Надежда»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МБУК «</w:t>
      </w:r>
      <w:proofErr w:type="spellStart"/>
      <w:r w:rsidRPr="00C0256D">
        <w:rPr>
          <w:rFonts w:ascii="Times New Roman" w:hAnsi="Times New Roman" w:cs="Times New Roman"/>
        </w:rPr>
        <w:t>Сургутский</w:t>
      </w:r>
      <w:proofErr w:type="spellEnd"/>
      <w:r w:rsidRPr="00C0256D">
        <w:rPr>
          <w:rFonts w:ascii="Times New Roman" w:hAnsi="Times New Roman" w:cs="Times New Roman"/>
        </w:rPr>
        <w:t xml:space="preserve"> краеведческий музей»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Департамент городского хозяйства </w:t>
      </w:r>
    </w:p>
    <w:p w:rsidR="00C6186C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Союз «</w:t>
      </w:r>
      <w:proofErr w:type="spellStart"/>
      <w:r w:rsidRPr="00C0256D">
        <w:rPr>
          <w:rFonts w:ascii="Times New Roman" w:hAnsi="Times New Roman" w:cs="Times New Roman"/>
        </w:rPr>
        <w:t>Сургутская</w:t>
      </w:r>
      <w:proofErr w:type="spellEnd"/>
      <w:r w:rsidRPr="00C0256D">
        <w:rPr>
          <w:rFonts w:ascii="Times New Roman" w:hAnsi="Times New Roman" w:cs="Times New Roman"/>
        </w:rPr>
        <w:t xml:space="preserve"> торгово-промышленная палата»</w:t>
      </w:r>
    </w:p>
    <w:p w:rsidR="00C6186C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ДО «Детская школа искусств № 3»</w:t>
      </w:r>
    </w:p>
    <w:p w:rsidR="00C6186C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«</w:t>
      </w:r>
      <w:proofErr w:type="spellStart"/>
      <w:r>
        <w:rPr>
          <w:rFonts w:ascii="Times New Roman" w:hAnsi="Times New Roman" w:cs="Times New Roman"/>
        </w:rPr>
        <w:t>Сургутский</w:t>
      </w:r>
      <w:proofErr w:type="spellEnd"/>
      <w:r>
        <w:rPr>
          <w:rFonts w:ascii="Times New Roman" w:hAnsi="Times New Roman" w:cs="Times New Roman"/>
        </w:rPr>
        <w:t xml:space="preserve"> краеведческий музей» </w:t>
      </w:r>
    </w:p>
    <w:p w:rsidR="00C6186C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«Дворец торжеств»</w:t>
      </w:r>
    </w:p>
    <w:p w:rsidR="00C6186C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«Единая дежурно-диспетчерская служба города Сургута»</w:t>
      </w:r>
    </w:p>
    <w:p w:rsidR="00C6186C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«Наш город»</w:t>
      </w:r>
    </w:p>
    <w:p w:rsidR="00C6186C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«Центр организационного обеспечения деятельности муниципальных организаций»</w:t>
      </w:r>
    </w:p>
    <w:p w:rsidR="00C6186C" w:rsidRDefault="00C6186C" w:rsidP="003E6C3C">
      <w:pPr>
        <w:pStyle w:val="afff9"/>
        <w:widowControl/>
        <w:autoSpaceDE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6C3C" w:rsidRDefault="003E6C3C" w:rsidP="003E6C3C">
      <w:pPr>
        <w:pStyle w:val="afff9"/>
        <w:widowControl/>
        <w:autoSpaceDE/>
        <w:adjustRightInd/>
        <w:ind w:left="0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5BDE">
        <w:rPr>
          <w:rFonts w:ascii="Times New Roman" w:hAnsi="Times New Roman" w:cs="Times New Roman"/>
          <w:sz w:val="28"/>
          <w:szCs w:val="28"/>
        </w:rPr>
        <w:t xml:space="preserve">Для выработки единого подхода по предложениям (замечаниям), которые были не приняты </w:t>
      </w:r>
      <w:r>
        <w:rPr>
          <w:rFonts w:ascii="Times New Roman" w:hAnsi="Times New Roman" w:cs="Times New Roman"/>
          <w:sz w:val="28"/>
          <w:szCs w:val="28"/>
        </w:rPr>
        <w:t>ответственным за проведение экспертизы</w:t>
      </w:r>
      <w:r w:rsidRPr="00555BDE">
        <w:rPr>
          <w:rFonts w:ascii="Times New Roman" w:hAnsi="Times New Roman" w:cs="Times New Roman"/>
          <w:sz w:val="28"/>
          <w:szCs w:val="28"/>
        </w:rPr>
        <w:t>, организована работа по урегулированию разногласий с участниками публичных консультаций в форме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55BDE">
        <w:rPr>
          <w:rFonts w:ascii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5BDE">
        <w:rPr>
          <w:rFonts w:ascii="Times New Roman" w:hAnsi="Times New Roman" w:cs="Times New Roman"/>
          <w:sz w:val="28"/>
          <w:szCs w:val="28"/>
        </w:rPr>
        <w:t>, на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55BDE">
        <w:rPr>
          <w:rFonts w:ascii="Times New Roman" w:hAnsi="Times New Roman" w:cs="Times New Roman"/>
          <w:sz w:val="28"/>
          <w:szCs w:val="28"/>
        </w:rPr>
        <w:t xml:space="preserve"> обсуждены предложения, поступившие по результатам проведения публичных консультаций</w:t>
      </w:r>
      <w:r w:rsidR="002949E7">
        <w:rPr>
          <w:rFonts w:ascii="Times New Roman" w:hAnsi="Times New Roman" w:cs="Times New Roman"/>
          <w:sz w:val="28"/>
          <w:szCs w:val="28"/>
        </w:rPr>
        <w:t>. Результаты рабочей встречи оформлены протоколом</w:t>
      </w:r>
      <w:r w:rsidRPr="00555BD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55BD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5BDE">
        <w:rPr>
          <w:rFonts w:ascii="Times New Roman" w:hAnsi="Times New Roman" w:cs="Times New Roman"/>
          <w:sz w:val="28"/>
          <w:szCs w:val="28"/>
        </w:rPr>
        <w:t xml:space="preserve">.2017 № 1. </w:t>
      </w:r>
      <w:r>
        <w:rPr>
          <w:rFonts w:cs="Times New Roman"/>
          <w:szCs w:val="28"/>
        </w:rPr>
        <w:t xml:space="preserve"> </w:t>
      </w: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975C2" w:rsidRDefault="00A975C2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lastRenderedPageBreak/>
        <w:t>По результатам рассмотрения представленных документов установлено:</w:t>
      </w: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1. Процедуры экспер</w:t>
      </w:r>
      <w:r w:rsidR="00AF797B">
        <w:rPr>
          <w:rFonts w:eastAsia="Times New Roman" w:cs="Times New Roman"/>
          <w:szCs w:val="28"/>
          <w:lang w:eastAsia="ru-RU"/>
        </w:rPr>
        <w:t>тизы, предусмотренные порядком соблюдены.</w:t>
      </w:r>
    </w:p>
    <w:p w:rsidR="00E33DD0" w:rsidRPr="00E33DD0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2. С</w:t>
      </w:r>
      <w:r w:rsidRPr="00E33DD0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E33DD0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Arial"/>
          <w:szCs w:val="28"/>
          <w:lang w:eastAsia="ru-RU"/>
        </w:rPr>
        <w:t>2.1. Форма отчета соответствует порядку.</w:t>
      </w:r>
    </w:p>
    <w:p w:rsidR="00E33DD0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>
        <w:rPr>
          <w:rFonts w:eastAsia="Times New Roman" w:cs="Arial"/>
          <w:spacing w:val="-6"/>
          <w:szCs w:val="28"/>
          <w:lang w:eastAsia="ru-RU"/>
        </w:rPr>
        <w:t xml:space="preserve">жащаяся в отчете об экспертизе </w:t>
      </w:r>
      <w:r w:rsidRPr="00AF797B">
        <w:rPr>
          <w:rFonts w:eastAsia="Times New Roman" w:cs="Arial"/>
          <w:szCs w:val="28"/>
          <w:u w:val="single"/>
          <w:lang w:eastAsia="ru-RU"/>
        </w:rPr>
        <w:t>недостаточна</w:t>
      </w:r>
      <w:r w:rsidR="00AF797B">
        <w:rPr>
          <w:rFonts w:eastAsia="Times New Roman" w:cs="Arial"/>
          <w:szCs w:val="28"/>
          <w:u w:val="single"/>
          <w:lang w:eastAsia="ru-RU"/>
        </w:rPr>
        <w:t>.</w:t>
      </w:r>
    </w:p>
    <w:p w:rsidR="00A3115B" w:rsidRDefault="00A3115B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2.2.1. В пункте 1.4 неверно указано количество принятых замечаний (предложений), поступивших от участников публичных консультаций. Согласно таблице </w:t>
      </w:r>
      <w:r w:rsidR="003802FC">
        <w:rPr>
          <w:rFonts w:eastAsia="Times New Roman" w:cs="Arial"/>
          <w:szCs w:val="28"/>
          <w:lang w:eastAsia="ru-RU"/>
        </w:rPr>
        <w:t>«Р</w:t>
      </w:r>
      <w:r>
        <w:rPr>
          <w:rFonts w:eastAsia="Times New Roman" w:cs="Arial"/>
          <w:szCs w:val="28"/>
          <w:lang w:eastAsia="ru-RU"/>
        </w:rPr>
        <w:t>езультат</w:t>
      </w:r>
      <w:r w:rsidR="003802FC">
        <w:rPr>
          <w:rFonts w:eastAsia="Times New Roman" w:cs="Arial"/>
          <w:szCs w:val="28"/>
          <w:lang w:eastAsia="ru-RU"/>
        </w:rPr>
        <w:t>ы</w:t>
      </w:r>
      <w:r>
        <w:rPr>
          <w:rFonts w:eastAsia="Times New Roman" w:cs="Arial"/>
          <w:szCs w:val="28"/>
          <w:lang w:eastAsia="ru-RU"/>
        </w:rPr>
        <w:t xml:space="preserve"> публичных консультаций</w:t>
      </w:r>
      <w:r w:rsidR="003802FC">
        <w:rPr>
          <w:rFonts w:eastAsia="Times New Roman" w:cs="Arial"/>
          <w:szCs w:val="28"/>
          <w:lang w:eastAsia="ru-RU"/>
        </w:rPr>
        <w:t>»</w:t>
      </w:r>
      <w:r>
        <w:rPr>
          <w:rFonts w:eastAsia="Times New Roman" w:cs="Arial"/>
          <w:szCs w:val="28"/>
          <w:lang w:eastAsia="ru-RU"/>
        </w:rPr>
        <w:t>, по итогам рассмотрения замечания МБУ «Централизованная библиотечная система» ответственным за проведение экспертизы принято решение  о внесении соответствующих изменений в действующий муниципальный правовой акт.</w:t>
      </w:r>
    </w:p>
    <w:p w:rsidR="00A3115B" w:rsidRDefault="00A3115B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2.2.2. </w:t>
      </w:r>
      <w:r w:rsidR="000B3E3F">
        <w:rPr>
          <w:rFonts w:eastAsia="Times New Roman" w:cs="Arial"/>
          <w:szCs w:val="28"/>
          <w:lang w:eastAsia="ru-RU"/>
        </w:rPr>
        <w:t>В пункте 2 отсутствует  описание проблемной ситуации, на решение которой направлено действующее правовое регулирование. Регламентирование порядка закрепления имущества не является проблемой.</w:t>
      </w:r>
    </w:p>
    <w:p w:rsidR="000B3E3F" w:rsidRDefault="000B3E3F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2.2.3. В пункте 3 отсутствует информация об опыте решения аналогичной проблемы в муниципальных образованиях Ханты-Мансийского автономного округа – Югры, других муниципальных образованиях в соответствующей сфере, а также нарушена нумерация пункта.</w:t>
      </w:r>
    </w:p>
    <w:p w:rsidR="000B3E3F" w:rsidRDefault="000B3E3F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2.2.4. В пункте 2.4 указываются источники данных, </w:t>
      </w:r>
      <w:r w:rsidR="001A3ED4">
        <w:rPr>
          <w:rFonts w:eastAsia="Times New Roman" w:cs="Arial"/>
          <w:szCs w:val="28"/>
          <w:lang w:eastAsia="ru-RU"/>
        </w:rPr>
        <w:t xml:space="preserve">которыми воспользовался ответственный специалист </w:t>
      </w:r>
      <w:r>
        <w:rPr>
          <w:rFonts w:eastAsia="Times New Roman" w:cs="Arial"/>
          <w:szCs w:val="28"/>
          <w:lang w:eastAsia="ru-RU"/>
        </w:rPr>
        <w:t>при заполнении пункта 2.3 отчета.</w:t>
      </w:r>
    </w:p>
    <w:p w:rsidR="00E33DD0" w:rsidRDefault="001A3ED4" w:rsidP="00ED6EB5">
      <w:pPr>
        <w:tabs>
          <w:tab w:val="left" w:pos="-538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2.2.5. В пункте 3.</w:t>
      </w:r>
      <w:r w:rsidR="00ED6EB5">
        <w:rPr>
          <w:rFonts w:eastAsia="Times New Roman" w:cs="Times New Roman"/>
          <w:szCs w:val="28"/>
          <w:lang w:eastAsia="ru-RU"/>
        </w:rPr>
        <w:t>2 предлагаем указать дату утверждения действующего муниципального правового акта.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ED6EB5" w:rsidRDefault="00ED6EB5" w:rsidP="00ED6EB5">
      <w:pPr>
        <w:tabs>
          <w:tab w:val="left" w:pos="-538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2.2.6. Пункт 3.5 предлагаем изложить в следующей редакции «Количество принятых муниципальных правовых актов о закреплении </w:t>
      </w:r>
      <w:r w:rsidR="00876309">
        <w:rPr>
          <w:rFonts w:eastAsia="Times New Roman" w:cs="Times New Roman"/>
          <w:szCs w:val="28"/>
          <w:lang w:eastAsia="ru-RU"/>
        </w:rPr>
        <w:t>муниципального имущества на праве хозяйственного ведения, ед.».</w:t>
      </w:r>
      <w:r w:rsidR="009C7BA7">
        <w:rPr>
          <w:rFonts w:eastAsia="Times New Roman" w:cs="Times New Roman"/>
          <w:szCs w:val="28"/>
          <w:lang w:eastAsia="ru-RU"/>
        </w:rPr>
        <w:t xml:space="preserve"> Соответственно скорректировать значения показателя в пункте 3.6.</w:t>
      </w:r>
    </w:p>
    <w:p w:rsidR="00876309" w:rsidRDefault="00876309" w:rsidP="00ED6EB5">
      <w:pPr>
        <w:tabs>
          <w:tab w:val="left" w:pos="-538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2.2.7. В пункте 3.6 исключить значения показателя за 2016 год, </w:t>
      </w:r>
      <w:r w:rsidR="009C7BA7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 связи </w:t>
      </w:r>
      <w:r>
        <w:rPr>
          <w:rFonts w:eastAsia="Times New Roman" w:cs="Times New Roman"/>
          <w:szCs w:val="28"/>
          <w:lang w:eastAsia="ru-RU"/>
        </w:rPr>
        <w:br/>
        <w:t>с тем, что действующий муниципальный правовой акт принят в 2017 году.</w:t>
      </w:r>
    </w:p>
    <w:p w:rsidR="00ED6EB5" w:rsidRDefault="00B41C1F" w:rsidP="00ED6EB5">
      <w:pPr>
        <w:tabs>
          <w:tab w:val="left" w:pos="-538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</w:t>
      </w:r>
      <w:r w:rsidR="003E2DF5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. В пункте 5.1 перечислен не </w:t>
      </w:r>
      <w:r w:rsidR="002949E7">
        <w:rPr>
          <w:rFonts w:eastAsia="Times New Roman" w:cs="Times New Roman"/>
          <w:szCs w:val="28"/>
          <w:lang w:eastAsia="ru-RU"/>
        </w:rPr>
        <w:t xml:space="preserve">полный </w:t>
      </w:r>
      <w:r>
        <w:rPr>
          <w:rFonts w:eastAsia="Times New Roman" w:cs="Times New Roman"/>
          <w:szCs w:val="28"/>
          <w:lang w:eastAsia="ru-RU"/>
        </w:rPr>
        <w:t>перечень функции, выполняемы</w:t>
      </w:r>
      <w:r w:rsidR="006E3A1A">
        <w:rPr>
          <w:rFonts w:eastAsia="Times New Roman" w:cs="Times New Roman"/>
          <w:szCs w:val="28"/>
          <w:lang w:eastAsia="ru-RU"/>
        </w:rPr>
        <w:t>х</w:t>
      </w:r>
      <w:r>
        <w:rPr>
          <w:rFonts w:eastAsia="Times New Roman" w:cs="Times New Roman"/>
          <w:szCs w:val="28"/>
          <w:lang w:eastAsia="ru-RU"/>
        </w:rPr>
        <w:t xml:space="preserve"> комитетом по управлению имуществом в рамках действующего правового регулирования.</w:t>
      </w:r>
    </w:p>
    <w:p w:rsidR="006E3A1A" w:rsidRDefault="006E3A1A" w:rsidP="00ED6EB5">
      <w:pPr>
        <w:tabs>
          <w:tab w:val="left" w:pos="-538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</w:t>
      </w:r>
      <w:r w:rsidR="00E37B34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. В пункте 6.2. указан не </w:t>
      </w:r>
      <w:r w:rsidR="002949E7">
        <w:rPr>
          <w:rFonts w:eastAsia="Times New Roman" w:cs="Times New Roman"/>
          <w:szCs w:val="28"/>
          <w:lang w:eastAsia="ru-RU"/>
        </w:rPr>
        <w:t>полный</w:t>
      </w:r>
      <w:r>
        <w:rPr>
          <w:rFonts w:eastAsia="Times New Roman" w:cs="Times New Roman"/>
          <w:szCs w:val="28"/>
          <w:lang w:eastAsia="ru-RU"/>
        </w:rPr>
        <w:t xml:space="preserve"> перечень обязанностей, запретов </w:t>
      </w:r>
      <w:r>
        <w:rPr>
          <w:rFonts w:eastAsia="Times New Roman" w:cs="Times New Roman"/>
          <w:szCs w:val="28"/>
          <w:lang w:eastAsia="ru-RU"/>
        </w:rPr>
        <w:br/>
        <w:t>и ограничений, установленных правовым регулированием. Также не указаны пункты соответствующих положений правового акта.</w:t>
      </w:r>
    </w:p>
    <w:p w:rsidR="00C86F86" w:rsidRDefault="00C86F86" w:rsidP="00ED6EB5">
      <w:pPr>
        <w:tabs>
          <w:tab w:val="left" w:pos="-538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2.4. </w:t>
      </w:r>
      <w:r w:rsidR="005F504E">
        <w:rPr>
          <w:rFonts w:eastAsia="Times New Roman" w:cs="Times New Roman"/>
          <w:szCs w:val="28"/>
          <w:lang w:eastAsia="ru-RU"/>
        </w:rPr>
        <w:t>В</w:t>
      </w:r>
      <w:r w:rsidR="0049278A">
        <w:rPr>
          <w:rFonts w:eastAsia="Times New Roman" w:cs="Times New Roman"/>
          <w:szCs w:val="28"/>
          <w:lang w:eastAsia="ru-RU"/>
        </w:rPr>
        <w:t xml:space="preserve"> расчете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9278A" w:rsidRPr="0049278A">
        <w:rPr>
          <w:rFonts w:eastAsia="Times New Roman" w:cs="Times New Roman"/>
          <w:szCs w:val="28"/>
          <w:lang w:eastAsia="ru-RU"/>
        </w:rPr>
        <w:t>расход</w:t>
      </w:r>
      <w:r w:rsidR="005F504E">
        <w:rPr>
          <w:rFonts w:eastAsia="Times New Roman" w:cs="Times New Roman"/>
          <w:szCs w:val="28"/>
          <w:lang w:eastAsia="ru-RU"/>
        </w:rPr>
        <w:t xml:space="preserve">ов субъектов предпринимательской </w:t>
      </w:r>
      <w:r w:rsidR="00C8137B">
        <w:rPr>
          <w:rFonts w:eastAsia="Times New Roman" w:cs="Times New Roman"/>
          <w:szCs w:val="28"/>
          <w:lang w:eastAsia="ru-RU"/>
        </w:rPr>
        <w:br/>
      </w:r>
      <w:r w:rsidR="005F504E">
        <w:rPr>
          <w:rFonts w:eastAsia="Times New Roman" w:cs="Times New Roman"/>
          <w:szCs w:val="28"/>
          <w:lang w:eastAsia="ru-RU"/>
        </w:rPr>
        <w:t xml:space="preserve">и инвестиционной деятельности, подготовленном ответственным за проведение экспертизы указана информация об обязанности потенциальных адресатов правового регулирования </w:t>
      </w:r>
      <w:r w:rsidR="0049278A" w:rsidRPr="0049278A">
        <w:rPr>
          <w:rFonts w:eastAsia="Times New Roman" w:cs="Times New Roman"/>
          <w:szCs w:val="28"/>
          <w:lang w:eastAsia="ru-RU"/>
        </w:rPr>
        <w:t xml:space="preserve"> по оплате государственной пошлины при закреплении имущества на праве хозяйственного ведения</w:t>
      </w:r>
      <w:r w:rsidR="005F504E">
        <w:rPr>
          <w:rFonts w:eastAsia="Times New Roman" w:cs="Times New Roman"/>
          <w:szCs w:val="28"/>
          <w:lang w:eastAsia="ru-RU"/>
        </w:rPr>
        <w:t>.</w:t>
      </w:r>
    </w:p>
    <w:p w:rsidR="005F504E" w:rsidRDefault="005F504E" w:rsidP="00ED6EB5">
      <w:pPr>
        <w:tabs>
          <w:tab w:val="left" w:pos="-538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связи с тем, что </w:t>
      </w:r>
      <w:r w:rsidR="003812E4" w:rsidRPr="003812E4">
        <w:rPr>
          <w:rFonts w:eastAsia="Times New Roman" w:cs="Times New Roman"/>
          <w:szCs w:val="28"/>
          <w:lang w:eastAsia="ru-RU"/>
        </w:rPr>
        <w:t>положени</w:t>
      </w:r>
      <w:r w:rsidR="003812E4">
        <w:rPr>
          <w:rFonts w:eastAsia="Times New Roman" w:cs="Times New Roman"/>
          <w:szCs w:val="28"/>
          <w:lang w:eastAsia="ru-RU"/>
        </w:rPr>
        <w:t>ем</w:t>
      </w:r>
      <w:r w:rsidR="003812E4" w:rsidRPr="003812E4">
        <w:rPr>
          <w:rFonts w:eastAsia="Times New Roman" w:cs="Times New Roman"/>
          <w:szCs w:val="28"/>
          <w:lang w:eastAsia="ru-RU"/>
        </w:rPr>
        <w:t xml:space="preserve"> о порядке и сроках подачи документов для закрепления муниципального имущества на праве оперативного управления или хозяйственного ведения за муниципальными организациями</w:t>
      </w:r>
      <w:r w:rsidR="003812E4">
        <w:rPr>
          <w:rFonts w:eastAsia="Times New Roman" w:cs="Times New Roman"/>
          <w:szCs w:val="28"/>
          <w:lang w:eastAsia="ru-RU"/>
        </w:rPr>
        <w:t xml:space="preserve"> </w:t>
      </w:r>
      <w:r w:rsidR="003812E4">
        <w:rPr>
          <w:rFonts w:eastAsia="Times New Roman" w:cs="Times New Roman"/>
          <w:szCs w:val="28"/>
          <w:lang w:eastAsia="ru-RU"/>
        </w:rPr>
        <w:br/>
        <w:t>не установлена обязанность по уплате государственной пошлины, информацию из расчета расходов необходимо исключить.</w:t>
      </w:r>
    </w:p>
    <w:p w:rsidR="00E35545" w:rsidRDefault="00E35545" w:rsidP="00ED6EB5">
      <w:pPr>
        <w:tabs>
          <w:tab w:val="left" w:pos="-538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93329" w:rsidRDefault="00E33DD0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lastRenderedPageBreak/>
        <w:t>3. В проекте выявлены положения, необоснованно затрудняющие ведение предпринимательской и инвестиционной деятельности</w:t>
      </w:r>
      <w:r w:rsidR="00293329">
        <w:rPr>
          <w:rFonts w:eastAsia="Times New Roman" w:cs="Times New Roman"/>
          <w:szCs w:val="28"/>
          <w:lang w:eastAsia="ru-RU"/>
        </w:rPr>
        <w:t>.</w:t>
      </w:r>
    </w:p>
    <w:p w:rsidR="00E33DD0" w:rsidRDefault="00B34C8E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3.1. </w:t>
      </w:r>
      <w:r w:rsidR="00E33DD0" w:rsidRPr="00E33DD0">
        <w:rPr>
          <w:rFonts w:eastAsia="Times New Roman" w:cs="Times New Roman"/>
          <w:szCs w:val="28"/>
          <w:lang w:eastAsia="ru-RU"/>
        </w:rPr>
        <w:t xml:space="preserve"> </w:t>
      </w:r>
      <w:r w:rsidR="00715913">
        <w:rPr>
          <w:rFonts w:eastAsia="Times New Roman" w:cs="Times New Roman"/>
          <w:szCs w:val="28"/>
          <w:lang w:eastAsia="ru-RU"/>
        </w:rPr>
        <w:t>Пунктом 7 Положения установлено, что в целях закрепления муниципального имущества муниципальная организация направляет в комитет:</w:t>
      </w:r>
    </w:p>
    <w:p w:rsidR="00715913" w:rsidRDefault="00715913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обращение о закреплении муниципального имущества, </w:t>
      </w:r>
      <w:r w:rsidRPr="00685DC7">
        <w:rPr>
          <w:rFonts w:eastAsia="Times New Roman" w:cs="Times New Roman"/>
          <w:i/>
          <w:szCs w:val="28"/>
          <w:lang w:eastAsia="ru-RU"/>
        </w:rPr>
        <w:t xml:space="preserve">при этом форма обращения не предусмотрена, что является </w:t>
      </w:r>
      <w:r>
        <w:rPr>
          <w:rFonts w:eastAsia="Times New Roman" w:cs="Times New Roman"/>
          <w:i/>
          <w:szCs w:val="28"/>
          <w:lang w:eastAsia="ru-RU"/>
        </w:rPr>
        <w:t>необоснованным ограничением для предпринимательской и инвестиционной деятельности</w:t>
      </w:r>
      <w:r>
        <w:rPr>
          <w:rFonts w:eastAsia="Times New Roman" w:cs="Times New Roman"/>
          <w:szCs w:val="28"/>
          <w:lang w:eastAsia="ru-RU"/>
        </w:rPr>
        <w:t>;</w:t>
      </w:r>
    </w:p>
    <w:p w:rsidR="00715913" w:rsidRDefault="00715913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техническую документацию (паспорта, справки, выписки, акты) </w:t>
      </w:r>
      <w:r>
        <w:rPr>
          <w:rFonts w:eastAsia="Times New Roman" w:cs="Times New Roman"/>
          <w:szCs w:val="28"/>
          <w:lang w:eastAsia="ru-RU"/>
        </w:rPr>
        <w:br/>
        <w:t xml:space="preserve">на объекты недвижимости, сооружения, передаточные устройства инженерной инфраструктуры, транспортные средства. </w:t>
      </w:r>
    </w:p>
    <w:p w:rsidR="00715913" w:rsidRDefault="00715913" w:rsidP="00C8137B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целях закрепления муниципального имущества за муниципальными организациями </w:t>
      </w:r>
      <w:r w:rsidR="00D85A5F">
        <w:rPr>
          <w:rFonts w:eastAsia="Times New Roman" w:cs="Times New Roman"/>
          <w:szCs w:val="28"/>
          <w:lang w:eastAsia="ru-RU"/>
        </w:rPr>
        <w:t>необходимо</w:t>
      </w:r>
      <w:r w:rsidR="004556A1">
        <w:rPr>
          <w:rFonts w:eastAsia="Times New Roman" w:cs="Times New Roman"/>
          <w:szCs w:val="28"/>
          <w:lang w:eastAsia="ru-RU"/>
        </w:rPr>
        <w:t xml:space="preserve"> установ</w:t>
      </w:r>
      <w:r w:rsidR="00D85A5F">
        <w:rPr>
          <w:rFonts w:eastAsia="Times New Roman" w:cs="Times New Roman"/>
          <w:szCs w:val="28"/>
          <w:lang w:eastAsia="ru-RU"/>
        </w:rPr>
        <w:t>ить</w:t>
      </w:r>
      <w:r w:rsidR="004556A1">
        <w:rPr>
          <w:rFonts w:eastAsia="Times New Roman" w:cs="Times New Roman"/>
          <w:szCs w:val="28"/>
          <w:lang w:eastAsia="ru-RU"/>
        </w:rPr>
        <w:t xml:space="preserve"> исчерпывающий перечень документов</w:t>
      </w:r>
      <w:r w:rsidR="00D85A5F">
        <w:rPr>
          <w:rFonts w:eastAsia="Times New Roman" w:cs="Times New Roman"/>
          <w:szCs w:val="28"/>
          <w:lang w:eastAsia="ru-RU"/>
        </w:rPr>
        <w:t>, предоставляемый муниципальными организациями</w:t>
      </w:r>
      <w:r w:rsidR="004556A1">
        <w:rPr>
          <w:rFonts w:eastAsia="Times New Roman" w:cs="Times New Roman"/>
          <w:szCs w:val="28"/>
          <w:lang w:eastAsia="ru-RU"/>
        </w:rPr>
        <w:t>.</w:t>
      </w:r>
      <w:r w:rsidR="00D85A5F">
        <w:rPr>
          <w:rFonts w:eastAsia="Times New Roman" w:cs="Times New Roman"/>
          <w:szCs w:val="28"/>
          <w:lang w:eastAsia="ru-RU"/>
        </w:rPr>
        <w:t xml:space="preserve"> </w:t>
      </w:r>
      <w:r w:rsidR="004556A1">
        <w:rPr>
          <w:rFonts w:eastAsia="Times New Roman" w:cs="Times New Roman"/>
          <w:i/>
          <w:szCs w:val="28"/>
          <w:lang w:eastAsia="ru-RU"/>
        </w:rPr>
        <w:t>Непрозрачность административных процедур является ограничением и избыточным запретом</w:t>
      </w:r>
      <w:r w:rsidR="00351347">
        <w:rPr>
          <w:rFonts w:eastAsia="Times New Roman" w:cs="Times New Roman"/>
          <w:i/>
          <w:szCs w:val="28"/>
          <w:lang w:eastAsia="ru-RU"/>
        </w:rPr>
        <w:t>,</w:t>
      </w:r>
      <w:r w:rsidR="004556A1">
        <w:rPr>
          <w:rFonts w:eastAsia="Times New Roman" w:cs="Times New Roman"/>
          <w:i/>
          <w:szCs w:val="28"/>
          <w:lang w:eastAsia="ru-RU"/>
        </w:rPr>
        <w:t xml:space="preserve"> </w:t>
      </w:r>
      <w:r w:rsidR="00D85A5F">
        <w:rPr>
          <w:rFonts w:eastAsia="Times New Roman" w:cs="Times New Roman"/>
          <w:i/>
          <w:szCs w:val="28"/>
          <w:lang w:eastAsia="ru-RU"/>
        </w:rPr>
        <w:br/>
      </w:r>
      <w:r w:rsidR="004556A1">
        <w:rPr>
          <w:rFonts w:eastAsia="Times New Roman" w:cs="Times New Roman"/>
          <w:i/>
          <w:szCs w:val="28"/>
          <w:lang w:eastAsia="ru-RU"/>
        </w:rPr>
        <w:t>а также</w:t>
      </w:r>
      <w:r>
        <w:rPr>
          <w:rFonts w:eastAsia="Times New Roman" w:cs="Times New Roman"/>
          <w:i/>
          <w:szCs w:val="28"/>
          <w:lang w:eastAsia="ru-RU"/>
        </w:rPr>
        <w:t xml:space="preserve"> может повлечь  дополнительны</w:t>
      </w:r>
      <w:r w:rsidR="004556A1">
        <w:rPr>
          <w:rFonts w:eastAsia="Times New Roman" w:cs="Times New Roman"/>
          <w:i/>
          <w:szCs w:val="28"/>
          <w:lang w:eastAsia="ru-RU"/>
        </w:rPr>
        <w:t>е</w:t>
      </w:r>
      <w:r>
        <w:rPr>
          <w:rFonts w:eastAsia="Times New Roman" w:cs="Times New Roman"/>
          <w:i/>
          <w:szCs w:val="28"/>
          <w:lang w:eastAsia="ru-RU"/>
        </w:rPr>
        <w:t xml:space="preserve"> необоснованны</w:t>
      </w:r>
      <w:r w:rsidR="004556A1">
        <w:rPr>
          <w:rFonts w:eastAsia="Times New Roman" w:cs="Times New Roman"/>
          <w:i/>
          <w:szCs w:val="28"/>
          <w:lang w:eastAsia="ru-RU"/>
        </w:rPr>
        <w:t>е</w:t>
      </w:r>
      <w:r>
        <w:rPr>
          <w:rFonts w:eastAsia="Times New Roman" w:cs="Times New Roman"/>
          <w:i/>
          <w:szCs w:val="28"/>
          <w:lang w:eastAsia="ru-RU"/>
        </w:rPr>
        <w:t xml:space="preserve"> расход</w:t>
      </w:r>
      <w:r w:rsidR="004556A1">
        <w:rPr>
          <w:rFonts w:eastAsia="Times New Roman" w:cs="Times New Roman"/>
          <w:i/>
          <w:szCs w:val="28"/>
          <w:lang w:eastAsia="ru-RU"/>
        </w:rPr>
        <w:t>ы</w:t>
      </w:r>
      <w:r>
        <w:rPr>
          <w:rFonts w:eastAsia="Times New Roman" w:cs="Times New Roman"/>
          <w:i/>
          <w:szCs w:val="28"/>
          <w:lang w:eastAsia="ru-RU"/>
        </w:rPr>
        <w:t xml:space="preserve"> для субъектов предпринимательской деятельности</w:t>
      </w:r>
      <w:r w:rsidR="004556A1">
        <w:rPr>
          <w:rFonts w:eastAsia="Times New Roman" w:cs="Times New Roman"/>
          <w:i/>
          <w:szCs w:val="28"/>
          <w:lang w:eastAsia="ru-RU"/>
        </w:rPr>
        <w:t>.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3E091F" w:rsidRDefault="003E091F" w:rsidP="00C8137B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E091F">
        <w:rPr>
          <w:rFonts w:eastAsia="Times New Roman" w:cs="Times New Roman"/>
          <w:szCs w:val="28"/>
          <w:lang w:eastAsia="ru-RU"/>
        </w:rPr>
        <w:t xml:space="preserve">3.2. </w:t>
      </w:r>
      <w:r w:rsidR="00D85A5F">
        <w:rPr>
          <w:rFonts w:eastAsia="Times New Roman" w:cs="Times New Roman"/>
          <w:szCs w:val="28"/>
          <w:lang w:eastAsia="ru-RU"/>
        </w:rPr>
        <w:t xml:space="preserve"> </w:t>
      </w:r>
      <w:r w:rsidR="00351347">
        <w:rPr>
          <w:rFonts w:eastAsia="Times New Roman" w:cs="Times New Roman"/>
          <w:szCs w:val="28"/>
          <w:lang w:eastAsia="ru-RU"/>
        </w:rPr>
        <w:t xml:space="preserve">В пункте 8 положения указано, что комитет готовит проект постановления о закреплении муниципального имущества, и направляет его </w:t>
      </w:r>
      <w:r w:rsidR="00A975C2">
        <w:rPr>
          <w:rFonts w:eastAsia="Times New Roman" w:cs="Times New Roman"/>
          <w:szCs w:val="28"/>
          <w:lang w:eastAsia="ru-RU"/>
        </w:rPr>
        <w:br/>
      </w:r>
      <w:r w:rsidR="00351347">
        <w:rPr>
          <w:rFonts w:eastAsia="Times New Roman" w:cs="Times New Roman"/>
          <w:szCs w:val="28"/>
          <w:lang w:eastAsia="ru-RU"/>
        </w:rPr>
        <w:t xml:space="preserve">на согласование. При этом дальнейшие административные процедуры, в том числе сроки подготовки проекта постановления, подготовка ответа в адрес муниципальных организаций о принятии положительного решения  не указаны, </w:t>
      </w:r>
      <w:r w:rsidR="00351347">
        <w:rPr>
          <w:rFonts w:eastAsia="Times New Roman" w:cs="Times New Roman"/>
          <w:i/>
          <w:szCs w:val="28"/>
          <w:lang w:eastAsia="ru-RU"/>
        </w:rPr>
        <w:t>что является ограничением для субъектов предпринимательской деятельности.</w:t>
      </w:r>
    </w:p>
    <w:p w:rsidR="00351347" w:rsidRDefault="00351347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51347">
        <w:rPr>
          <w:rFonts w:eastAsia="Times New Roman" w:cs="Times New Roman"/>
          <w:szCs w:val="28"/>
          <w:lang w:eastAsia="ru-RU"/>
        </w:rPr>
        <w:t>3.3.</w:t>
      </w:r>
      <w:r>
        <w:rPr>
          <w:rFonts w:eastAsia="Times New Roman" w:cs="Times New Roman"/>
          <w:szCs w:val="28"/>
          <w:lang w:eastAsia="ru-RU"/>
        </w:rPr>
        <w:t xml:space="preserve"> В пункте 9 положения </w:t>
      </w:r>
      <w:r w:rsidR="00031C37">
        <w:rPr>
          <w:rFonts w:eastAsia="Times New Roman" w:cs="Times New Roman"/>
          <w:szCs w:val="28"/>
          <w:lang w:eastAsia="ru-RU"/>
        </w:rPr>
        <w:t>отсутствует информация о</w:t>
      </w:r>
      <w:r>
        <w:rPr>
          <w:rFonts w:eastAsia="Times New Roman" w:cs="Times New Roman"/>
          <w:szCs w:val="28"/>
          <w:lang w:eastAsia="ru-RU"/>
        </w:rPr>
        <w:t xml:space="preserve"> срок</w:t>
      </w:r>
      <w:r w:rsidR="00031C37">
        <w:rPr>
          <w:rFonts w:eastAsia="Times New Roman" w:cs="Times New Roman"/>
          <w:szCs w:val="28"/>
          <w:lang w:eastAsia="ru-RU"/>
        </w:rPr>
        <w:t>ах подготовки</w:t>
      </w:r>
      <w:r>
        <w:rPr>
          <w:rFonts w:eastAsia="Times New Roman" w:cs="Times New Roman"/>
          <w:szCs w:val="28"/>
          <w:lang w:eastAsia="ru-RU"/>
        </w:rPr>
        <w:t xml:space="preserve"> комитет</w:t>
      </w:r>
      <w:r w:rsidR="00031C37">
        <w:rPr>
          <w:rFonts w:eastAsia="Times New Roman" w:cs="Times New Roman"/>
          <w:szCs w:val="28"/>
          <w:lang w:eastAsia="ru-RU"/>
        </w:rPr>
        <w:t>ом</w:t>
      </w:r>
      <w:r>
        <w:rPr>
          <w:rFonts w:eastAsia="Times New Roman" w:cs="Times New Roman"/>
          <w:szCs w:val="28"/>
          <w:lang w:eastAsia="ru-RU"/>
        </w:rPr>
        <w:t xml:space="preserve"> мотивированн</w:t>
      </w:r>
      <w:r w:rsidR="00031C37">
        <w:rPr>
          <w:rFonts w:eastAsia="Times New Roman" w:cs="Times New Roman"/>
          <w:szCs w:val="28"/>
          <w:lang w:eastAsia="ru-RU"/>
        </w:rPr>
        <w:t>ого</w:t>
      </w:r>
      <w:r>
        <w:rPr>
          <w:rFonts w:eastAsia="Times New Roman" w:cs="Times New Roman"/>
          <w:szCs w:val="28"/>
          <w:lang w:eastAsia="ru-RU"/>
        </w:rPr>
        <w:t xml:space="preserve"> письменн</w:t>
      </w:r>
      <w:r w:rsidR="00031C37">
        <w:rPr>
          <w:rFonts w:eastAsia="Times New Roman" w:cs="Times New Roman"/>
          <w:szCs w:val="28"/>
          <w:lang w:eastAsia="ru-RU"/>
        </w:rPr>
        <w:t>ого</w:t>
      </w:r>
      <w:r>
        <w:rPr>
          <w:rFonts w:eastAsia="Times New Roman" w:cs="Times New Roman"/>
          <w:szCs w:val="28"/>
          <w:lang w:eastAsia="ru-RU"/>
        </w:rPr>
        <w:t xml:space="preserve"> отказ</w:t>
      </w:r>
      <w:r w:rsidR="00031C37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заявителю, а также отсутствует информация о возможности повторного обращения заявител</w:t>
      </w:r>
      <w:r w:rsidR="00031C37">
        <w:rPr>
          <w:rFonts w:eastAsia="Times New Roman" w:cs="Times New Roman"/>
          <w:szCs w:val="28"/>
          <w:lang w:eastAsia="ru-RU"/>
        </w:rPr>
        <w:t>ем</w:t>
      </w:r>
      <w:r>
        <w:rPr>
          <w:rFonts w:eastAsia="Times New Roman" w:cs="Times New Roman"/>
          <w:szCs w:val="28"/>
          <w:lang w:eastAsia="ru-RU"/>
        </w:rPr>
        <w:t xml:space="preserve"> после устранения замечаний к полноте представленных сведений и документов, </w:t>
      </w:r>
      <w:r>
        <w:rPr>
          <w:rFonts w:eastAsia="Times New Roman" w:cs="Times New Roman"/>
          <w:i/>
          <w:szCs w:val="28"/>
          <w:lang w:eastAsia="ru-RU"/>
        </w:rPr>
        <w:t xml:space="preserve">что является ограничением </w:t>
      </w:r>
      <w:r w:rsidRPr="00351347">
        <w:rPr>
          <w:rFonts w:eastAsia="Times New Roman" w:cs="Times New Roman"/>
          <w:i/>
          <w:szCs w:val="28"/>
          <w:lang w:eastAsia="ru-RU"/>
        </w:rPr>
        <w:t>для субъектов предпринимательской деятельности.</w:t>
      </w:r>
    </w:p>
    <w:p w:rsidR="00026400" w:rsidRDefault="00026400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3.4. В разделе 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предлагаем указать ссылку на пункт, в котором указан перечень документов, предоставляемый заявителем в целях закрепления муниципального имущества.</w:t>
      </w:r>
    </w:p>
    <w:p w:rsidR="00D74A70" w:rsidRDefault="00D74A70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3.5. В пункте 4 </w:t>
      </w:r>
      <w:r w:rsidRPr="00D74A70">
        <w:rPr>
          <w:rFonts w:eastAsia="Times New Roman" w:cs="Times New Roman"/>
          <w:szCs w:val="28"/>
          <w:lang w:eastAsia="ru-RU"/>
        </w:rPr>
        <w:t>раздела III</w:t>
      </w:r>
      <w:r>
        <w:rPr>
          <w:rFonts w:eastAsia="Times New Roman" w:cs="Times New Roman"/>
          <w:szCs w:val="28"/>
          <w:lang w:eastAsia="ru-RU"/>
        </w:rPr>
        <w:t xml:space="preserve"> не указано, с какого момента и какие именно готовятся документы комитетом (в течение 30-ти календарных дней).</w:t>
      </w:r>
    </w:p>
    <w:p w:rsidR="00FE5FB2" w:rsidRPr="00FE5FB2" w:rsidRDefault="00FE5FB2" w:rsidP="00C8137B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EE0E26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 xml:space="preserve">. В пункте 5 раздела </w:t>
      </w:r>
      <w:r w:rsidRPr="00FE5FB2">
        <w:rPr>
          <w:rFonts w:eastAsia="Times New Roman" w:cs="Times New Roman"/>
          <w:szCs w:val="28"/>
          <w:lang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не указана информация </w:t>
      </w:r>
      <w:r w:rsidR="00B655A7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способ</w:t>
      </w:r>
      <w:r w:rsidR="00B655A7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E5FB2">
        <w:rPr>
          <w:rFonts w:eastAsia="Times New Roman" w:cs="Times New Roman"/>
          <w:szCs w:val="28"/>
          <w:lang w:eastAsia="ru-RU"/>
        </w:rPr>
        <w:t>отслежива</w:t>
      </w:r>
      <w:r>
        <w:rPr>
          <w:rFonts w:eastAsia="Times New Roman" w:cs="Times New Roman"/>
          <w:szCs w:val="28"/>
          <w:lang w:eastAsia="ru-RU"/>
        </w:rPr>
        <w:t>ния</w:t>
      </w:r>
      <w:r w:rsidRPr="00FE5FB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муниципальными организациями актов приема-передачи, </w:t>
      </w:r>
      <w:r>
        <w:rPr>
          <w:rFonts w:eastAsia="Times New Roman" w:cs="Times New Roman"/>
          <w:i/>
          <w:szCs w:val="28"/>
          <w:lang w:eastAsia="ru-RU"/>
        </w:rPr>
        <w:t xml:space="preserve">что является ограничением для </w:t>
      </w:r>
      <w:r w:rsidRPr="00FE5FB2">
        <w:rPr>
          <w:rFonts w:eastAsia="Times New Roman" w:cs="Times New Roman"/>
          <w:i/>
          <w:szCs w:val="28"/>
          <w:lang w:eastAsia="ru-RU"/>
        </w:rPr>
        <w:t>субъектов предпринимательской деятельности.</w:t>
      </w:r>
    </w:p>
    <w:p w:rsidR="00B655A7" w:rsidRDefault="00B655A7" w:rsidP="00B655A7">
      <w:pPr>
        <w:jc w:val="both"/>
        <w:rPr>
          <w:rFonts w:eastAsia="Times New Roman" w:cs="Times New Roman"/>
          <w:szCs w:val="28"/>
          <w:lang w:eastAsia="ru-RU"/>
        </w:rPr>
      </w:pPr>
    </w:p>
    <w:p w:rsidR="00E37B34" w:rsidRDefault="00E37B34" w:rsidP="00B655A7">
      <w:pPr>
        <w:jc w:val="both"/>
        <w:rPr>
          <w:rFonts w:eastAsia="Times New Roman" w:cs="Times New Roman"/>
          <w:szCs w:val="28"/>
          <w:lang w:eastAsia="ru-RU"/>
        </w:rPr>
      </w:pPr>
    </w:p>
    <w:p w:rsidR="00B655A7" w:rsidRDefault="00E33DD0" w:rsidP="00B655A7">
      <w:pPr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Выводы</w:t>
      </w:r>
      <w:r w:rsidR="003C5880">
        <w:rPr>
          <w:rFonts w:eastAsia="Times New Roman" w:cs="Times New Roman"/>
          <w:szCs w:val="28"/>
          <w:lang w:eastAsia="ru-RU"/>
        </w:rPr>
        <w:t>:</w:t>
      </w:r>
      <w:r w:rsidR="00B655A7" w:rsidRPr="00B655A7">
        <w:rPr>
          <w:rFonts w:eastAsia="Times New Roman" w:cs="Times New Roman"/>
          <w:szCs w:val="28"/>
          <w:lang w:eastAsia="ru-RU"/>
        </w:rPr>
        <w:tab/>
      </w:r>
    </w:p>
    <w:p w:rsidR="00B655A7" w:rsidRPr="00B655A7" w:rsidRDefault="00B655A7" w:rsidP="00B655A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7A0C33">
        <w:rPr>
          <w:rFonts w:eastAsia="Times New Roman" w:cs="Times New Roman"/>
          <w:szCs w:val="28"/>
          <w:lang w:eastAsia="ru-RU"/>
        </w:rPr>
        <w:t>1.</w:t>
      </w:r>
      <w:r w:rsidRPr="00B655A7">
        <w:rPr>
          <w:rFonts w:eastAsia="Times New Roman" w:cs="Times New Roman"/>
          <w:szCs w:val="28"/>
          <w:lang w:eastAsia="ru-RU"/>
        </w:rPr>
        <w:t xml:space="preserve"> </w:t>
      </w:r>
      <w:r w:rsidR="007A0C33">
        <w:rPr>
          <w:rFonts w:eastAsia="Times New Roman" w:cs="Times New Roman"/>
          <w:szCs w:val="28"/>
          <w:lang w:eastAsia="ru-RU"/>
        </w:rPr>
        <w:t>О</w:t>
      </w:r>
      <w:r w:rsidRPr="00B655A7">
        <w:rPr>
          <w:rFonts w:eastAsia="Times New Roman" w:cs="Times New Roman"/>
          <w:szCs w:val="28"/>
          <w:lang w:eastAsia="ru-RU"/>
        </w:rPr>
        <w:t>тчет об экспертизе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655A7">
        <w:rPr>
          <w:rFonts w:eastAsia="Times New Roman" w:cs="Times New Roman"/>
          <w:szCs w:val="28"/>
          <w:lang w:eastAsia="ru-RU"/>
        </w:rPr>
        <w:t>действующего муниципального нормативного правового акта</w:t>
      </w:r>
      <w:r>
        <w:rPr>
          <w:rFonts w:eastAsia="Times New Roman" w:cs="Times New Roman"/>
          <w:szCs w:val="28"/>
          <w:lang w:eastAsia="ru-RU"/>
        </w:rPr>
        <w:t>,</w:t>
      </w:r>
      <w:r w:rsidRPr="00B655A7">
        <w:rPr>
          <w:rFonts w:eastAsia="Times New Roman" w:cs="Times New Roman"/>
          <w:szCs w:val="28"/>
          <w:lang w:eastAsia="ru-RU"/>
        </w:rPr>
        <w:t xml:space="preserve"> расчет расходов субъектов предпринимательской </w:t>
      </w:r>
      <w:r w:rsidR="00DD5F44">
        <w:rPr>
          <w:rFonts w:eastAsia="Times New Roman" w:cs="Times New Roman"/>
          <w:szCs w:val="28"/>
          <w:lang w:eastAsia="ru-RU"/>
        </w:rPr>
        <w:br/>
      </w:r>
      <w:r w:rsidRPr="00B655A7">
        <w:rPr>
          <w:rFonts w:eastAsia="Times New Roman" w:cs="Times New Roman"/>
          <w:szCs w:val="28"/>
          <w:lang w:eastAsia="ru-RU"/>
        </w:rPr>
        <w:t>и инвестиционной деятельности требу</w:t>
      </w:r>
      <w:r w:rsidR="00DD5F44">
        <w:rPr>
          <w:rFonts w:eastAsia="Times New Roman" w:cs="Times New Roman"/>
          <w:szCs w:val="28"/>
          <w:lang w:eastAsia="ru-RU"/>
        </w:rPr>
        <w:t>ю</w:t>
      </w:r>
      <w:r w:rsidRPr="00B655A7">
        <w:rPr>
          <w:rFonts w:eastAsia="Times New Roman" w:cs="Times New Roman"/>
          <w:szCs w:val="28"/>
          <w:lang w:eastAsia="ru-RU"/>
        </w:rPr>
        <w:t>т доработки</w:t>
      </w:r>
      <w:r w:rsidR="001A3A65">
        <w:rPr>
          <w:rFonts w:eastAsia="Times New Roman" w:cs="Times New Roman"/>
          <w:szCs w:val="28"/>
          <w:lang w:eastAsia="ru-RU"/>
        </w:rPr>
        <w:t xml:space="preserve"> в соответствии с пунктом 2 заключения.</w:t>
      </w:r>
    </w:p>
    <w:p w:rsidR="00DD5F44" w:rsidRDefault="00B655A7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B655A7">
        <w:rPr>
          <w:rFonts w:eastAsia="Times New Roman" w:cs="Times New Roman"/>
          <w:szCs w:val="28"/>
          <w:lang w:eastAsia="ru-RU"/>
        </w:rPr>
        <w:lastRenderedPageBreak/>
        <w:tab/>
      </w:r>
      <w:r w:rsidR="007A0C33">
        <w:rPr>
          <w:rFonts w:eastAsia="Times New Roman" w:cs="Times New Roman"/>
          <w:szCs w:val="28"/>
          <w:lang w:eastAsia="ru-RU"/>
        </w:rPr>
        <w:t>2.</w:t>
      </w:r>
      <w:r w:rsidRPr="00B655A7">
        <w:rPr>
          <w:rFonts w:eastAsia="Times New Roman" w:cs="Times New Roman"/>
          <w:szCs w:val="28"/>
          <w:lang w:eastAsia="ru-RU"/>
        </w:rPr>
        <w:t xml:space="preserve"> </w:t>
      </w:r>
      <w:r w:rsidR="007A0C33">
        <w:rPr>
          <w:rFonts w:eastAsia="Times New Roman" w:cs="Times New Roman"/>
          <w:szCs w:val="28"/>
          <w:lang w:eastAsia="ru-RU"/>
        </w:rPr>
        <w:t>Д</w:t>
      </w:r>
      <w:r w:rsidRPr="00B655A7">
        <w:rPr>
          <w:rFonts w:eastAsia="Times New Roman" w:cs="Times New Roman"/>
          <w:szCs w:val="28"/>
          <w:lang w:eastAsia="ru-RU"/>
        </w:rPr>
        <w:t xml:space="preserve">ействующий нормативный правовой акт требует внесения изменений </w:t>
      </w:r>
      <w:r w:rsidR="00DD5F44">
        <w:rPr>
          <w:rFonts w:eastAsia="Times New Roman" w:cs="Times New Roman"/>
          <w:szCs w:val="28"/>
          <w:lang w:eastAsia="ru-RU"/>
        </w:rPr>
        <w:br/>
      </w:r>
      <w:r w:rsidRPr="00B655A7">
        <w:rPr>
          <w:rFonts w:eastAsia="Times New Roman" w:cs="Times New Roman"/>
          <w:szCs w:val="28"/>
          <w:lang w:eastAsia="ru-RU"/>
        </w:rPr>
        <w:t xml:space="preserve">в части положений, </w:t>
      </w:r>
      <w:r w:rsidR="00DD5F44" w:rsidRPr="00DD5F44">
        <w:rPr>
          <w:rFonts w:eastAsia="Times New Roman" w:cs="Times New Roman"/>
          <w:szCs w:val="28"/>
          <w:lang w:eastAsia="ru-RU"/>
        </w:rPr>
        <w:t>необоснованно затрудняющи</w:t>
      </w:r>
      <w:r w:rsidR="003C5880">
        <w:rPr>
          <w:rFonts w:eastAsia="Times New Roman" w:cs="Times New Roman"/>
          <w:szCs w:val="28"/>
          <w:lang w:eastAsia="ru-RU"/>
        </w:rPr>
        <w:t>х</w:t>
      </w:r>
      <w:r w:rsidR="00DD5F44" w:rsidRPr="00DD5F44">
        <w:rPr>
          <w:rFonts w:eastAsia="Times New Roman" w:cs="Times New Roman"/>
          <w:szCs w:val="28"/>
          <w:lang w:eastAsia="ru-RU"/>
        </w:rPr>
        <w:t xml:space="preserve"> ведение предпринимательской и инвестиционной деятельности</w:t>
      </w:r>
      <w:r w:rsidR="00DD5F44">
        <w:rPr>
          <w:rFonts w:eastAsia="Times New Roman" w:cs="Times New Roman"/>
          <w:szCs w:val="28"/>
          <w:lang w:eastAsia="ru-RU"/>
        </w:rPr>
        <w:t>.</w:t>
      </w: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Начальник управления экономики </w:t>
      </w: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                                                      С.Г. Мединцева</w:t>
      </w: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Pr="00E33DD0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A975C2">
        <w:rPr>
          <w:rFonts w:eastAsia="Times New Roman" w:cs="Times New Roman"/>
          <w:szCs w:val="28"/>
          <w:lang w:eastAsia="ru-RU"/>
        </w:rPr>
        <w:t>13</w:t>
      </w:r>
      <w:r>
        <w:rPr>
          <w:rFonts w:eastAsia="Times New Roman" w:cs="Times New Roman"/>
          <w:szCs w:val="28"/>
          <w:lang w:eastAsia="ru-RU"/>
        </w:rPr>
        <w:t>»</w:t>
      </w:r>
      <w:r w:rsidR="00A975C2">
        <w:rPr>
          <w:rFonts w:eastAsia="Times New Roman" w:cs="Times New Roman"/>
          <w:szCs w:val="28"/>
          <w:lang w:eastAsia="ru-RU"/>
        </w:rPr>
        <w:t xml:space="preserve"> декабря </w:t>
      </w:r>
      <w:r>
        <w:rPr>
          <w:rFonts w:eastAsia="Times New Roman" w:cs="Times New Roman"/>
          <w:szCs w:val="28"/>
          <w:lang w:eastAsia="ru-RU"/>
        </w:rPr>
        <w:t>2017 г.</w:t>
      </w: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1A3A65" w:rsidRDefault="001A3A65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1A3A65" w:rsidRDefault="001A3A65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1A3A65" w:rsidRDefault="001A3A65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1A3A65" w:rsidRDefault="001A3A65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1A3A65" w:rsidRDefault="001A3A65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sectPr w:rsidR="00E33DD0" w:rsidRPr="00E33DD0" w:rsidSect="00A975C2">
      <w:headerReference w:type="default" r:id="rId10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61" w:rsidRDefault="007D7361" w:rsidP="006C4EC8">
      <w:r>
        <w:separator/>
      </w:r>
    </w:p>
  </w:endnote>
  <w:endnote w:type="continuationSeparator" w:id="0">
    <w:p w:rsidR="007D7361" w:rsidRDefault="007D736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61" w:rsidRDefault="007D7361" w:rsidP="006C4EC8">
      <w:r>
        <w:separator/>
      </w:r>
    </w:p>
  </w:footnote>
  <w:footnote w:type="continuationSeparator" w:id="0">
    <w:p w:rsidR="007D7361" w:rsidRDefault="007D736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12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14"/>
  </w:num>
  <w:num w:numId="12">
    <w:abstractNumId w:val="13"/>
  </w:num>
  <w:num w:numId="13">
    <w:abstractNumId w:val="4"/>
  </w:num>
  <w:num w:numId="14">
    <w:abstractNumId w:val="3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8"/>
    <w:rsid w:val="00005131"/>
    <w:rsid w:val="00021134"/>
    <w:rsid w:val="00026400"/>
    <w:rsid w:val="00031C37"/>
    <w:rsid w:val="00057369"/>
    <w:rsid w:val="000B3E3F"/>
    <w:rsid w:val="000C4662"/>
    <w:rsid w:val="000D767F"/>
    <w:rsid w:val="001A3A65"/>
    <w:rsid w:val="001A3ED4"/>
    <w:rsid w:val="001A6B75"/>
    <w:rsid w:val="001C5792"/>
    <w:rsid w:val="001F7BBF"/>
    <w:rsid w:val="00215F36"/>
    <w:rsid w:val="00222E1D"/>
    <w:rsid w:val="002664E3"/>
    <w:rsid w:val="00285EC9"/>
    <w:rsid w:val="00293329"/>
    <w:rsid w:val="002949E7"/>
    <w:rsid w:val="002B04FB"/>
    <w:rsid w:val="002E291E"/>
    <w:rsid w:val="003445D3"/>
    <w:rsid w:val="00351347"/>
    <w:rsid w:val="003802FC"/>
    <w:rsid w:val="003812E4"/>
    <w:rsid w:val="003B46E0"/>
    <w:rsid w:val="003C5880"/>
    <w:rsid w:val="003E091F"/>
    <w:rsid w:val="003E2DF5"/>
    <w:rsid w:val="003E6C3C"/>
    <w:rsid w:val="004556A1"/>
    <w:rsid w:val="00461FFD"/>
    <w:rsid w:val="00473204"/>
    <w:rsid w:val="0049250C"/>
    <w:rsid w:val="0049278A"/>
    <w:rsid w:val="004A4257"/>
    <w:rsid w:val="004D5F74"/>
    <w:rsid w:val="00547FA9"/>
    <w:rsid w:val="00555BDE"/>
    <w:rsid w:val="00583ADA"/>
    <w:rsid w:val="005F504E"/>
    <w:rsid w:val="00620296"/>
    <w:rsid w:val="0063434C"/>
    <w:rsid w:val="006644E9"/>
    <w:rsid w:val="00672112"/>
    <w:rsid w:val="00685DC7"/>
    <w:rsid w:val="006C4EC8"/>
    <w:rsid w:val="006E3A1A"/>
    <w:rsid w:val="006F2446"/>
    <w:rsid w:val="006F2C16"/>
    <w:rsid w:val="007153C9"/>
    <w:rsid w:val="00715913"/>
    <w:rsid w:val="007306CE"/>
    <w:rsid w:val="00747332"/>
    <w:rsid w:val="007A0C33"/>
    <w:rsid w:val="007B6D10"/>
    <w:rsid w:val="007D7361"/>
    <w:rsid w:val="00876309"/>
    <w:rsid w:val="00891FE3"/>
    <w:rsid w:val="008B3678"/>
    <w:rsid w:val="00925BF4"/>
    <w:rsid w:val="00934F8C"/>
    <w:rsid w:val="009724DA"/>
    <w:rsid w:val="0098403A"/>
    <w:rsid w:val="00984251"/>
    <w:rsid w:val="009A1341"/>
    <w:rsid w:val="009C7BA7"/>
    <w:rsid w:val="00A3115B"/>
    <w:rsid w:val="00A65870"/>
    <w:rsid w:val="00A80EE1"/>
    <w:rsid w:val="00A975C2"/>
    <w:rsid w:val="00AF797B"/>
    <w:rsid w:val="00B249AB"/>
    <w:rsid w:val="00B34C8E"/>
    <w:rsid w:val="00B41C1F"/>
    <w:rsid w:val="00B468EE"/>
    <w:rsid w:val="00B655A7"/>
    <w:rsid w:val="00B65789"/>
    <w:rsid w:val="00BC5692"/>
    <w:rsid w:val="00C06A42"/>
    <w:rsid w:val="00C42782"/>
    <w:rsid w:val="00C6186C"/>
    <w:rsid w:val="00C8137B"/>
    <w:rsid w:val="00C86F86"/>
    <w:rsid w:val="00D16767"/>
    <w:rsid w:val="00D6287D"/>
    <w:rsid w:val="00D74A70"/>
    <w:rsid w:val="00D85A5F"/>
    <w:rsid w:val="00DA0A5D"/>
    <w:rsid w:val="00DB6DD9"/>
    <w:rsid w:val="00DD5F44"/>
    <w:rsid w:val="00DE15EB"/>
    <w:rsid w:val="00E14976"/>
    <w:rsid w:val="00E22F43"/>
    <w:rsid w:val="00E33DD0"/>
    <w:rsid w:val="00E35545"/>
    <w:rsid w:val="00E37B34"/>
    <w:rsid w:val="00EC662C"/>
    <w:rsid w:val="00ED6EB5"/>
    <w:rsid w:val="00EE0E26"/>
    <w:rsid w:val="00EF657D"/>
    <w:rsid w:val="00F251C2"/>
    <w:rsid w:val="00F259F5"/>
    <w:rsid w:val="00F54749"/>
    <w:rsid w:val="00F822FB"/>
    <w:rsid w:val="00FA4F51"/>
    <w:rsid w:val="00FE3511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8498-4A31-474F-BDEF-6765B01B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Маникина Елена Анатольевна</cp:lastModifiedBy>
  <cp:revision>66</cp:revision>
  <cp:lastPrinted>2017-12-14T06:16:00Z</cp:lastPrinted>
  <dcterms:created xsi:type="dcterms:W3CDTF">2017-11-27T12:05:00Z</dcterms:created>
  <dcterms:modified xsi:type="dcterms:W3CDTF">2017-12-14T06:17:00Z</dcterms:modified>
</cp:coreProperties>
</file>