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70608">
        <w:trPr>
          <w:jc w:val="center"/>
        </w:trPr>
        <w:tc>
          <w:tcPr>
            <w:tcW w:w="142" w:type="dxa"/>
            <w:noWrap/>
          </w:tcPr>
          <w:p w:rsidR="00A70608" w:rsidRDefault="00B12B5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70608" w:rsidRDefault="004950F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A70608" w:rsidRDefault="00B12B5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70608" w:rsidRPr="004950F4" w:rsidRDefault="004950F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A70608" w:rsidRDefault="00B12B5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70608" w:rsidRDefault="004950F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70608" w:rsidRDefault="00B12B5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70608" w:rsidRDefault="00A7060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70608" w:rsidRDefault="00B12B5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0608" w:rsidRPr="004950F4" w:rsidRDefault="004950F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830</w:t>
            </w:r>
          </w:p>
        </w:tc>
      </w:tr>
    </w:tbl>
    <w:p w:rsidR="00A70608" w:rsidRDefault="006951B9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A70608" w:rsidRDefault="00A7060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0608" w:rsidRDefault="00A7060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70608" w:rsidRDefault="00B12B5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70608" w:rsidRDefault="00B12B5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70608" w:rsidRDefault="00A70608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70608" w:rsidRDefault="00B12B5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A70608" w:rsidRDefault="00A7060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70608" w:rsidRDefault="00A7060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70608" w:rsidRDefault="00B12B5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A70608" w:rsidRDefault="00A7060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70608" w:rsidRDefault="00A7060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70608" w:rsidRDefault="00B12B5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cs="Times New Roman"/>
          <w:bCs/>
          <w:szCs w:val="28"/>
        </w:rPr>
        <w:t>координационном</w:t>
      </w:r>
      <w:r>
        <w:rPr>
          <w:rFonts w:eastAsia="Times New Roman" w:cs="Times New Roman"/>
          <w:szCs w:val="28"/>
          <w:lang w:eastAsia="ru-RU"/>
        </w:rPr>
        <w:t xml:space="preserve"> совете</w:t>
      </w:r>
    </w:p>
    <w:p w:rsidR="00A70608" w:rsidRDefault="00B12B5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рассмотрению уведомлений </w:t>
      </w:r>
    </w:p>
    <w:p w:rsidR="00A70608" w:rsidRDefault="00B12B5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проведении публичных </w:t>
      </w:r>
    </w:p>
    <w:p w:rsidR="00A70608" w:rsidRDefault="00B12B5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мероприятий на территории </w:t>
      </w:r>
    </w:p>
    <w:p w:rsidR="00A70608" w:rsidRDefault="00B12B5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Сургута</w:t>
      </w:r>
    </w:p>
    <w:p w:rsidR="00A70608" w:rsidRDefault="00A70608">
      <w:pPr>
        <w:rPr>
          <w:rFonts w:eastAsia="Calibri" w:cs="Times New Roman"/>
          <w:szCs w:val="28"/>
        </w:rPr>
      </w:pPr>
    </w:p>
    <w:p w:rsidR="00A70608" w:rsidRDefault="00A70608">
      <w:pPr>
        <w:tabs>
          <w:tab w:val="left" w:pos="709"/>
        </w:tabs>
        <w:jc w:val="both"/>
        <w:rPr>
          <w:rFonts w:eastAsia="Calibri" w:cs="Times New Roman"/>
          <w:szCs w:val="28"/>
        </w:rPr>
      </w:pPr>
    </w:p>
    <w:p w:rsidR="00A70608" w:rsidRDefault="00B12B56">
      <w:pPr>
        <w:tabs>
          <w:tab w:val="left" w:pos="709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Федеральным законом от 19.06.2004 № 54-ФЗ «О собраниях, митингах, демонстрациях, шествиях и пикетированиях», Уставом             муниципального образования городской округ город Сургут, распоряжением Администрации города от 30.12.2005 № 3686 «Об утверждении Регламента Администрации города»:</w:t>
      </w:r>
    </w:p>
    <w:p w:rsidR="00A70608" w:rsidRDefault="00B12B56">
      <w:pPr>
        <w:tabs>
          <w:tab w:val="left" w:pos="567"/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Создать </w:t>
      </w:r>
      <w:r>
        <w:rPr>
          <w:rFonts w:cs="Times New Roman"/>
          <w:bCs/>
          <w:szCs w:val="28"/>
        </w:rPr>
        <w:t>координационный</w:t>
      </w:r>
      <w:r>
        <w:rPr>
          <w:rFonts w:eastAsia="Calibri" w:cs="Times New Roman"/>
          <w:szCs w:val="28"/>
        </w:rPr>
        <w:t xml:space="preserve"> совет по рассмотрению уведомлений               о проведении публичных мероприятий на территории города Сургута в составе согласно приложению 1.</w:t>
      </w:r>
    </w:p>
    <w:p w:rsidR="00A70608" w:rsidRDefault="00B12B5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Утвердить положение о </w:t>
      </w:r>
      <w:r>
        <w:rPr>
          <w:rFonts w:cs="Times New Roman"/>
          <w:bCs/>
          <w:szCs w:val="28"/>
        </w:rPr>
        <w:t>координационном</w:t>
      </w:r>
      <w:r>
        <w:rPr>
          <w:rFonts w:eastAsia="Calibri" w:cs="Times New Roman"/>
          <w:szCs w:val="28"/>
        </w:rPr>
        <w:t xml:space="preserve"> совете по рассмотрению            уведомлений о проведении публичных мероприятий на территории города                  Сургута согласно приложению 2.</w:t>
      </w:r>
    </w:p>
    <w:p w:rsidR="00A70608" w:rsidRDefault="00B12B56">
      <w:pPr>
        <w:tabs>
          <w:tab w:val="left" w:pos="1134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Определить отдел по вопросам общественной безопасности ответст-</w:t>
      </w:r>
      <w:r>
        <w:rPr>
          <w:rFonts w:eastAsia="Calibri" w:cs="Times New Roman"/>
          <w:spacing w:val="-4"/>
          <w:szCs w:val="28"/>
        </w:rPr>
        <w:t>венным структурным подразделением Администрации города за организационное</w:t>
      </w:r>
      <w:r>
        <w:rPr>
          <w:rFonts w:eastAsia="Calibri" w:cs="Times New Roman"/>
          <w:szCs w:val="28"/>
        </w:rPr>
        <w:t xml:space="preserve"> обеспечение деятельности</w:t>
      </w:r>
      <w:r>
        <w:rPr>
          <w:rFonts w:cs="Times New Roman"/>
          <w:bCs/>
          <w:szCs w:val="28"/>
        </w:rPr>
        <w:t xml:space="preserve"> координационного</w:t>
      </w:r>
      <w:r>
        <w:rPr>
          <w:rFonts w:eastAsia="Calibri" w:cs="Times New Roman"/>
          <w:szCs w:val="28"/>
        </w:rPr>
        <w:t xml:space="preserve"> совета по рассмотрению уведомлений о проведении публичных мероприятий на территории города Сургута.</w:t>
      </w:r>
    </w:p>
    <w:p w:rsidR="00A70608" w:rsidRDefault="00B12B5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Управлению по связям с общественностью и средствами массовой            информации разместить настоящее распоряжение на официальном портале                  Администрации города.</w:t>
      </w:r>
    </w:p>
    <w:p w:rsidR="00A70608" w:rsidRDefault="00B12B5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5. Контроль за выполнением распоряжения оставляю за собой.</w:t>
      </w:r>
    </w:p>
    <w:p w:rsidR="00A70608" w:rsidRDefault="00A706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0608" w:rsidRDefault="00A706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0608" w:rsidRDefault="00A706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0608" w:rsidRDefault="00B12B56">
      <w:pPr>
        <w:rPr>
          <w:rFonts w:eastAsia="Times New Roman" w:cs="Times New Roman"/>
          <w:color w:val="000000"/>
          <w:szCs w:val="28"/>
          <w:lang w:eastAsia="ru-RU"/>
        </w:rPr>
        <w:sectPr w:rsidR="00A70608">
          <w:headerReference w:type="default" r:id="rId6"/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eastAsia="Times New Roman" w:cs="Times New Roman"/>
          <w:color w:val="000000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A70608" w:rsidRDefault="00B12B56">
      <w:pPr>
        <w:ind w:firstLine="5954"/>
        <w:rPr>
          <w:rFonts w:eastAsia="Calibri" w:cs="Times New Roman"/>
          <w:szCs w:val="28"/>
        </w:rPr>
      </w:pPr>
      <w:bookmarkStart w:id="0" w:name="sub_1011"/>
      <w:r>
        <w:rPr>
          <w:rFonts w:eastAsia="Calibri" w:cs="Times New Roman"/>
          <w:szCs w:val="28"/>
        </w:rPr>
        <w:t>Приложение 1</w:t>
      </w:r>
    </w:p>
    <w:p w:rsidR="00A70608" w:rsidRDefault="00B12B56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распоряжению </w:t>
      </w:r>
    </w:p>
    <w:p w:rsidR="00A70608" w:rsidRDefault="00B12B56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</w:t>
      </w:r>
    </w:p>
    <w:p w:rsidR="00A70608" w:rsidRDefault="00B12B56">
      <w:pPr>
        <w:ind w:firstLine="5954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от ____________ № _________</w:t>
      </w:r>
    </w:p>
    <w:p w:rsidR="00A70608" w:rsidRDefault="00A70608">
      <w:pPr>
        <w:jc w:val="center"/>
        <w:rPr>
          <w:rFonts w:eastAsia="Calibri" w:cs="Times New Roman"/>
          <w:szCs w:val="28"/>
        </w:rPr>
      </w:pPr>
    </w:p>
    <w:p w:rsidR="00A70608" w:rsidRDefault="00A70608">
      <w:pPr>
        <w:jc w:val="center"/>
        <w:rPr>
          <w:rFonts w:eastAsia="Calibri" w:cs="Times New Roman"/>
          <w:szCs w:val="28"/>
        </w:rPr>
      </w:pPr>
    </w:p>
    <w:p w:rsidR="00A70608" w:rsidRDefault="00B12B5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координационного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по рассмотрению уведомлений о проведении </w:t>
      </w:r>
    </w:p>
    <w:p w:rsidR="00A70608" w:rsidRDefault="00B12B5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публичных мероприятий на территории города Сургута </w:t>
      </w:r>
    </w:p>
    <w:p w:rsidR="00A70608" w:rsidRDefault="00A70608">
      <w:pPr>
        <w:rPr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32"/>
        <w:gridCol w:w="4459"/>
      </w:tblGrid>
      <w:tr w:rsidR="00A70608">
        <w:trPr>
          <w:trHeight w:val="810"/>
        </w:trPr>
        <w:tc>
          <w:tcPr>
            <w:tcW w:w="4748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Жердев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Алексей Александрович          </w:t>
            </w: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32" w:type="dxa"/>
          </w:tcPr>
          <w:p w:rsidR="00A70608" w:rsidRDefault="00B12B56">
            <w:pPr>
              <w:spacing w:after="20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459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Администрации города, председатель совета</w:t>
            </w:r>
          </w:p>
        </w:tc>
      </w:tr>
      <w:tr w:rsidR="00A70608">
        <w:trPr>
          <w:trHeight w:val="1146"/>
        </w:trPr>
        <w:tc>
          <w:tcPr>
            <w:tcW w:w="4748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Пелевин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Александр Рудольфович</w:t>
            </w: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32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459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Администрации города, заместитель председателя совета</w:t>
            </w: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A70608">
        <w:tc>
          <w:tcPr>
            <w:tcW w:w="4748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Перунова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Светлана Анатольевна</w:t>
            </w: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32" w:type="dxa"/>
          </w:tcPr>
          <w:p w:rsidR="00A70608" w:rsidRDefault="00B12B56">
            <w:pPr>
              <w:spacing w:after="20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A70608" w:rsidRDefault="00A70608">
            <w:pPr>
              <w:spacing w:after="200" w:line="276" w:lineRule="auto"/>
              <w:rPr>
                <w:rFonts w:cs="Times New Roman"/>
                <w:szCs w:val="28"/>
              </w:rPr>
            </w:pP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459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отдела по вопросам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общественной безопасности,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секретарь совета (либо лицо,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исполняющее обязанности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должности)</w:t>
            </w: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A70608">
        <w:tc>
          <w:tcPr>
            <w:tcW w:w="4748" w:type="dxa"/>
          </w:tcPr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координационного совета:</w:t>
            </w: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91" w:type="dxa"/>
            <w:gridSpan w:val="2"/>
          </w:tcPr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A70608">
        <w:trPr>
          <w:trHeight w:val="1528"/>
        </w:trPr>
        <w:tc>
          <w:tcPr>
            <w:tcW w:w="4748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Бабушкин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 Анатольевич</w:t>
            </w:r>
          </w:p>
        </w:tc>
        <w:tc>
          <w:tcPr>
            <w:tcW w:w="432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459" w:type="dxa"/>
          </w:tcPr>
          <w:p w:rsidR="00A70608" w:rsidRDefault="00B12B56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заместитель начальника Управления</w:t>
            </w:r>
            <w:r>
              <w:rPr>
                <w:rFonts w:cs="Times New Roman"/>
                <w:szCs w:val="28"/>
              </w:rPr>
              <w:t xml:space="preserve"> Министерства внутренних дел </w:t>
            </w:r>
          </w:p>
          <w:p w:rsidR="00A70608" w:rsidRDefault="00B12B56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России по городу Сургуту (либо лицо, исполняющее обязанности </w:t>
            </w:r>
          </w:p>
          <w:p w:rsidR="00A70608" w:rsidRDefault="00B12B56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должности) (по согласованию)</w:t>
            </w:r>
          </w:p>
          <w:p w:rsidR="00A70608" w:rsidRDefault="00A70608">
            <w:pPr>
              <w:ind w:right="-108"/>
              <w:rPr>
                <w:rFonts w:cs="Times New Roman"/>
                <w:sz w:val="10"/>
                <w:szCs w:val="10"/>
              </w:rPr>
            </w:pPr>
          </w:p>
        </w:tc>
      </w:tr>
      <w:tr w:rsidR="00A70608">
        <w:trPr>
          <w:trHeight w:val="842"/>
        </w:trPr>
        <w:tc>
          <w:tcPr>
            <w:tcW w:w="4748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Гордеева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Вячеславовна</w:t>
            </w:r>
          </w:p>
        </w:tc>
        <w:tc>
          <w:tcPr>
            <w:tcW w:w="432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459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правового управления (либо лицо, исполняющее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обязанности по должности)</w:t>
            </w: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A70608">
        <w:trPr>
          <w:trHeight w:val="395"/>
        </w:trPr>
        <w:tc>
          <w:tcPr>
            <w:tcW w:w="4748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Павлов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Николай Сергеевич</w:t>
            </w: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32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459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советник Главы города </w:t>
            </w: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A70608">
        <w:trPr>
          <w:trHeight w:val="1427"/>
        </w:trPr>
        <w:tc>
          <w:tcPr>
            <w:tcW w:w="4748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Пешков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Сергей Михайлович                 </w:t>
            </w:r>
          </w:p>
        </w:tc>
        <w:tc>
          <w:tcPr>
            <w:tcW w:w="432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459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комитета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управлению имуществом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(либо лицо, исполняющее обязанности по должности)</w:t>
            </w: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A70608">
        <w:tc>
          <w:tcPr>
            <w:tcW w:w="4748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Прилипко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Олег Васильевич                   </w:t>
            </w:r>
          </w:p>
        </w:tc>
        <w:tc>
          <w:tcPr>
            <w:tcW w:w="432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459" w:type="dxa"/>
          </w:tcPr>
          <w:p w:rsidR="00A70608" w:rsidRDefault="00B12B56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>председатель комитета по земельным</w:t>
            </w:r>
            <w:r>
              <w:rPr>
                <w:rFonts w:cs="Times New Roman"/>
                <w:szCs w:val="28"/>
              </w:rPr>
              <w:t xml:space="preserve"> отношениям (либо лицо, исполняющее обязанности по должности)</w:t>
            </w:r>
          </w:p>
        </w:tc>
      </w:tr>
      <w:tr w:rsidR="00A70608">
        <w:trPr>
          <w:trHeight w:val="1700"/>
        </w:trPr>
        <w:tc>
          <w:tcPr>
            <w:tcW w:w="4748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Фокеев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Алексей Александрович </w:t>
            </w:r>
          </w:p>
        </w:tc>
        <w:tc>
          <w:tcPr>
            <w:tcW w:w="432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459" w:type="dxa"/>
          </w:tcPr>
          <w:p w:rsidR="00A70608" w:rsidRDefault="00B12B56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директор департамента архитектуры</w:t>
            </w:r>
            <w:r>
              <w:rPr>
                <w:rFonts w:cs="Times New Roman"/>
                <w:szCs w:val="28"/>
              </w:rPr>
              <w:t xml:space="preserve"> и градостроительства-главный</w:t>
            </w:r>
          </w:p>
          <w:p w:rsidR="00A70608" w:rsidRDefault="00B12B56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архитектор города (либо лицо, </w:t>
            </w:r>
          </w:p>
          <w:p w:rsidR="00A70608" w:rsidRDefault="00B12B56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исполняющее обязанности </w:t>
            </w:r>
          </w:p>
          <w:p w:rsidR="00A70608" w:rsidRDefault="00B12B56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должности)</w:t>
            </w:r>
          </w:p>
          <w:p w:rsidR="00A70608" w:rsidRDefault="00A70608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0"/>
                <w:szCs w:val="10"/>
              </w:rPr>
            </w:pPr>
          </w:p>
        </w:tc>
      </w:tr>
      <w:tr w:rsidR="00A70608">
        <w:tc>
          <w:tcPr>
            <w:tcW w:w="4748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Хисамова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Алена Фаритовна</w:t>
            </w: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32" w:type="dxa"/>
          </w:tcPr>
          <w:p w:rsidR="00A70608" w:rsidRDefault="00B12B56">
            <w:pPr>
              <w:spacing w:after="200"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A70608" w:rsidRDefault="00A7060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459" w:type="dxa"/>
          </w:tcPr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управления по связям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общественностью и средствами массовой информации (либо лицо, исполняющее обязанности </w:t>
            </w:r>
          </w:p>
          <w:p w:rsidR="00A70608" w:rsidRDefault="00B12B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должности)</w:t>
            </w:r>
          </w:p>
        </w:tc>
      </w:tr>
    </w:tbl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tabs>
          <w:tab w:val="left" w:pos="709"/>
          <w:tab w:val="left" w:pos="7088"/>
        </w:tabs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B12B56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 2</w:t>
      </w:r>
    </w:p>
    <w:p w:rsidR="00A70608" w:rsidRDefault="00B12B56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распоряжению </w:t>
      </w:r>
    </w:p>
    <w:p w:rsidR="00A70608" w:rsidRDefault="00B12B56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</w:t>
      </w:r>
    </w:p>
    <w:p w:rsidR="00A70608" w:rsidRDefault="00B12B56">
      <w:pPr>
        <w:ind w:firstLine="5954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от ____________ № _________</w:t>
      </w:r>
    </w:p>
    <w:p w:rsidR="00A70608" w:rsidRDefault="00A70608">
      <w:pPr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A70608">
      <w:pPr>
        <w:autoSpaceDE w:val="0"/>
        <w:autoSpaceDN w:val="0"/>
        <w:adjustRightInd w:val="0"/>
        <w:outlineLvl w:val="0"/>
        <w:rPr>
          <w:rFonts w:cs="Times New Roman"/>
          <w:bCs/>
          <w:szCs w:val="28"/>
        </w:rPr>
      </w:pPr>
    </w:p>
    <w:p w:rsidR="00A70608" w:rsidRDefault="00B12B56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Положение </w:t>
      </w:r>
      <w:r>
        <w:rPr>
          <w:rFonts w:cs="Times New Roman"/>
          <w:bCs/>
          <w:szCs w:val="28"/>
        </w:rPr>
        <w:br/>
        <w:t xml:space="preserve">о координационном совете по рассмотрению уведомлений о проведении </w:t>
      </w:r>
    </w:p>
    <w:p w:rsidR="00A70608" w:rsidRDefault="00B12B56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публичных мероприятий на территории города Сургута (далее – положение)</w:t>
      </w:r>
    </w:p>
    <w:p w:rsidR="00A70608" w:rsidRDefault="00A70608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</w:p>
    <w:p w:rsidR="00A70608" w:rsidRDefault="00B12B5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Раздел I. Общие положения</w:t>
      </w:r>
    </w:p>
    <w:p w:rsidR="00A70608" w:rsidRDefault="00B12B56">
      <w:pPr>
        <w:tabs>
          <w:tab w:val="left" w:pos="567"/>
          <w:tab w:val="left" w:pos="709"/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1. Координационный </w:t>
      </w:r>
      <w:r>
        <w:rPr>
          <w:rFonts w:cs="Times New Roman"/>
          <w:szCs w:val="28"/>
        </w:rPr>
        <w:t>совет по рассмотрению уведомлений о проведении публичных мероприятий на территории города Сургута (далее – совет) является коллегиальным органом при Администрации города, созданным</w:t>
      </w:r>
      <w:bookmarkStart w:id="1" w:name="sub_1012"/>
      <w:bookmarkEnd w:id="0"/>
      <w:r>
        <w:rPr>
          <w:rFonts w:cs="Times New Roman"/>
          <w:szCs w:val="28"/>
        </w:rPr>
        <w:t xml:space="preserve"> в целях координации деятельности Администрации города при проведении собраний,                митингов, демонстраций, шествий и пикетирований (далее – публичные мероприятия) на территории города Сургута.</w:t>
      </w:r>
    </w:p>
    <w:p w:rsidR="00A70608" w:rsidRDefault="00B12B5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своей деятельности совет руководствуется Конституцией Российской </w:t>
      </w:r>
      <w:r>
        <w:rPr>
          <w:rFonts w:cs="Times New Roman"/>
          <w:spacing w:val="-4"/>
          <w:szCs w:val="28"/>
        </w:rPr>
        <w:t>Федерации, федеральными законами, актами Президента Российской Федерации</w:t>
      </w:r>
      <w:r>
        <w:rPr>
          <w:rFonts w:cs="Times New Roman"/>
          <w:szCs w:val="28"/>
        </w:rPr>
        <w:t xml:space="preserve"> и Правительства Российской Федерации, иными нормативными правовыми         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города, настоящим положением.</w:t>
      </w:r>
    </w:p>
    <w:p w:rsidR="00A70608" w:rsidRDefault="00A70608">
      <w:pPr>
        <w:ind w:firstLine="567"/>
        <w:jc w:val="both"/>
        <w:rPr>
          <w:rFonts w:cs="Times New Roman"/>
          <w:szCs w:val="28"/>
        </w:rPr>
      </w:pPr>
    </w:p>
    <w:p w:rsidR="00A70608" w:rsidRDefault="00B12B5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II. Функции совета</w:t>
      </w:r>
    </w:p>
    <w:p w:rsidR="00A70608" w:rsidRDefault="00B12B5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sub_3009"/>
      <w:bookmarkEnd w:id="1"/>
      <w:r>
        <w:rPr>
          <w:rFonts w:eastAsia="Calibri" w:cs="Times New Roman"/>
          <w:szCs w:val="28"/>
        </w:rPr>
        <w:t>Для реализации целей своего создания совет осуществляет следующие функции</w:t>
      </w:r>
      <w:r>
        <w:rPr>
          <w:rFonts w:eastAsia="Times New Roman" w:cs="Times New Roman"/>
          <w:szCs w:val="28"/>
          <w:lang w:eastAsia="ru-RU"/>
        </w:rPr>
        <w:t>: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 предложению членов совета рассматривает уведомления о проведении публичных мероприятий;</w:t>
      </w:r>
    </w:p>
    <w:bookmarkEnd w:id="2"/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- принимает решение о необходимости доведения до сведения организатора</w:t>
      </w:r>
      <w:r>
        <w:rPr>
          <w:rFonts w:eastAsia="Times New Roman" w:cs="Times New Roman"/>
          <w:szCs w:val="28"/>
          <w:lang w:eastAsia="ru-RU"/>
        </w:rPr>
        <w:t xml:space="preserve"> публичного мероприятия в установленные сроки обоснованного предложения об изменении места и (или) времени проведения публичного мероприятия,                 а также предложения об устранении организатором публичного мероприятия несоответствия указанных в уведомлении целей, форм и иных условий </w:t>
      </w:r>
      <w:r>
        <w:rPr>
          <w:rFonts w:eastAsia="Times New Roman" w:cs="Times New Roman"/>
          <w:spacing w:val="-4"/>
          <w:szCs w:val="28"/>
          <w:lang w:eastAsia="ru-RU"/>
        </w:rPr>
        <w:t xml:space="preserve">проведения публичного мероприятия требованиям </w:t>
      </w:r>
      <w:hyperlink r:id="rId7" w:history="1">
        <w:r>
          <w:rPr>
            <w:rFonts w:eastAsia="Times New Roman" w:cs="Times New Roman"/>
            <w:spacing w:val="-4"/>
            <w:szCs w:val="28"/>
            <w:lang w:eastAsia="ru-RU"/>
          </w:rPr>
          <w:t>Федерального закона</w:t>
        </w:r>
      </w:hyperlink>
      <w:r>
        <w:rPr>
          <w:rFonts w:eastAsia="Times New Roman" w:cs="Times New Roman"/>
          <w:spacing w:val="-4"/>
          <w:szCs w:val="28"/>
          <w:lang w:eastAsia="ru-RU"/>
        </w:rPr>
        <w:t xml:space="preserve"> от 19.06.2004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pacing w:val="-4"/>
          <w:szCs w:val="28"/>
          <w:lang w:eastAsia="ru-RU"/>
        </w:rPr>
        <w:t>№ 54-ФЗ «О собраниях, митингах, демонстрациях, шествиях и пикетированиях»;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принимает решение о необходимости назначения уполномоченного представителя Администрации города в целях оказания организатору публичного мероприятия содействия в его проведении;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2"/>
          <w:szCs w:val="28"/>
          <w:lang w:eastAsia="ru-RU"/>
        </w:rPr>
        <w:t xml:space="preserve">- принимает решение о необходимости доведения до сведения организатора </w:t>
      </w:r>
      <w:r>
        <w:rPr>
          <w:rFonts w:eastAsia="Times New Roman" w:cs="Times New Roman"/>
          <w:szCs w:val="28"/>
          <w:lang w:eastAsia="ru-RU"/>
        </w:rPr>
        <w:t xml:space="preserve">публичного мероприятия письменного мотивированного предупреждения                     о том, что организатор, а также иные участники публичного мероприятия                   </w:t>
      </w:r>
      <w:r>
        <w:rPr>
          <w:rFonts w:eastAsia="Times New Roman" w:cs="Times New Roman"/>
          <w:spacing w:val="-4"/>
          <w:szCs w:val="28"/>
          <w:lang w:eastAsia="ru-RU"/>
        </w:rPr>
        <w:t>в случае указанных в Федеральном законе от 19.06.2004 № 54-ФЗ «О собраниях,</w:t>
      </w:r>
      <w:r>
        <w:rPr>
          <w:rFonts w:eastAsia="Times New Roman" w:cs="Times New Roman"/>
          <w:szCs w:val="28"/>
          <w:lang w:eastAsia="ru-RU"/>
        </w:rPr>
        <w:t xml:space="preserve">                     митингах, демонстрациях, шествиях и пикетированиях» несоответствия                         и (или) нарушения при проведении такого мероприятия могут быть привлечены к ответственности в установленном порядке;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запрашивает от органов государственной власти, органов местного                   самоуправления, юридических и физических лиц информацию и документы, необходимые для осуществления функций совета;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sub_3010"/>
      <w:r>
        <w:rPr>
          <w:rFonts w:eastAsia="Times New Roman" w:cs="Times New Roman"/>
          <w:szCs w:val="28"/>
          <w:lang w:eastAsia="ru-RU"/>
        </w:rPr>
        <w:t>- взаимодействует с органами государственной власти, органами местного самоуправления, организациями и гражданами по вопросам, относящимся                   к его компетенции;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по предложению членов совета рассматривает иные вопросы, связанные                        с организацией и проведением публичных мероприятий, решение которых                 требует коллегиального подхода. </w:t>
      </w:r>
      <w:bookmarkEnd w:id="3"/>
    </w:p>
    <w:p w:rsidR="00A70608" w:rsidRDefault="00A7060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Раздел III. Порядок организации деятельности совета</w:t>
      </w:r>
    </w:p>
    <w:p w:rsidR="00A70608" w:rsidRDefault="00B12B5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В состав совета входят председатель, заместитель председателя, секретарь и члены совета.</w:t>
      </w:r>
    </w:p>
    <w:p w:rsidR="00A70608" w:rsidRDefault="00B12B5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Председатель совета руководит его деятельностью, председательствует на заседаниях совета. В случае отсутствия председателя совета его полномочия выполняет заместитель председателя совета.</w:t>
      </w:r>
    </w:p>
    <w:p w:rsidR="00A70608" w:rsidRDefault="00B12B5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Председатель совета: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- организует работу совета и обеспечивает своевременное решение вопросов,</w:t>
      </w:r>
      <w:r>
        <w:rPr>
          <w:rFonts w:eastAsia="Times New Roman" w:cs="Times New Roman"/>
          <w:szCs w:val="28"/>
          <w:lang w:eastAsia="ru-RU"/>
        </w:rPr>
        <w:t xml:space="preserve"> отнесенных к компетенции совета;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назначает дату, время, место проведения и повестку дня заседания совета;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подписывает протоколы заседаний совета и выписки из них; 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дает отдельные поручения, обязательные для исполнения, секретарю               и членам совета по вопросам деятельности совета;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принимает решение об участии в заседании совета представителей             органов государственной власти и местного самоуправления, представителей организаций и граждан;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ведет заседания совета.</w:t>
      </w:r>
    </w:p>
    <w:p w:rsidR="00A70608" w:rsidRDefault="00B12B5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Секретарь совета:</w:t>
      </w:r>
    </w:p>
    <w:p w:rsidR="00A70608" w:rsidRDefault="00B12B5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информационное и документационное обеспечение                    деятельности совета, в том числе хранение и учет уведомлений о проведении публичных мероприятий, материалов к уведомлениям и документов совета;</w:t>
      </w:r>
    </w:p>
    <w:p w:rsidR="00A70608" w:rsidRDefault="00B12B56">
      <w:pPr>
        <w:tabs>
          <w:tab w:val="left" w:pos="709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извещает членов совета о дате, времени, месте проведения и повестке              дня заседания совета, обеспечивает ознакомление членов совета с уведомлениями о проведении публичных мероприятий и материалами к уведомлениям;</w:t>
      </w:r>
    </w:p>
    <w:p w:rsidR="00A70608" w:rsidRDefault="00B12B56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направляет копии уведомлений о проведении публичных мероприятий                 в правоохранительные органы, органы государственной власти или местного самоуправления, организации.</w:t>
      </w:r>
    </w:p>
    <w:p w:rsidR="00A70608" w:rsidRDefault="00B12B56">
      <w:pPr>
        <w:tabs>
          <w:tab w:val="left" w:pos="709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решению председателя совета приглашает представителей органов          государственной власти и местного самоуправления, представителей органи-заций принять участие в заседании совета;</w:t>
      </w:r>
    </w:p>
    <w:p w:rsidR="00A70608" w:rsidRDefault="00B12B56">
      <w:pPr>
        <w:tabs>
          <w:tab w:val="left" w:pos="709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ведет и подписывает протокол заседания совета;</w:t>
      </w:r>
    </w:p>
    <w:p w:rsidR="00A70608" w:rsidRDefault="00B12B56">
      <w:pPr>
        <w:ind w:firstLine="567"/>
        <w:jc w:val="both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>- готовит и направляет в соответствии с принятым решением совета проект муниципального правового акта о назначении уполномоченного представителя Администрации города при его проведении, проекты предложений, адресо-ванных организаторам публичных мероприятий на основании принятых               решений совета, проекты писем, запросов органам государственной власти                 и местного самоуправления, организациям и гражданам;</w:t>
      </w:r>
    </w:p>
    <w:p w:rsidR="00A70608" w:rsidRDefault="00B12B5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выполняет иные поручения председателя совета.</w:t>
      </w:r>
    </w:p>
    <w:p w:rsidR="00A70608" w:rsidRDefault="00B12B5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Член совета:</w:t>
      </w:r>
    </w:p>
    <w:p w:rsidR="00A70608" w:rsidRDefault="00B12B5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знакомится с уведомлениями о проведении публичных мероприятий,               материалами к уведомлениям и документами совета;</w:t>
      </w:r>
    </w:p>
    <w:p w:rsidR="00A70608" w:rsidRDefault="00B12B5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участвует в рассмотрении уведомлений о проведении публичных мероприятий;</w:t>
      </w:r>
    </w:p>
    <w:p w:rsidR="00A70608" w:rsidRDefault="00B12B5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исполняет поручения председателя совета;</w:t>
      </w:r>
    </w:p>
    <w:p w:rsidR="00A70608" w:rsidRDefault="00B12B5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вносит предложения по вопросам деятельности совета.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" w:name="sub_1032"/>
      <w:r>
        <w:rPr>
          <w:rFonts w:eastAsia="Times New Roman" w:cs="Times New Roman"/>
          <w:szCs w:val="28"/>
          <w:lang w:eastAsia="ru-RU"/>
        </w:rPr>
        <w:t xml:space="preserve">6. Заседания совета проводятся по мере поступления уведомлений, в соответствии со сроками рассмотрения уведомлений о проведении публичных             мероприятий, установленными </w:t>
      </w:r>
      <w:hyperlink r:id="rId8" w:history="1">
        <w:r>
          <w:rPr>
            <w:rFonts w:eastAsia="Times New Roman" w:cs="Times New Roman"/>
            <w:szCs w:val="28"/>
            <w:lang w:eastAsia="ru-RU"/>
          </w:rPr>
          <w:t>Федеральным законом</w:t>
        </w:r>
      </w:hyperlink>
      <w:r>
        <w:rPr>
          <w:rFonts w:eastAsia="Times New Roman" w:cs="Times New Roman"/>
          <w:szCs w:val="28"/>
          <w:lang w:eastAsia="ru-RU"/>
        </w:rPr>
        <w:t xml:space="preserve"> от 19.06.2004 № 54-ФЗ «О собраниях, митингах, демонстрациях, шествиях и пикетированиях».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Заседание совета считается правомочным, если на нем присутствуют             не менее половины от общего числа членов совета.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Решение совета принимается простым большинством голосов присутствующих на заседании членов совета путем открытого голосования. При равенстве голосов решающим является голос председательствующего на заседании совета. 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 Члены совета обладают равными правами при обсуждении вопросов              и принятии решений. В случае несогласия с принятым решением каждый член вправе изложить письменно особое мнение, которое подлежит обязательному приобщению к протоколу.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10. Решение совета оформляется протоколом, который подписывается председательствующим на заседании и секретарем совета.</w:t>
      </w:r>
    </w:p>
    <w:p w:rsidR="00A70608" w:rsidRDefault="00B12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 Наряду с членами совета участие в его заседании могут принимать           лица, приглашенные для участия в обсуждении отдельных вопросов повестки дня. </w:t>
      </w:r>
    </w:p>
    <w:bookmarkEnd w:id="4"/>
    <w:p w:rsidR="00A70608" w:rsidRDefault="00A70608">
      <w:pPr>
        <w:ind w:firstLine="567"/>
        <w:jc w:val="both"/>
        <w:rPr>
          <w:rFonts w:cs="Times New Roman"/>
          <w:szCs w:val="28"/>
        </w:rPr>
      </w:pPr>
    </w:p>
    <w:p w:rsidR="00A70608" w:rsidRDefault="00A70608">
      <w:pPr>
        <w:ind w:firstLine="567"/>
        <w:jc w:val="both"/>
        <w:rPr>
          <w:szCs w:val="28"/>
        </w:rPr>
      </w:pPr>
    </w:p>
    <w:sectPr w:rsidR="00A70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B9" w:rsidRDefault="006951B9">
      <w:r>
        <w:separator/>
      </w:r>
    </w:p>
  </w:endnote>
  <w:endnote w:type="continuationSeparator" w:id="0">
    <w:p w:rsidR="006951B9" w:rsidRDefault="0069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B9" w:rsidRDefault="006951B9">
      <w:r>
        <w:separator/>
      </w:r>
    </w:p>
  </w:footnote>
  <w:footnote w:type="continuationSeparator" w:id="0">
    <w:p w:rsidR="006951B9" w:rsidRDefault="0069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93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0608" w:rsidRDefault="00B12B56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4950F4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A70608" w:rsidRDefault="00A706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608"/>
    <w:rsid w:val="004778F6"/>
    <w:rsid w:val="004950F4"/>
    <w:rsid w:val="0066130B"/>
    <w:rsid w:val="006951B9"/>
    <w:rsid w:val="00A70608"/>
    <w:rsid w:val="00B1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9989CB"/>
  <w15:docId w15:val="{EAD1D7C6-6920-4CE1-98AD-50AAF390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583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583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2017-05-19T11:18:00Z</cp:lastPrinted>
  <dcterms:created xsi:type="dcterms:W3CDTF">2017-05-23T11:52:00Z</dcterms:created>
  <dcterms:modified xsi:type="dcterms:W3CDTF">2017-05-23T11:52:00Z</dcterms:modified>
</cp:coreProperties>
</file>