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0A34" w:rsidRDefault="00340A34" w:rsidP="009B639D">
      <w:pPr>
        <w:ind w:firstLine="708"/>
        <w:jc w:val="center"/>
        <w:rPr>
          <w:b/>
          <w:sz w:val="28"/>
          <w:szCs w:val="28"/>
        </w:rPr>
      </w:pPr>
    </w:p>
    <w:p w:rsidR="009B639D" w:rsidRPr="009B639D" w:rsidRDefault="009B639D" w:rsidP="009B639D">
      <w:pPr>
        <w:ind w:firstLine="708"/>
        <w:jc w:val="center"/>
        <w:rPr>
          <w:b/>
          <w:sz w:val="28"/>
          <w:szCs w:val="28"/>
        </w:rPr>
      </w:pPr>
      <w:bookmarkStart w:id="0" w:name="_GoBack"/>
      <w:bookmarkEnd w:id="0"/>
      <w:r w:rsidRPr="009B639D">
        <w:rPr>
          <w:b/>
          <w:sz w:val="28"/>
          <w:szCs w:val="28"/>
        </w:rPr>
        <w:t>Тезисы к докладу В.П. Засыпкина</w:t>
      </w:r>
      <w:r>
        <w:rPr>
          <w:b/>
          <w:sz w:val="28"/>
          <w:szCs w:val="28"/>
        </w:rPr>
        <w:t xml:space="preserve"> (СурГПУ)</w:t>
      </w:r>
    </w:p>
    <w:p w:rsidR="009B639D" w:rsidRDefault="009B639D" w:rsidP="009B639D">
      <w:pPr>
        <w:ind w:firstLine="708"/>
        <w:jc w:val="both"/>
        <w:rPr>
          <w:sz w:val="28"/>
          <w:szCs w:val="28"/>
        </w:rPr>
      </w:pPr>
    </w:p>
    <w:p w:rsidR="009B639D" w:rsidRDefault="009B639D" w:rsidP="009B639D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 01.09.2014 г. в СурГПУ осуществляется программа «Я – Сургут – Югра – Россия» направленная на </w:t>
      </w:r>
      <w:r>
        <w:rPr>
          <w:bCs/>
          <w:sz w:val="28"/>
          <w:szCs w:val="28"/>
        </w:rPr>
        <w:t>«Патриотическое и духовно-нравственное воспитание»</w:t>
      </w:r>
      <w:r>
        <w:rPr>
          <w:sz w:val="28"/>
          <w:szCs w:val="28"/>
        </w:rPr>
        <w:t xml:space="preserve">. Формирование коммуникативной, социально-психологической, социально-правовой, информационной и социально-личностной компетенций у обучающихся  осуществляется  через  изучение различных дисциплин вариативной части учебного плана, а именно: Современная политическая карта мира; Ценностные ориентиры современной молодежи; Молодежные </w:t>
      </w:r>
      <w:proofErr w:type="gramStart"/>
      <w:r>
        <w:rPr>
          <w:sz w:val="28"/>
          <w:szCs w:val="28"/>
        </w:rPr>
        <w:t>интернет-сообщества</w:t>
      </w:r>
      <w:proofErr w:type="gramEnd"/>
      <w:r>
        <w:rPr>
          <w:sz w:val="28"/>
          <w:szCs w:val="28"/>
        </w:rPr>
        <w:t>; Терроризм: история и современность; Информационная безопасность; Профилактическая работа в молодежной среде; Безопасность поведения в экстремальных ситуациях; Противодействие идеологии терроризма в социальных  сетях и др.</w:t>
      </w:r>
    </w:p>
    <w:p w:rsidR="009B639D" w:rsidRDefault="009B639D" w:rsidP="009B63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Кроме того, на постоянной основе преподавателями вуза проводятся открытые занятия профилактической направленности: «Сепаратизм в России и мире», «Культурное многообразие в условиях глобализации», «Коран как исторический источник» и др. </w:t>
      </w:r>
    </w:p>
    <w:p w:rsidR="009B639D" w:rsidRDefault="009B639D" w:rsidP="009B639D">
      <w:pPr>
        <w:ind w:firstLine="709"/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 xml:space="preserve">В вузе для студентов организованы и регулярно проводятся политинформации на темы: «Проблемы национальной безопасности», «Россия в современной политической ситуации», действуют студенческие проблемные группы: «Феномен девиации в молодежной среде», «Ценности современной молодежи», кураторские часы и </w:t>
      </w:r>
      <w:proofErr w:type="spellStart"/>
      <w:r>
        <w:rPr>
          <w:iCs/>
          <w:sz w:val="28"/>
          <w:szCs w:val="28"/>
        </w:rPr>
        <w:t>квесты</w:t>
      </w:r>
      <w:proofErr w:type="spellEnd"/>
      <w:r>
        <w:rPr>
          <w:sz w:val="28"/>
          <w:szCs w:val="28"/>
        </w:rPr>
        <w:t xml:space="preserve"> гражданско-патриотической направленности.</w:t>
      </w:r>
    </w:p>
    <w:p w:rsidR="009B639D" w:rsidRDefault="009B639D" w:rsidP="009B639D">
      <w:pPr>
        <w:ind w:firstLine="709"/>
        <w:jc w:val="both"/>
        <w:rPr>
          <w:rFonts w:eastAsia="TimesNewRomanPSMT"/>
          <w:sz w:val="28"/>
          <w:szCs w:val="28"/>
        </w:rPr>
      </w:pPr>
      <w:r>
        <w:rPr>
          <w:iCs/>
          <w:sz w:val="28"/>
          <w:szCs w:val="28"/>
        </w:rPr>
        <w:t xml:space="preserve">В 2016 году началась работа в рамках общеуниверситетского образовательно-просветительского проекта «Студенческий экспертный центр». </w:t>
      </w:r>
      <w:r>
        <w:rPr>
          <w:sz w:val="28"/>
          <w:szCs w:val="28"/>
        </w:rPr>
        <w:t xml:space="preserve">Цель проекта: создание студенческого </w:t>
      </w:r>
      <w:r>
        <w:rPr>
          <w:rFonts w:eastAsia="TimesNewRomanPSMT"/>
          <w:sz w:val="28"/>
          <w:szCs w:val="28"/>
        </w:rPr>
        <w:t xml:space="preserve">общественно-экспертного сообщества </w:t>
      </w:r>
      <w:r>
        <w:rPr>
          <w:sz w:val="28"/>
          <w:szCs w:val="28"/>
        </w:rPr>
        <w:t xml:space="preserve">для профилактики экстремизма в молодёжной среде; формирования активной гражданской позиции студентов; ответственного поведения; навыков решения социальных проблем. В качестве воспитательного и педагогического результата проекта мы ставим </w:t>
      </w:r>
      <w:r>
        <w:rPr>
          <w:rFonts w:eastAsia="TimesNewRomanPSMT"/>
          <w:sz w:val="28"/>
          <w:szCs w:val="28"/>
        </w:rPr>
        <w:t>приобретение студентами необходимых компетенций и активной гражданской позиции для выявления материалов с признаками экстремизма в открытых социальных студенческих интернет сообществах.</w:t>
      </w:r>
    </w:p>
    <w:p w:rsidR="009B639D" w:rsidRDefault="009B639D" w:rsidP="009B639D">
      <w:pPr>
        <w:jc w:val="both"/>
        <w:rPr>
          <w:iCs/>
          <w:sz w:val="28"/>
          <w:szCs w:val="28"/>
        </w:rPr>
      </w:pPr>
      <w:r>
        <w:rPr>
          <w:iCs/>
          <w:sz w:val="28"/>
          <w:szCs w:val="28"/>
        </w:rPr>
        <w:tab/>
        <w:t xml:space="preserve">В СурГПУ в рамках организуемых воспитательных мероприятий осуществляется  взаимодействие с различными национальными общественными объединениями: татар, башкир, азербайджанцев, украинцев. Студенты СурГПУ в качестве волонтёров в составе волонтерских отрядов, а также инициативно, принимают </w:t>
      </w:r>
      <w:proofErr w:type="spellStart"/>
      <w:r>
        <w:rPr>
          <w:iCs/>
          <w:sz w:val="28"/>
          <w:szCs w:val="28"/>
        </w:rPr>
        <w:t>деятельностное</w:t>
      </w:r>
      <w:proofErr w:type="spellEnd"/>
      <w:r>
        <w:rPr>
          <w:iCs/>
          <w:sz w:val="28"/>
          <w:szCs w:val="28"/>
        </w:rPr>
        <w:t xml:space="preserve"> участие и оказывают помощь в организации различных мероприятий, организуемых и проводимых самими национальными объединениями.</w:t>
      </w:r>
    </w:p>
    <w:p w:rsidR="009B639D" w:rsidRDefault="009B639D" w:rsidP="009B6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Ежегодно студенты и преподаватели СурГПУ принимают участие в Окружном молодежном фестивале национальных культур «</w:t>
      </w:r>
      <w:proofErr w:type="gramStart"/>
      <w:r>
        <w:rPr>
          <w:sz w:val="28"/>
          <w:szCs w:val="28"/>
        </w:rPr>
        <w:t>Мы-единый</w:t>
      </w:r>
      <w:proofErr w:type="gramEnd"/>
      <w:r>
        <w:rPr>
          <w:sz w:val="28"/>
          <w:szCs w:val="28"/>
        </w:rPr>
        <w:t xml:space="preserve"> народ!» с целью Обеспечения межнационального согласия, гражданского единства и профилактике экстремизма среди молодежи.</w:t>
      </w:r>
    </w:p>
    <w:p w:rsidR="009B639D" w:rsidRDefault="009B639D" w:rsidP="009B639D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 xml:space="preserve">В вузе реализуется проектная деятельность при совместной работе ППС и студентов, такие проекты, как: </w:t>
      </w:r>
    </w:p>
    <w:p w:rsidR="009B639D" w:rsidRDefault="009B639D" w:rsidP="009B639D">
      <w:pPr>
        <w:numPr>
          <w:ilvl w:val="0"/>
          <w:numId w:val="1"/>
        </w:numPr>
        <w:tabs>
          <w:tab w:val="num" w:pos="540"/>
        </w:tabs>
        <w:spacing w:before="100" w:beforeAutospacing="1" w:after="100" w:afterAutospacing="1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>«</w:t>
      </w:r>
      <w:proofErr w:type="gramStart"/>
      <w:r>
        <w:rPr>
          <w:sz w:val="28"/>
          <w:szCs w:val="28"/>
        </w:rPr>
        <w:t>Я-нужен</w:t>
      </w:r>
      <w:proofErr w:type="gramEnd"/>
      <w:r>
        <w:rPr>
          <w:sz w:val="28"/>
          <w:szCs w:val="28"/>
        </w:rPr>
        <w:t xml:space="preserve"> России»</w:t>
      </w:r>
      <w:r>
        <w:rPr>
          <w:bCs/>
          <w:sz w:val="28"/>
          <w:szCs w:val="28"/>
        </w:rPr>
        <w:t xml:space="preserve"> в направлении «Патриотическое и духовно-нравственное воспитание» (факультет социально-культурных коммуникаций); </w:t>
      </w:r>
    </w:p>
    <w:p w:rsidR="009B639D" w:rsidRDefault="009B639D" w:rsidP="009B639D">
      <w:pPr>
        <w:numPr>
          <w:ilvl w:val="0"/>
          <w:numId w:val="1"/>
        </w:numPr>
        <w:tabs>
          <w:tab w:val="num" w:pos="540"/>
        </w:tabs>
        <w:spacing w:before="100" w:beforeAutospacing="1" w:after="100" w:afterAutospacing="1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«Моя малая родина – Югра» в направлении </w:t>
      </w:r>
      <w:r>
        <w:rPr>
          <w:bCs/>
          <w:sz w:val="28"/>
          <w:szCs w:val="28"/>
        </w:rPr>
        <w:t xml:space="preserve">«Наследие Югры» (факультет социально-культурных коммуникаций);  </w:t>
      </w:r>
    </w:p>
    <w:p w:rsidR="009B639D" w:rsidRDefault="009B639D" w:rsidP="009B639D">
      <w:pPr>
        <w:numPr>
          <w:ilvl w:val="0"/>
          <w:numId w:val="1"/>
        </w:numPr>
        <w:tabs>
          <w:tab w:val="num" w:pos="540"/>
        </w:tabs>
        <w:spacing w:before="100" w:beforeAutospacing="1" w:after="100" w:afterAutospacing="1"/>
        <w:ind w:left="0" w:firstLine="0"/>
        <w:jc w:val="both"/>
        <w:rPr>
          <w:bCs/>
          <w:sz w:val="28"/>
          <w:szCs w:val="28"/>
        </w:rPr>
      </w:pPr>
      <w:r>
        <w:rPr>
          <w:sz w:val="28"/>
          <w:szCs w:val="28"/>
        </w:rPr>
        <w:t xml:space="preserve">«Национальный колорит» в направлении </w:t>
      </w:r>
      <w:r>
        <w:rPr>
          <w:bCs/>
          <w:sz w:val="28"/>
          <w:szCs w:val="28"/>
        </w:rPr>
        <w:t xml:space="preserve">«Противодействие экстремизму и развитие межнациональных отношений», «Творчество» (факультет социально-культурных коммуникаций);  </w:t>
      </w:r>
    </w:p>
    <w:p w:rsidR="009B639D" w:rsidRDefault="009B639D" w:rsidP="009B639D">
      <w:pPr>
        <w:numPr>
          <w:ilvl w:val="0"/>
          <w:numId w:val="1"/>
        </w:numPr>
        <w:tabs>
          <w:tab w:val="num" w:pos="54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Формирование архивных фондов личного происхождения представителей высшей школы СурГПУ» в направлении </w:t>
      </w:r>
      <w:r>
        <w:rPr>
          <w:bCs/>
          <w:sz w:val="28"/>
          <w:szCs w:val="28"/>
        </w:rPr>
        <w:t>«Патриотическое и духовно-нравственное воспитание»,  «Международное и межрегиональное сотрудничество» (социально-гуманитарный факультет)</w:t>
      </w:r>
      <w:r>
        <w:rPr>
          <w:sz w:val="28"/>
          <w:szCs w:val="28"/>
        </w:rPr>
        <w:t xml:space="preserve">; </w:t>
      </w:r>
    </w:p>
    <w:p w:rsidR="009B639D" w:rsidRDefault="009B639D" w:rsidP="009B639D">
      <w:pPr>
        <w:numPr>
          <w:ilvl w:val="0"/>
          <w:numId w:val="1"/>
        </w:numPr>
        <w:tabs>
          <w:tab w:val="num" w:pos="54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Историко-политический клуб «Наша Эра» в направлении </w:t>
      </w:r>
      <w:r>
        <w:rPr>
          <w:bCs/>
          <w:sz w:val="28"/>
          <w:szCs w:val="28"/>
        </w:rPr>
        <w:t>«Патриотическое и духовно-нравственное воспитание» (социально-гуманитарный факультет)</w:t>
      </w:r>
      <w:r>
        <w:rPr>
          <w:sz w:val="28"/>
          <w:szCs w:val="28"/>
        </w:rPr>
        <w:t>;</w:t>
      </w:r>
    </w:p>
    <w:p w:rsidR="009B639D" w:rsidRDefault="009B639D" w:rsidP="009B639D">
      <w:pPr>
        <w:numPr>
          <w:ilvl w:val="0"/>
          <w:numId w:val="1"/>
        </w:numPr>
        <w:tabs>
          <w:tab w:val="num" w:pos="540"/>
        </w:tabs>
        <w:spacing w:before="100" w:beforeAutospacing="1" w:after="100" w:afterAutospacing="1"/>
        <w:ind w:left="0" w:firstLine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«Лаборатория исследования межнациональных отношений» в направлении </w:t>
      </w:r>
      <w:r>
        <w:rPr>
          <w:bCs/>
          <w:sz w:val="28"/>
          <w:szCs w:val="28"/>
        </w:rPr>
        <w:t>«Противодействие экстремизму и развитие межнациональных отношений» (социально-гуманитарный факультет)</w:t>
      </w:r>
      <w:r>
        <w:rPr>
          <w:sz w:val="28"/>
          <w:szCs w:val="28"/>
        </w:rPr>
        <w:t xml:space="preserve">; </w:t>
      </w:r>
    </w:p>
    <w:p w:rsidR="009B639D" w:rsidRDefault="009B639D" w:rsidP="009B639D">
      <w:pPr>
        <w:numPr>
          <w:ilvl w:val="0"/>
          <w:numId w:val="1"/>
        </w:numPr>
        <w:tabs>
          <w:tab w:val="num" w:pos="0"/>
        </w:tabs>
        <w:spacing w:before="100" w:beforeAutospacing="1" w:after="100" w:afterAutospacing="1"/>
        <w:ind w:left="0" w:firstLine="0"/>
        <w:jc w:val="both"/>
      </w:pPr>
      <w:r>
        <w:rPr>
          <w:bCs/>
          <w:sz w:val="28"/>
          <w:szCs w:val="28"/>
        </w:rPr>
        <w:t>«</w:t>
      </w:r>
      <w:r>
        <w:rPr>
          <w:sz w:val="28"/>
          <w:szCs w:val="28"/>
        </w:rPr>
        <w:t xml:space="preserve">Студенческий экспертный центр» в направлении </w:t>
      </w:r>
      <w:r>
        <w:rPr>
          <w:bCs/>
          <w:sz w:val="28"/>
          <w:szCs w:val="28"/>
        </w:rPr>
        <w:t>«Противодействие экстремизму и развитие межнациональных отношений» (факультет управления). Также, реализуются проекты по другим направлениям.</w:t>
      </w:r>
    </w:p>
    <w:p w:rsidR="009B639D" w:rsidRDefault="009B639D" w:rsidP="009B639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На официальном сайте СурГПУ размещен активный баннер (</w:t>
      </w:r>
      <w:hyperlink r:id="rId6" w:history="1">
        <w:r>
          <w:rPr>
            <w:rStyle w:val="a3"/>
            <w:sz w:val="28"/>
            <w:szCs w:val="28"/>
          </w:rPr>
          <w:t>http://www.surgpu.ru/protivodejstvie-terrorizmu-i-ekstremizmu/</w:t>
        </w:r>
      </w:hyperlink>
      <w:r>
        <w:rPr>
          <w:sz w:val="28"/>
          <w:szCs w:val="28"/>
        </w:rPr>
        <w:t>) со ссылками на сайты, порталы, содержащие информационно-аналитическую информацию по профилактике экстремизма в молодежной среде. Перечень сайтов антитеррористической направленности представлен в Приложении 1. Информационно-методические материалы представлены в Приложении 2.</w:t>
      </w:r>
    </w:p>
    <w:p w:rsidR="00841215" w:rsidRDefault="00841215"/>
    <w:sectPr w:rsidR="0084121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NewRomanPSMT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357B5C"/>
    <w:multiLevelType w:val="hybridMultilevel"/>
    <w:tmpl w:val="8C306FAE"/>
    <w:lvl w:ilvl="0" w:tplc="595691D6">
      <w:start w:val="1"/>
      <w:numFmt w:val="bullet"/>
      <w:lvlText w:val=""/>
      <w:lvlJc w:val="left"/>
      <w:pPr>
        <w:tabs>
          <w:tab w:val="num" w:pos="1425"/>
        </w:tabs>
        <w:ind w:left="142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639D"/>
    <w:rsid w:val="00340A34"/>
    <w:rsid w:val="00841215"/>
    <w:rsid w:val="009B63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639D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639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9B639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3019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urgpu.ru/protivodejstvie-terrorizmu-i-ekstremizm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651</Words>
  <Characters>3716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Zasypkin</dc:creator>
  <cp:lastModifiedBy>Калашникова Наталия Владимировна</cp:lastModifiedBy>
  <cp:revision>2</cp:revision>
  <dcterms:created xsi:type="dcterms:W3CDTF">2017-03-06T06:32:00Z</dcterms:created>
  <dcterms:modified xsi:type="dcterms:W3CDTF">2017-03-17T06:23:00Z</dcterms:modified>
</cp:coreProperties>
</file>