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E1" w:rsidRPr="00715DA4" w:rsidRDefault="003B76E1" w:rsidP="003B76E1">
      <w:pPr>
        <w:widowControl w:val="0"/>
        <w:ind w:left="6413"/>
        <w:rPr>
          <w:rFonts w:eastAsia="Times New Roman" w:cs="Times New Roman"/>
          <w:sz w:val="24"/>
        </w:rPr>
      </w:pPr>
      <w:r w:rsidRPr="00715DA4">
        <w:rPr>
          <w:rFonts w:eastAsia="Times New Roman" w:cs="Times New Roman"/>
          <w:sz w:val="24"/>
        </w:rPr>
        <w:t>Проект</w:t>
      </w:r>
    </w:p>
    <w:p w:rsidR="003B76E1" w:rsidRPr="00715DA4" w:rsidRDefault="003B76E1" w:rsidP="003B76E1">
      <w:pPr>
        <w:widowControl w:val="0"/>
        <w:ind w:left="6413"/>
        <w:rPr>
          <w:rFonts w:eastAsia="Times New Roman" w:cs="Times New Roman"/>
          <w:sz w:val="24"/>
        </w:rPr>
      </w:pPr>
    </w:p>
    <w:p w:rsidR="003B76E1" w:rsidRPr="00715DA4" w:rsidRDefault="003B76E1" w:rsidP="003B76E1">
      <w:pPr>
        <w:widowControl w:val="0"/>
        <w:ind w:left="6413"/>
        <w:rPr>
          <w:rFonts w:eastAsia="Times New Roman" w:cs="Times New Roman"/>
          <w:sz w:val="24"/>
        </w:rPr>
      </w:pPr>
      <w:r w:rsidRPr="00715DA4">
        <w:rPr>
          <w:rFonts w:eastAsia="Times New Roman" w:cs="Times New Roman"/>
          <w:sz w:val="24"/>
        </w:rPr>
        <w:t>подготовлен отделом</w:t>
      </w:r>
    </w:p>
    <w:p w:rsidR="003B76E1" w:rsidRPr="00715DA4" w:rsidRDefault="003B76E1" w:rsidP="003B76E1">
      <w:pPr>
        <w:widowControl w:val="0"/>
        <w:ind w:left="6413"/>
        <w:rPr>
          <w:rFonts w:eastAsia="Times New Roman" w:cs="Times New Roman"/>
          <w:sz w:val="24"/>
        </w:rPr>
      </w:pPr>
      <w:r w:rsidRPr="00715DA4">
        <w:rPr>
          <w:rFonts w:eastAsia="Times New Roman" w:cs="Times New Roman"/>
          <w:sz w:val="24"/>
        </w:rPr>
        <w:t>социально-экономического</w:t>
      </w:r>
    </w:p>
    <w:p w:rsidR="003B76E1" w:rsidRPr="00715DA4" w:rsidRDefault="003B76E1" w:rsidP="003B76E1">
      <w:pPr>
        <w:widowControl w:val="0"/>
        <w:ind w:left="6413"/>
        <w:rPr>
          <w:rFonts w:eastAsia="Times New Roman" w:cs="Times New Roman"/>
          <w:sz w:val="24"/>
        </w:rPr>
      </w:pPr>
      <w:r w:rsidRPr="00715DA4">
        <w:rPr>
          <w:rFonts w:eastAsia="Times New Roman" w:cs="Times New Roman"/>
          <w:sz w:val="24"/>
        </w:rPr>
        <w:t>прогнозирования</w:t>
      </w:r>
    </w:p>
    <w:p w:rsidR="003B76E1" w:rsidRPr="00715DA4" w:rsidRDefault="003B76E1" w:rsidP="003B76E1">
      <w:pPr>
        <w:widowControl w:val="0"/>
        <w:jc w:val="right"/>
        <w:rPr>
          <w:rFonts w:eastAsia="Times New Roman" w:cs="Times New Roman"/>
        </w:rPr>
      </w:pPr>
    </w:p>
    <w:p w:rsidR="003B76E1" w:rsidRPr="00715DA4" w:rsidRDefault="003B76E1" w:rsidP="003B76E1">
      <w:pPr>
        <w:jc w:val="center"/>
        <w:rPr>
          <w:rFonts w:eastAsia="Times New Roman" w:cs="Times New Roman"/>
        </w:rPr>
      </w:pPr>
      <w:r w:rsidRPr="00715DA4">
        <w:rPr>
          <w:rFonts w:eastAsia="Times New Roman" w:cs="Times New Roman"/>
        </w:rPr>
        <w:t>МУНИЦИПАЛЬНОЕ ОБРАЗОВАНИЕ</w:t>
      </w:r>
    </w:p>
    <w:p w:rsidR="003B76E1" w:rsidRPr="00715DA4" w:rsidRDefault="003B76E1" w:rsidP="003B76E1">
      <w:pPr>
        <w:jc w:val="center"/>
        <w:rPr>
          <w:rFonts w:eastAsia="Times New Roman" w:cs="Times New Roman"/>
        </w:rPr>
      </w:pPr>
      <w:r w:rsidRPr="00715DA4">
        <w:rPr>
          <w:rFonts w:eastAsia="Times New Roman" w:cs="Times New Roman"/>
        </w:rPr>
        <w:t>ГОРОДСКОЙ ОКРУГ СУРГУТ</w:t>
      </w:r>
    </w:p>
    <w:p w:rsidR="003B76E1" w:rsidRPr="00715DA4" w:rsidRDefault="003B76E1" w:rsidP="003B76E1">
      <w:pPr>
        <w:spacing w:line="120" w:lineRule="atLeast"/>
        <w:jc w:val="center"/>
        <w:rPr>
          <w:szCs w:val="28"/>
        </w:rPr>
      </w:pPr>
      <w:r w:rsidRPr="00715DA4">
        <w:rPr>
          <w:szCs w:val="28"/>
        </w:rPr>
        <w:t>ХАНТЫ-МАНСИЙСКОГО АВТОНОМНОГО ОКРУГА – ЮГРЫ</w:t>
      </w:r>
    </w:p>
    <w:p w:rsidR="003B76E1" w:rsidRPr="00715DA4" w:rsidRDefault="003B76E1" w:rsidP="003B76E1">
      <w:pPr>
        <w:rPr>
          <w:rFonts w:ascii="Arial" w:eastAsia="Arial" w:hAnsi="Arial" w:cs="Arial"/>
          <w:szCs w:val="28"/>
        </w:rPr>
      </w:pPr>
    </w:p>
    <w:p w:rsidR="003B76E1" w:rsidRPr="00715DA4" w:rsidRDefault="003B76E1" w:rsidP="003B76E1">
      <w:pPr>
        <w:jc w:val="center"/>
        <w:rPr>
          <w:rFonts w:eastAsia="Times New Roman" w:cs="Times New Roman"/>
        </w:rPr>
      </w:pPr>
      <w:r w:rsidRPr="00715DA4">
        <w:rPr>
          <w:rFonts w:eastAsia="Times New Roman" w:cs="Times New Roman"/>
        </w:rPr>
        <w:t>АДМИНИСТРАЦИЯ ГОРОДА</w:t>
      </w:r>
    </w:p>
    <w:p w:rsidR="003B76E1" w:rsidRPr="00715DA4" w:rsidRDefault="003B76E1" w:rsidP="003B76E1">
      <w:pPr>
        <w:jc w:val="center"/>
        <w:rPr>
          <w:rFonts w:eastAsia="Times New Roman" w:cs="Times New Roman"/>
        </w:rPr>
      </w:pPr>
    </w:p>
    <w:p w:rsidR="003B76E1" w:rsidRPr="00715DA4" w:rsidRDefault="003B76E1" w:rsidP="003B76E1">
      <w:pPr>
        <w:spacing w:line="120" w:lineRule="atLeast"/>
        <w:jc w:val="center"/>
        <w:rPr>
          <w:szCs w:val="28"/>
        </w:rPr>
      </w:pPr>
      <w:r w:rsidRPr="00715DA4">
        <w:rPr>
          <w:szCs w:val="28"/>
        </w:rPr>
        <w:t>ПОСТАНОВЛЕНИЕ</w:t>
      </w:r>
    </w:p>
    <w:p w:rsidR="003B76E1" w:rsidRPr="00715DA4" w:rsidRDefault="003B76E1" w:rsidP="003B76E1">
      <w:pPr>
        <w:spacing w:line="120" w:lineRule="atLeast"/>
        <w:jc w:val="center"/>
        <w:rPr>
          <w:szCs w:val="28"/>
        </w:rPr>
      </w:pPr>
    </w:p>
    <w:p w:rsidR="003B76E1" w:rsidRPr="00715DA4" w:rsidRDefault="003B76E1" w:rsidP="003B76E1">
      <w:pPr>
        <w:spacing w:line="120" w:lineRule="atLeast"/>
        <w:jc w:val="center"/>
        <w:rPr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245"/>
        <w:gridCol w:w="4786"/>
      </w:tblGrid>
      <w:tr w:rsidR="003B76E1" w:rsidRPr="00715DA4" w:rsidTr="000503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76E1" w:rsidRPr="00715DA4" w:rsidRDefault="003B76E1" w:rsidP="000503D1">
            <w:pPr>
              <w:rPr>
                <w:szCs w:val="28"/>
              </w:rPr>
            </w:pPr>
            <w:r w:rsidRPr="00715DA4">
              <w:rPr>
                <w:szCs w:val="28"/>
              </w:rPr>
              <w:t>О внесении изменений</w:t>
            </w:r>
          </w:p>
          <w:p w:rsidR="003B76E1" w:rsidRPr="00715DA4" w:rsidRDefault="003B76E1" w:rsidP="000503D1">
            <w:pPr>
              <w:rPr>
                <w:szCs w:val="28"/>
              </w:rPr>
            </w:pPr>
            <w:r w:rsidRPr="00715DA4">
              <w:rPr>
                <w:szCs w:val="28"/>
              </w:rPr>
              <w:t xml:space="preserve">в постановление Администрации города </w:t>
            </w:r>
          </w:p>
          <w:p w:rsidR="003B76E1" w:rsidRPr="00715DA4" w:rsidRDefault="003B76E1" w:rsidP="000503D1">
            <w:pPr>
              <w:rPr>
                <w:szCs w:val="28"/>
              </w:rPr>
            </w:pPr>
            <w:r w:rsidRPr="00715DA4">
              <w:rPr>
                <w:szCs w:val="28"/>
              </w:rPr>
              <w:t xml:space="preserve">от 10.09.2018 № 6918 </w:t>
            </w:r>
            <w:r w:rsidRPr="00715DA4">
              <w:rPr>
                <w:spacing w:val="-6"/>
                <w:szCs w:val="28"/>
              </w:rPr>
              <w:t>«</w:t>
            </w:r>
            <w:r w:rsidRPr="00715DA4">
              <w:rPr>
                <w:szCs w:val="28"/>
              </w:rPr>
              <w:t xml:space="preserve">О прогнозе </w:t>
            </w:r>
          </w:p>
          <w:p w:rsidR="003B76E1" w:rsidRPr="00715DA4" w:rsidRDefault="003B76E1" w:rsidP="000503D1">
            <w:pPr>
              <w:rPr>
                <w:szCs w:val="28"/>
              </w:rPr>
            </w:pPr>
            <w:r w:rsidRPr="00715DA4">
              <w:rPr>
                <w:szCs w:val="28"/>
              </w:rPr>
              <w:t xml:space="preserve">социально-экономического развития </w:t>
            </w:r>
          </w:p>
          <w:p w:rsidR="003B76E1" w:rsidRPr="00715DA4" w:rsidRDefault="003B76E1" w:rsidP="000503D1">
            <w:pPr>
              <w:rPr>
                <w:szCs w:val="28"/>
              </w:rPr>
            </w:pPr>
            <w:r w:rsidRPr="00715DA4">
              <w:rPr>
                <w:szCs w:val="28"/>
              </w:rPr>
              <w:t xml:space="preserve">муниципального образования </w:t>
            </w:r>
          </w:p>
          <w:p w:rsidR="003B76E1" w:rsidRPr="00715DA4" w:rsidRDefault="003B76E1" w:rsidP="000503D1">
            <w:pPr>
              <w:rPr>
                <w:szCs w:val="28"/>
              </w:rPr>
            </w:pPr>
            <w:r w:rsidRPr="00715DA4">
              <w:rPr>
                <w:szCs w:val="28"/>
              </w:rPr>
              <w:t xml:space="preserve">городской округ город Сургут </w:t>
            </w:r>
          </w:p>
          <w:p w:rsidR="003B76E1" w:rsidRPr="00715DA4" w:rsidRDefault="003B76E1" w:rsidP="000503D1">
            <w:pPr>
              <w:rPr>
                <w:szCs w:val="28"/>
              </w:rPr>
            </w:pPr>
            <w:r w:rsidRPr="00715DA4">
              <w:rPr>
                <w:szCs w:val="28"/>
              </w:rPr>
              <w:t>на период до 2030 года»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76E1" w:rsidRPr="00715DA4" w:rsidRDefault="003B76E1" w:rsidP="000503D1">
            <w:pPr>
              <w:rPr>
                <w:szCs w:val="28"/>
              </w:rPr>
            </w:pPr>
          </w:p>
        </w:tc>
      </w:tr>
    </w:tbl>
    <w:p w:rsidR="003B76E1" w:rsidRPr="00715DA4" w:rsidRDefault="003B76E1" w:rsidP="003B76E1">
      <w:pPr>
        <w:pStyle w:val="1"/>
        <w:spacing w:before="0"/>
        <w:jc w:val="both"/>
        <w:rPr>
          <w:color w:val="auto"/>
          <w:sz w:val="28"/>
          <w:szCs w:val="28"/>
        </w:rPr>
      </w:pPr>
    </w:p>
    <w:p w:rsidR="003B76E1" w:rsidRPr="00715DA4" w:rsidRDefault="003B76E1" w:rsidP="003B76E1">
      <w:pPr>
        <w:rPr>
          <w:szCs w:val="28"/>
        </w:rPr>
      </w:pPr>
    </w:p>
    <w:p w:rsidR="00396C33" w:rsidRPr="00715DA4" w:rsidRDefault="003B76E1" w:rsidP="00396C33">
      <w:pPr>
        <w:widowControl w:val="0"/>
        <w:ind w:firstLine="709"/>
        <w:jc w:val="both"/>
        <w:rPr>
          <w:rFonts w:cs="Times New Roman"/>
          <w:szCs w:val="28"/>
        </w:rPr>
      </w:pPr>
      <w:r w:rsidRPr="00715DA4">
        <w:t xml:space="preserve">В соответствии со </w:t>
      </w:r>
      <w:r w:rsidRPr="00715DA4">
        <w:rPr>
          <w:rStyle w:val="a4"/>
          <w:rFonts w:cs="Arial"/>
          <w:color w:val="auto"/>
        </w:rPr>
        <w:t>статей 173</w:t>
      </w:r>
      <w:r w:rsidRPr="00715DA4">
        <w:t xml:space="preserve"> Бюджетного кодекса Российской Федерации, </w:t>
      </w:r>
      <w:r w:rsidRPr="00715DA4">
        <w:rPr>
          <w:rFonts w:cs="Times New Roman"/>
          <w:szCs w:val="28"/>
        </w:rPr>
        <w:t>Федеральным законом от 28.06.2014 № 172-ФЗ «О стратегическом планировании в Российской Федерации», Уставом муниципального образования городской округ Сургут Ханты-Мансийского автономного</w:t>
      </w:r>
      <w:r w:rsidR="00E91F94" w:rsidRPr="00715DA4">
        <w:rPr>
          <w:rFonts w:cs="Times New Roman"/>
          <w:szCs w:val="28"/>
        </w:rPr>
        <w:t xml:space="preserve"> </w:t>
      </w:r>
      <w:r w:rsidRPr="00715DA4">
        <w:rPr>
          <w:rFonts w:cs="Times New Roman"/>
          <w:szCs w:val="28"/>
        </w:rPr>
        <w:t xml:space="preserve">округа – Югры, постановлением Администрации города от 01.08.2018 № 5852 </w:t>
      </w:r>
      <w:r w:rsidRPr="00715DA4">
        <w:rPr>
          <w:rStyle w:val="a4"/>
          <w:bCs/>
          <w:color w:val="auto"/>
          <w:szCs w:val="28"/>
        </w:rPr>
        <w:t xml:space="preserve">«Об утверждении порядка разработки и корректировки прогноза социально-экономического развития муниципального образования городской округ Сургут </w:t>
      </w:r>
      <w:r w:rsidRPr="00715DA4">
        <w:rPr>
          <w:rFonts w:cs="Times New Roman"/>
          <w:szCs w:val="28"/>
        </w:rPr>
        <w:t xml:space="preserve">Ханты-Мансийского автономного округа – Югры </w:t>
      </w:r>
      <w:r w:rsidRPr="00715DA4">
        <w:rPr>
          <w:rStyle w:val="a4"/>
          <w:bCs/>
          <w:color w:val="auto"/>
          <w:szCs w:val="28"/>
        </w:rPr>
        <w:t>на долгосрочный период</w:t>
      </w:r>
      <w:r w:rsidRPr="00715DA4">
        <w:rPr>
          <w:rFonts w:cs="Times New Roman"/>
          <w:szCs w:val="28"/>
        </w:rPr>
        <w:t>, мониторинга и контроля его реализации</w:t>
      </w:r>
      <w:r w:rsidRPr="00715DA4">
        <w:rPr>
          <w:rStyle w:val="a4"/>
          <w:bCs/>
          <w:color w:val="auto"/>
          <w:szCs w:val="28"/>
        </w:rPr>
        <w:t xml:space="preserve">», </w:t>
      </w:r>
      <w:r w:rsidR="00396C33" w:rsidRPr="00715DA4">
        <w:rPr>
          <w:spacing w:val="-4"/>
          <w:szCs w:val="28"/>
        </w:rPr>
        <w:t>распоряжениями Администрации</w:t>
      </w:r>
      <w:r w:rsidR="00396C33" w:rsidRPr="00715DA4">
        <w:rPr>
          <w:szCs w:val="28"/>
        </w:rPr>
        <w:t xml:space="preserve"> города от 30.12.2005 № 3686 «Об утверждении Регламента </w:t>
      </w:r>
      <w:r w:rsidR="00396C33" w:rsidRPr="00715DA4">
        <w:rPr>
          <w:spacing w:val="-6"/>
          <w:szCs w:val="28"/>
        </w:rPr>
        <w:t xml:space="preserve">Администрации города», от 21.04.2021 № 552 </w:t>
      </w:r>
      <w:r w:rsidR="00396C33" w:rsidRPr="00715DA4">
        <w:rPr>
          <w:spacing w:val="-6"/>
          <w:szCs w:val="28"/>
        </w:rPr>
        <w:br/>
        <w:t>«О распределении отдельных полномочий</w:t>
      </w:r>
      <w:r w:rsidR="00396C33" w:rsidRPr="00715DA4">
        <w:rPr>
          <w:szCs w:val="28"/>
        </w:rPr>
        <w:t xml:space="preserve"> Главы города между высшими должностными лицами Администрации города»</w:t>
      </w:r>
      <w:r w:rsidR="00396C33" w:rsidRPr="00715DA4">
        <w:rPr>
          <w:rFonts w:cs="Times New Roman"/>
          <w:szCs w:val="28"/>
        </w:rPr>
        <w:t>:</w:t>
      </w:r>
    </w:p>
    <w:p w:rsidR="003B76E1" w:rsidRPr="00715DA4" w:rsidRDefault="003B76E1" w:rsidP="00396C33">
      <w:pPr>
        <w:widowControl w:val="0"/>
        <w:ind w:firstLine="709"/>
        <w:jc w:val="both"/>
        <w:rPr>
          <w:rFonts w:cs="Times New Roman"/>
          <w:szCs w:val="28"/>
        </w:rPr>
      </w:pPr>
      <w:r w:rsidRPr="00715DA4">
        <w:rPr>
          <w:rFonts w:cs="Times New Roman"/>
          <w:bCs/>
          <w:szCs w:val="28"/>
        </w:rPr>
        <w:t>1. Внести в п</w:t>
      </w:r>
      <w:r w:rsidRPr="00715DA4">
        <w:rPr>
          <w:rStyle w:val="a4"/>
          <w:bCs/>
          <w:color w:val="auto"/>
          <w:szCs w:val="28"/>
        </w:rPr>
        <w:t xml:space="preserve">остановление Администрации города </w:t>
      </w:r>
      <w:r w:rsidRPr="00715DA4">
        <w:rPr>
          <w:szCs w:val="28"/>
        </w:rPr>
        <w:t xml:space="preserve">от 10.09.2018 № 6918 «О прогнозе социально-экономического развития муниципального образования городской округ город Сургут на период до 2030 года» (с изменениями </w:t>
      </w:r>
      <w:r w:rsidRPr="00715DA4">
        <w:rPr>
          <w:szCs w:val="28"/>
        </w:rPr>
        <w:br/>
        <w:t xml:space="preserve">от 30.10.2018 № 8218, 26.12.2018 № 10239) </w:t>
      </w:r>
      <w:r w:rsidRPr="00715DA4">
        <w:rPr>
          <w:rFonts w:cs="Times New Roman"/>
          <w:szCs w:val="28"/>
        </w:rPr>
        <w:t>следующие изменения:</w:t>
      </w:r>
    </w:p>
    <w:p w:rsidR="003B76E1" w:rsidRPr="00715DA4" w:rsidRDefault="003B76E1" w:rsidP="003B76E1">
      <w:pPr>
        <w:ind w:firstLine="709"/>
        <w:jc w:val="both"/>
        <w:rPr>
          <w:szCs w:val="28"/>
        </w:rPr>
      </w:pPr>
      <w:r w:rsidRPr="00715DA4">
        <w:rPr>
          <w:szCs w:val="28"/>
        </w:rPr>
        <w:t>1.1. В заголовке, пункте 1 постановления слова «городской округ город Сургут» в соответствующ</w:t>
      </w:r>
      <w:r w:rsidR="00396C33" w:rsidRPr="00715DA4">
        <w:rPr>
          <w:szCs w:val="28"/>
        </w:rPr>
        <w:t>ем</w:t>
      </w:r>
      <w:r w:rsidRPr="00715DA4">
        <w:rPr>
          <w:szCs w:val="28"/>
        </w:rPr>
        <w:t xml:space="preserve"> падеж</w:t>
      </w:r>
      <w:r w:rsidR="00396C33" w:rsidRPr="00715DA4">
        <w:rPr>
          <w:szCs w:val="28"/>
        </w:rPr>
        <w:t>е</w:t>
      </w:r>
      <w:r w:rsidRPr="00715DA4">
        <w:rPr>
          <w:szCs w:val="28"/>
        </w:rPr>
        <w:t xml:space="preserve"> заменить словами «городской округ Сургут Ханты-Мансийского автономного округа – Югры» в соответствующ</w:t>
      </w:r>
      <w:r w:rsidR="00396C33" w:rsidRPr="00715DA4">
        <w:rPr>
          <w:szCs w:val="28"/>
        </w:rPr>
        <w:t>ем</w:t>
      </w:r>
      <w:r w:rsidRPr="00715DA4">
        <w:rPr>
          <w:szCs w:val="28"/>
        </w:rPr>
        <w:t xml:space="preserve"> падеж</w:t>
      </w:r>
      <w:r w:rsidR="00396C33" w:rsidRPr="00715DA4">
        <w:rPr>
          <w:szCs w:val="28"/>
        </w:rPr>
        <w:t>е</w:t>
      </w:r>
      <w:r w:rsidRPr="00715DA4">
        <w:rPr>
          <w:szCs w:val="28"/>
        </w:rPr>
        <w:t>.</w:t>
      </w:r>
    </w:p>
    <w:p w:rsidR="00886878" w:rsidRPr="00715DA4" w:rsidRDefault="00886878" w:rsidP="0088687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5DA4">
        <w:rPr>
          <w:szCs w:val="28"/>
        </w:rPr>
        <w:t xml:space="preserve">1.2. </w:t>
      </w:r>
      <w:r w:rsidRPr="00715DA4">
        <w:rPr>
          <w:rFonts w:eastAsia="Times New Roman" w:cs="Times New Roman"/>
          <w:szCs w:val="28"/>
          <w:lang w:eastAsia="ru-RU"/>
        </w:rPr>
        <w:t>Пункт 4 постановления изложить в следующей редакции:</w:t>
      </w:r>
    </w:p>
    <w:p w:rsidR="00E91F94" w:rsidRPr="00715DA4" w:rsidRDefault="00E91F94" w:rsidP="0088687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86878" w:rsidRPr="00715DA4" w:rsidRDefault="00886878" w:rsidP="008868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DA4">
        <w:rPr>
          <w:szCs w:val="28"/>
        </w:rPr>
        <w:lastRenderedPageBreak/>
        <w:t>«4. Контроль за выполнением постановления возложить на заместителя Главы города, курирующего сферу экономики».</w:t>
      </w:r>
    </w:p>
    <w:p w:rsidR="003B76E1" w:rsidRPr="00715DA4" w:rsidRDefault="003B76E1" w:rsidP="003B76E1">
      <w:pPr>
        <w:ind w:firstLine="709"/>
        <w:jc w:val="both"/>
      </w:pPr>
      <w:r w:rsidRPr="00715DA4">
        <w:rPr>
          <w:rFonts w:cs="Times New Roman"/>
          <w:szCs w:val="28"/>
        </w:rPr>
        <w:t>1.</w:t>
      </w:r>
      <w:r w:rsidR="00886878" w:rsidRPr="00715DA4">
        <w:rPr>
          <w:rFonts w:cs="Times New Roman"/>
          <w:szCs w:val="28"/>
        </w:rPr>
        <w:t>3</w:t>
      </w:r>
      <w:r w:rsidRPr="00715DA4">
        <w:rPr>
          <w:rFonts w:cs="Times New Roman"/>
          <w:szCs w:val="28"/>
        </w:rPr>
        <w:t>. П</w:t>
      </w:r>
      <w:r w:rsidRPr="00715DA4">
        <w:t xml:space="preserve">риложение к постановлению изложить в новой редакции согласно </w:t>
      </w:r>
      <w:proofErr w:type="gramStart"/>
      <w:r w:rsidRPr="00715DA4">
        <w:t>приложению</w:t>
      </w:r>
      <w:proofErr w:type="gramEnd"/>
      <w:r w:rsidRPr="00715DA4">
        <w:t xml:space="preserve"> к настоящему постановлению.</w:t>
      </w:r>
    </w:p>
    <w:p w:rsidR="003B76E1" w:rsidRPr="00715DA4" w:rsidRDefault="003B76E1" w:rsidP="003B76E1">
      <w:pPr>
        <w:ind w:firstLine="709"/>
        <w:jc w:val="both"/>
        <w:rPr>
          <w:rFonts w:cs="Times New Roman"/>
          <w:szCs w:val="28"/>
        </w:rPr>
      </w:pPr>
      <w:r w:rsidRPr="00715DA4">
        <w:rPr>
          <w:rFonts w:cs="Times New Roman"/>
          <w:szCs w:val="28"/>
        </w:rP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3B76E1" w:rsidRPr="00715DA4" w:rsidRDefault="003B76E1" w:rsidP="003B76E1">
      <w:pPr>
        <w:ind w:firstLine="709"/>
        <w:jc w:val="both"/>
        <w:rPr>
          <w:rFonts w:cs="Times New Roman"/>
          <w:szCs w:val="28"/>
        </w:rPr>
      </w:pPr>
      <w:r w:rsidRPr="00715DA4">
        <w:rPr>
          <w:rFonts w:cs="Times New Roman"/>
          <w:szCs w:val="28"/>
        </w:rPr>
        <w:t>4. Муниципальному казенному учреждению «Наш город» опубликовать настоящее постановление в газете «</w:t>
      </w:r>
      <w:proofErr w:type="spellStart"/>
      <w:r w:rsidRPr="00715DA4">
        <w:rPr>
          <w:rFonts w:cs="Times New Roman"/>
          <w:szCs w:val="28"/>
        </w:rPr>
        <w:t>Сургутские</w:t>
      </w:r>
      <w:proofErr w:type="spellEnd"/>
      <w:r w:rsidRPr="00715DA4">
        <w:rPr>
          <w:rFonts w:cs="Times New Roman"/>
          <w:szCs w:val="28"/>
        </w:rPr>
        <w:t xml:space="preserve"> ведомости».</w:t>
      </w:r>
    </w:p>
    <w:p w:rsidR="003B76E1" w:rsidRPr="00715DA4" w:rsidRDefault="003B76E1" w:rsidP="003B76E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15DA4">
        <w:rPr>
          <w:rFonts w:cs="Times New Roman"/>
          <w:szCs w:val="28"/>
        </w:rPr>
        <w:t>5. Настоящее постановление вступает в силу после его официального опубликования.</w:t>
      </w:r>
    </w:p>
    <w:p w:rsidR="00BF186F" w:rsidRPr="00715DA4" w:rsidRDefault="00BF186F" w:rsidP="00BF186F">
      <w:pPr>
        <w:ind w:firstLine="709"/>
        <w:jc w:val="both"/>
        <w:rPr>
          <w:rFonts w:cs="Times New Roman"/>
          <w:szCs w:val="28"/>
        </w:rPr>
      </w:pPr>
      <w:r w:rsidRPr="00715DA4">
        <w:rPr>
          <w:rFonts w:cs="Times New Roman"/>
          <w:szCs w:val="28"/>
        </w:rPr>
        <w:t>6. Контроль за выполнением постановления оставляю за собой.</w:t>
      </w:r>
    </w:p>
    <w:p w:rsidR="00BF186F" w:rsidRPr="00715DA4" w:rsidRDefault="00BF186F" w:rsidP="00BF186F">
      <w:pPr>
        <w:jc w:val="both"/>
        <w:rPr>
          <w:rFonts w:cs="Times New Roman"/>
          <w:szCs w:val="28"/>
        </w:rPr>
      </w:pPr>
    </w:p>
    <w:p w:rsidR="00BF186F" w:rsidRPr="00715DA4" w:rsidRDefault="00BF186F" w:rsidP="00BF186F">
      <w:pPr>
        <w:widowControl w:val="0"/>
        <w:jc w:val="both"/>
        <w:rPr>
          <w:rFonts w:eastAsia="Times New Roman" w:cs="Times New Roman"/>
          <w:szCs w:val="28"/>
        </w:rPr>
      </w:pPr>
    </w:p>
    <w:p w:rsidR="00BF186F" w:rsidRPr="00715DA4" w:rsidRDefault="00BF186F" w:rsidP="00BF186F">
      <w:pPr>
        <w:widowControl w:val="0"/>
        <w:jc w:val="both"/>
        <w:rPr>
          <w:rFonts w:eastAsia="Times New Roman" w:cs="Times New Roman"/>
          <w:szCs w:val="28"/>
        </w:rPr>
      </w:pPr>
    </w:p>
    <w:p w:rsidR="00BF186F" w:rsidRPr="00715DA4" w:rsidRDefault="00BF186F" w:rsidP="00BF186F">
      <w:pPr>
        <w:autoSpaceDE w:val="0"/>
        <w:autoSpaceDN w:val="0"/>
        <w:adjustRightInd w:val="0"/>
        <w:rPr>
          <w:rFonts w:eastAsia="Times New Roman" w:cs="Times New Roman"/>
        </w:rPr>
      </w:pPr>
      <w:r w:rsidRPr="00715DA4">
        <w:rPr>
          <w:bCs/>
          <w:szCs w:val="28"/>
        </w:rPr>
        <w:t>Заместитель Главы города                                                               А.М. Кириленко</w:t>
      </w:r>
    </w:p>
    <w:p w:rsidR="00BF186F" w:rsidRPr="00715DA4" w:rsidRDefault="00BF186F" w:rsidP="00BF186F">
      <w:pPr>
        <w:ind w:firstLine="709"/>
        <w:jc w:val="both"/>
        <w:rPr>
          <w:szCs w:val="28"/>
        </w:rPr>
      </w:pPr>
    </w:p>
    <w:p w:rsidR="003B76E1" w:rsidRPr="00715DA4" w:rsidRDefault="003B76E1" w:rsidP="003B76E1">
      <w:pPr>
        <w:widowControl w:val="0"/>
        <w:jc w:val="both"/>
        <w:rPr>
          <w:rFonts w:eastAsia="Times New Roman" w:cs="Times New Roman"/>
          <w:szCs w:val="28"/>
        </w:rPr>
      </w:pPr>
    </w:p>
    <w:p w:rsidR="003B76E1" w:rsidRPr="00715DA4" w:rsidRDefault="003B76E1" w:rsidP="003B76E1">
      <w:pPr>
        <w:widowControl w:val="0"/>
        <w:jc w:val="both"/>
        <w:rPr>
          <w:rFonts w:eastAsia="Times New Roman" w:cs="Times New Roman"/>
          <w:szCs w:val="28"/>
        </w:rPr>
      </w:pPr>
    </w:p>
    <w:p w:rsidR="003B76E1" w:rsidRPr="00715DA4" w:rsidRDefault="003B76E1" w:rsidP="003B76E1">
      <w:pPr>
        <w:widowControl w:val="0"/>
        <w:jc w:val="both"/>
        <w:rPr>
          <w:rFonts w:eastAsia="Times New Roman" w:cs="Times New Roman"/>
          <w:szCs w:val="28"/>
        </w:rPr>
      </w:pPr>
    </w:p>
    <w:p w:rsidR="003B76E1" w:rsidRPr="00715DA4" w:rsidRDefault="003B76E1" w:rsidP="003B76E1">
      <w:pPr>
        <w:widowControl w:val="0"/>
        <w:jc w:val="both"/>
        <w:rPr>
          <w:rFonts w:eastAsia="Times New Roman" w:cs="Times New Roman"/>
          <w:szCs w:val="28"/>
        </w:rPr>
      </w:pPr>
    </w:p>
    <w:p w:rsidR="003B76E1" w:rsidRPr="00715DA4" w:rsidRDefault="003B76E1" w:rsidP="003B76E1">
      <w:pPr>
        <w:widowControl w:val="0"/>
        <w:jc w:val="both"/>
        <w:rPr>
          <w:rFonts w:eastAsia="Times New Roman" w:cs="Times New Roman"/>
          <w:szCs w:val="28"/>
        </w:rPr>
      </w:pPr>
    </w:p>
    <w:p w:rsidR="003B76E1" w:rsidRPr="00715DA4" w:rsidRDefault="003B76E1" w:rsidP="003B76E1">
      <w:pPr>
        <w:widowControl w:val="0"/>
        <w:jc w:val="both"/>
        <w:rPr>
          <w:rFonts w:eastAsia="Times New Roman" w:cs="Times New Roman"/>
          <w:szCs w:val="28"/>
        </w:rPr>
      </w:pPr>
    </w:p>
    <w:p w:rsidR="003B76E1" w:rsidRPr="00715DA4" w:rsidRDefault="003B76E1" w:rsidP="003B76E1">
      <w:pPr>
        <w:widowControl w:val="0"/>
        <w:jc w:val="both"/>
        <w:rPr>
          <w:rFonts w:eastAsia="Times New Roman" w:cs="Times New Roman"/>
          <w:szCs w:val="28"/>
        </w:rPr>
      </w:pPr>
    </w:p>
    <w:p w:rsidR="003B76E1" w:rsidRPr="00715DA4" w:rsidRDefault="003B76E1" w:rsidP="003B76E1">
      <w:pPr>
        <w:widowControl w:val="0"/>
        <w:jc w:val="both"/>
        <w:rPr>
          <w:rFonts w:eastAsia="Times New Roman" w:cs="Times New Roman"/>
          <w:szCs w:val="28"/>
        </w:rPr>
      </w:pPr>
    </w:p>
    <w:p w:rsidR="003B76E1" w:rsidRPr="00715DA4" w:rsidRDefault="003B76E1" w:rsidP="003B76E1">
      <w:pPr>
        <w:widowControl w:val="0"/>
        <w:jc w:val="both"/>
        <w:rPr>
          <w:rFonts w:eastAsia="Times New Roman" w:cs="Times New Roman"/>
          <w:szCs w:val="28"/>
        </w:rPr>
      </w:pPr>
    </w:p>
    <w:p w:rsidR="003B76E1" w:rsidRPr="00715DA4" w:rsidRDefault="003B76E1" w:rsidP="003B76E1">
      <w:pPr>
        <w:widowControl w:val="0"/>
        <w:jc w:val="both"/>
        <w:rPr>
          <w:rFonts w:eastAsia="Times New Roman" w:cs="Times New Roman"/>
          <w:szCs w:val="28"/>
        </w:rPr>
      </w:pPr>
    </w:p>
    <w:p w:rsidR="003B76E1" w:rsidRPr="00715DA4" w:rsidRDefault="003B76E1" w:rsidP="003B76E1">
      <w:pPr>
        <w:widowControl w:val="0"/>
        <w:jc w:val="both"/>
        <w:rPr>
          <w:rFonts w:eastAsia="Times New Roman" w:cs="Times New Roman"/>
          <w:szCs w:val="28"/>
        </w:rPr>
      </w:pPr>
    </w:p>
    <w:p w:rsidR="003B76E1" w:rsidRPr="00715DA4" w:rsidRDefault="003B76E1" w:rsidP="003B76E1">
      <w:pPr>
        <w:widowControl w:val="0"/>
        <w:jc w:val="both"/>
        <w:rPr>
          <w:rFonts w:eastAsia="Times New Roman" w:cs="Times New Roman"/>
          <w:szCs w:val="28"/>
        </w:rPr>
      </w:pPr>
    </w:p>
    <w:p w:rsidR="003B76E1" w:rsidRPr="00715DA4" w:rsidRDefault="003B76E1" w:rsidP="003B76E1">
      <w:pPr>
        <w:widowControl w:val="0"/>
        <w:jc w:val="both"/>
        <w:rPr>
          <w:rFonts w:eastAsia="Times New Roman" w:cs="Times New Roman"/>
          <w:szCs w:val="28"/>
        </w:rPr>
      </w:pPr>
    </w:p>
    <w:p w:rsidR="003B76E1" w:rsidRPr="00715DA4" w:rsidRDefault="003B76E1" w:rsidP="003B76E1">
      <w:pPr>
        <w:widowControl w:val="0"/>
        <w:jc w:val="both"/>
        <w:rPr>
          <w:rFonts w:eastAsia="Times New Roman" w:cs="Times New Roman"/>
          <w:szCs w:val="28"/>
        </w:rPr>
      </w:pPr>
    </w:p>
    <w:p w:rsidR="001D2A32" w:rsidRPr="00715DA4" w:rsidRDefault="001D2A32"/>
    <w:p w:rsidR="001515D5" w:rsidRPr="00715DA4" w:rsidRDefault="001515D5"/>
    <w:p w:rsidR="001515D5" w:rsidRPr="00715DA4" w:rsidRDefault="001515D5"/>
    <w:p w:rsidR="001515D5" w:rsidRPr="00715DA4" w:rsidRDefault="001515D5"/>
    <w:p w:rsidR="001515D5" w:rsidRPr="00715DA4" w:rsidRDefault="001515D5"/>
    <w:p w:rsidR="001515D5" w:rsidRPr="00715DA4" w:rsidRDefault="001515D5"/>
    <w:p w:rsidR="001515D5" w:rsidRPr="00715DA4" w:rsidRDefault="001515D5"/>
    <w:p w:rsidR="001515D5" w:rsidRPr="00715DA4" w:rsidRDefault="001515D5"/>
    <w:p w:rsidR="001515D5" w:rsidRPr="00715DA4" w:rsidRDefault="001515D5"/>
    <w:p w:rsidR="001515D5" w:rsidRPr="00715DA4" w:rsidRDefault="001515D5"/>
    <w:p w:rsidR="001515D5" w:rsidRPr="00715DA4" w:rsidRDefault="001515D5">
      <w:pPr>
        <w:sectPr w:rsidR="001515D5" w:rsidRPr="00715DA4" w:rsidSect="00E91F9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2260"/>
        <w:gridCol w:w="1180"/>
        <w:gridCol w:w="134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715DA4" w:rsidRPr="00715DA4" w:rsidTr="00912281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15DA4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15DA4" w:rsidRPr="00715DA4" w:rsidTr="00912281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15DA4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5DA4" w:rsidRPr="00715DA4" w:rsidTr="00912281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15DA4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</w:tc>
      </w:tr>
      <w:tr w:rsidR="00715DA4" w:rsidRPr="00715DA4" w:rsidTr="00912281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15DA4">
              <w:rPr>
                <w:rFonts w:eastAsia="Times New Roman" w:cs="Times New Roman"/>
                <w:szCs w:val="28"/>
                <w:lang w:eastAsia="ru-RU"/>
              </w:rPr>
              <w:t>от _________ №_________</w:t>
            </w:r>
          </w:p>
        </w:tc>
      </w:tr>
      <w:tr w:rsidR="00715DA4" w:rsidRPr="00715DA4" w:rsidTr="00912281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715DA4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2281" w:rsidRPr="00715DA4" w:rsidTr="00912281">
        <w:trPr>
          <w:trHeight w:val="840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DA4">
              <w:rPr>
                <w:rFonts w:eastAsia="Times New Roman" w:cs="Times New Roman"/>
                <w:szCs w:val="28"/>
                <w:lang w:eastAsia="ru-RU"/>
              </w:rPr>
              <w:t xml:space="preserve">Прогноз социально-экономического развития муниципального образования городской округ Сургут </w:t>
            </w:r>
          </w:p>
          <w:p w:rsidR="00912281" w:rsidRPr="00715DA4" w:rsidRDefault="00912281" w:rsidP="009122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DA4">
              <w:rPr>
                <w:rFonts w:eastAsia="Times New Roman" w:cs="Times New Roman"/>
                <w:szCs w:val="28"/>
                <w:lang w:eastAsia="ru-RU"/>
              </w:rPr>
              <w:t>Ханты-Мансийского автономного округа – Югры на период до 2030 года</w:t>
            </w:r>
          </w:p>
        </w:tc>
      </w:tr>
    </w:tbl>
    <w:p w:rsidR="008A18DC" w:rsidRPr="00715DA4" w:rsidRDefault="008A18DC"/>
    <w:tbl>
      <w:tblPr>
        <w:tblW w:w="14791" w:type="dxa"/>
        <w:tblInd w:w="-5" w:type="dxa"/>
        <w:tblLook w:val="04A0" w:firstRow="1" w:lastRow="0" w:firstColumn="1" w:lastColumn="0" w:noHBand="0" w:noVBand="1"/>
      </w:tblPr>
      <w:tblGrid>
        <w:gridCol w:w="2212"/>
        <w:gridCol w:w="1299"/>
        <w:gridCol w:w="1479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715DA4" w:rsidRPr="00715DA4" w:rsidTr="008A18DC">
        <w:trPr>
          <w:trHeight w:val="255"/>
          <w:tblHeader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2030 год</w:t>
            </w:r>
          </w:p>
        </w:tc>
      </w:tr>
      <w:tr w:rsidR="00715DA4" w:rsidRPr="00715DA4" w:rsidTr="008A18DC">
        <w:trPr>
          <w:trHeight w:val="255"/>
          <w:tblHeader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8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715DA4" w:rsidRPr="00715DA4" w:rsidTr="008A18DC">
        <w:trPr>
          <w:trHeight w:val="255"/>
          <w:tblHeader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15DA4" w:rsidRPr="00715DA4" w:rsidTr="008A18DC">
        <w:trPr>
          <w:trHeight w:val="330"/>
        </w:trPr>
        <w:tc>
          <w:tcPr>
            <w:tcW w:w="14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03D1" w:rsidRPr="00715DA4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Демографическая ситуация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Естественный прирост населения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715DA4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2,1</w:t>
            </w:r>
          </w:p>
        </w:tc>
      </w:tr>
      <w:tr w:rsidR="00715DA4" w:rsidRPr="00715DA4" w:rsidTr="008A18DC">
        <w:trPr>
          <w:trHeight w:val="427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715DA4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Миграционный прирост населения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715DA4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715DA4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391,3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398,3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409,1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418,1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421,9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428,4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431,7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715DA4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391,3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399,5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407,5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422,3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428,6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434,1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439,0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443,8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448,8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715DA4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391,3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400,5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410,5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420,2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429,4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444,7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451,4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464,7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Средний возраст населения (на начало года)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5C1090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5C1090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715DA4" w:rsidRDefault="005C1090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715DA4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715DA4" w:rsidRPr="00715DA4" w:rsidTr="008A18DC">
        <w:trPr>
          <w:trHeight w:val="330"/>
        </w:trPr>
        <w:tc>
          <w:tcPr>
            <w:tcW w:w="14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жизни населения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15DA4" w:rsidRPr="00715DA4" w:rsidTr="008A18DC">
        <w:trPr>
          <w:trHeight w:val="416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Реальная заработная плата  работников организаций (по крупным и средним организациям)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715DA4" w:rsidRPr="00715DA4" w:rsidTr="008A18DC">
        <w:trPr>
          <w:trHeight w:val="407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</w:tr>
      <w:tr w:rsidR="00715DA4" w:rsidRPr="00715DA4" w:rsidTr="008A18DC">
        <w:trPr>
          <w:trHeight w:val="413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</w:tr>
      <w:tr w:rsidR="00715DA4" w:rsidRPr="00715DA4" w:rsidTr="008A18DC">
        <w:trPr>
          <w:trHeight w:val="420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Соотношение прожиточного минимума на душу населения и среднедушевого дохода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4,0</w:t>
            </w:r>
          </w:p>
        </w:tc>
      </w:tr>
      <w:tr w:rsidR="00715DA4" w:rsidRPr="00715DA4" w:rsidTr="008A18DC">
        <w:trPr>
          <w:trHeight w:val="42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715DA4" w:rsidRDefault="005218BB" w:rsidP="005218B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4,1</w:t>
            </w:r>
          </w:p>
        </w:tc>
      </w:tr>
      <w:tr w:rsidR="00715DA4" w:rsidRPr="00715DA4" w:rsidTr="008A18DC">
        <w:trPr>
          <w:trHeight w:val="403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715DA4" w:rsidRDefault="005218BB" w:rsidP="005218B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4,3</w:t>
            </w:r>
          </w:p>
        </w:tc>
      </w:tr>
      <w:tr w:rsidR="00715DA4" w:rsidRPr="00715DA4" w:rsidTr="008A18DC">
        <w:trPr>
          <w:trHeight w:val="409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Соотношение прожиточного минимума для трудоспособного населения и заработной платы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6,2</w:t>
            </w:r>
          </w:p>
        </w:tc>
      </w:tr>
      <w:tr w:rsidR="00715DA4" w:rsidRPr="00715DA4" w:rsidTr="008A18DC">
        <w:trPr>
          <w:trHeight w:val="4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6,4</w:t>
            </w:r>
          </w:p>
        </w:tc>
      </w:tr>
      <w:tr w:rsidR="00715DA4" w:rsidRPr="00715DA4" w:rsidTr="008A18DC">
        <w:trPr>
          <w:trHeight w:val="421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6,6</w:t>
            </w:r>
          </w:p>
        </w:tc>
      </w:tr>
      <w:tr w:rsidR="00715DA4" w:rsidRPr="00715DA4" w:rsidTr="008A18DC">
        <w:trPr>
          <w:trHeight w:val="413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Соотношение прожиточного минимума для пенсионера и пенсии по старости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1,9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715DA4" w:rsidRDefault="005218BB" w:rsidP="005218B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2,1</w:t>
            </w:r>
          </w:p>
        </w:tc>
      </w:tr>
      <w:tr w:rsidR="00715DA4" w:rsidRPr="00715DA4" w:rsidTr="008A18DC">
        <w:trPr>
          <w:trHeight w:val="354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715DA4" w:rsidRDefault="005218BB" w:rsidP="005218B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715DA4" w:rsidRDefault="005218BB" w:rsidP="005218BB">
            <w:pPr>
              <w:jc w:val="center"/>
              <w:rPr>
                <w:sz w:val="18"/>
                <w:szCs w:val="18"/>
              </w:rPr>
            </w:pPr>
            <w:r w:rsidRPr="00715DA4">
              <w:rPr>
                <w:sz w:val="18"/>
                <w:szCs w:val="18"/>
              </w:rPr>
              <w:t>2,3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потребительских цен в среднем за год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715DA4" w:rsidRPr="00715DA4" w:rsidTr="008A18DC">
        <w:trPr>
          <w:trHeight w:val="480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потребительских цен на конец года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декабрю предыдущего года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</w:tr>
      <w:tr w:rsidR="00715DA4" w:rsidRPr="00715DA4" w:rsidTr="008A18DC">
        <w:trPr>
          <w:trHeight w:val="48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</w:tr>
      <w:tr w:rsidR="00715DA4" w:rsidRPr="00715DA4" w:rsidTr="008A18DC">
        <w:trPr>
          <w:trHeight w:val="48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</w:tr>
      <w:tr w:rsidR="00715DA4" w:rsidRPr="00715DA4" w:rsidTr="008A18DC">
        <w:trPr>
          <w:trHeight w:val="345"/>
        </w:trPr>
        <w:tc>
          <w:tcPr>
            <w:tcW w:w="14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Состояние рынка труда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экономически активного населения (рабочей силы)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181,1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183,1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182,2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183,6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185,1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186,6</w:t>
            </w:r>
          </w:p>
        </w:tc>
      </w:tr>
      <w:tr w:rsidR="00715DA4" w:rsidRPr="00715DA4" w:rsidTr="008A18DC">
        <w:trPr>
          <w:trHeight w:val="570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занятых в экономике на территории муниципального образования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169,7</w:t>
            </w:r>
          </w:p>
        </w:tc>
      </w:tr>
      <w:tr w:rsidR="00715DA4" w:rsidRPr="00715DA4" w:rsidTr="008A18DC">
        <w:trPr>
          <w:trHeight w:val="57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172,9</w:t>
            </w:r>
          </w:p>
        </w:tc>
      </w:tr>
      <w:tr w:rsidR="00715DA4" w:rsidRPr="00715DA4" w:rsidTr="008A18DC">
        <w:trPr>
          <w:trHeight w:val="57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176,5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Среднесписочная численность работников крупных и средних организаций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119,2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120,5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121,6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715DA4" w:rsidRPr="00715DA4" w:rsidTr="008A18DC">
        <w:trPr>
          <w:trHeight w:val="345"/>
        </w:trPr>
        <w:tc>
          <w:tcPr>
            <w:tcW w:w="14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Производство товаров и услуг</w:t>
            </w:r>
          </w:p>
        </w:tc>
      </w:tr>
      <w:tr w:rsidR="00715DA4" w:rsidRPr="00715DA4" w:rsidTr="008A18DC">
        <w:trPr>
          <w:trHeight w:val="76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в ценах соответствующих лет по крупным и средним организациям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652226,6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843767,7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767941,1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825518,5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844394,6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885632,1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928109,9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971653,4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1016212,4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1061481,5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1105490,6</w:t>
            </w:r>
          </w:p>
        </w:tc>
      </w:tr>
      <w:tr w:rsidR="00715DA4" w:rsidRPr="00715DA4" w:rsidTr="008A18DC">
        <w:trPr>
          <w:trHeight w:val="657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652226,6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843767,7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781612,4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851282,1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883854,9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927670,6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973774,8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1021542,2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1072667,5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1125639,9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1179175,0</w:t>
            </w:r>
          </w:p>
        </w:tc>
      </w:tr>
      <w:tr w:rsidR="00715DA4" w:rsidRPr="00715DA4" w:rsidTr="008A18DC">
        <w:trPr>
          <w:trHeight w:val="45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652226,6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843767,7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869979,7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941356,7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975244,3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1014348,2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1053373,4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1093787,8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1133350,7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1171276,6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5DA4">
              <w:rPr>
                <w:rFonts w:eastAsia="Times New Roman" w:cs="Times New Roman"/>
                <w:sz w:val="14"/>
                <w:szCs w:val="14"/>
                <w:lang w:eastAsia="ru-RU"/>
              </w:rPr>
              <w:t>1211042,5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100,4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</w:tr>
      <w:tr w:rsidR="00715DA4" w:rsidRPr="00715DA4" w:rsidTr="008A18DC">
        <w:trPr>
          <w:trHeight w:val="354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цен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715DA4" w:rsidRPr="00715DA4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715DA4" w:rsidRPr="00715DA4" w:rsidTr="008A18DC">
        <w:trPr>
          <w:trHeight w:val="364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715DA4" w:rsidRPr="00715DA4" w:rsidTr="008A18DC">
        <w:trPr>
          <w:trHeight w:val="52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Объем производства сельскохозяйственной продукции в хозяйствах всех категорий в ценах соответствующих лет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741,8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815,5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851,5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894,5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935,1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978,9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1076,2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1188,8</w:t>
            </w:r>
          </w:p>
        </w:tc>
      </w:tr>
      <w:tr w:rsidR="00715DA4" w:rsidRPr="00715DA4" w:rsidTr="008A18DC">
        <w:trPr>
          <w:trHeight w:val="52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741,8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819,3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859,7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906,8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958,7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1077,2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1146,4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1221,2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1304,5</w:t>
            </w:r>
          </w:p>
        </w:tc>
      </w:tr>
      <w:tr w:rsidR="00715DA4" w:rsidRPr="00715DA4" w:rsidTr="008A18DC">
        <w:trPr>
          <w:trHeight w:val="52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741,8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828,4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870,7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916,3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964,2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1124,1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1181,5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1244,8</w:t>
            </w:r>
          </w:p>
        </w:tc>
      </w:tr>
      <w:tr w:rsidR="00715DA4" w:rsidRPr="00715DA4" w:rsidTr="008A18DC">
        <w:trPr>
          <w:trHeight w:val="50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715DA4" w:rsidRPr="00715DA4" w:rsidTr="008A18DC">
        <w:trPr>
          <w:trHeight w:val="427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</w:tr>
      <w:tr w:rsidR="00715DA4" w:rsidRPr="00715DA4" w:rsidTr="008A18DC">
        <w:trPr>
          <w:trHeight w:val="42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цен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104,7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715DA4" w:rsidRPr="00715DA4" w:rsidTr="008A18DC">
        <w:trPr>
          <w:trHeight w:val="421"/>
        </w:trPr>
        <w:tc>
          <w:tcPr>
            <w:tcW w:w="147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малого бизнеса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Оборот малого бизнеса в ценах соответствующих лет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180157,0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187965,4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191502,9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195462,0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199683,9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203940,9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208558,2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213267,7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218509,3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224013,8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229820,2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180157,0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187965,4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195255,5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203365,7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211894,5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220794,0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230171,1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240014,4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250374,5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261291,9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272837,9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180157,0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187965,4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199182,3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210982,9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223652,3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237146,5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251276,3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266422,8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282221,6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298664,1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5DA4">
              <w:rPr>
                <w:rFonts w:eastAsia="Times New Roman" w:cs="Times New Roman"/>
                <w:sz w:val="16"/>
                <w:szCs w:val="16"/>
                <w:lang w:eastAsia="ru-RU"/>
              </w:rPr>
              <w:t>316108,3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715DA4" w:rsidRPr="00715DA4" w:rsidTr="008A18DC">
        <w:trPr>
          <w:trHeight w:val="37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цен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715DA4" w:rsidRPr="00715DA4" w:rsidTr="008A18DC">
        <w:trPr>
          <w:trHeight w:val="330"/>
        </w:trPr>
        <w:tc>
          <w:tcPr>
            <w:tcW w:w="14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потребительского рынка</w:t>
            </w:r>
          </w:p>
        </w:tc>
      </w:tr>
      <w:tr w:rsidR="00715DA4" w:rsidRPr="00715DA4" w:rsidTr="008A18DC">
        <w:trPr>
          <w:trHeight w:val="472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Оборот розничной торговли в ценах соответствующих лет по крупным и средним организациям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75518,8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83076,8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88129,5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93852,9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100386,3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107273,9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114912,8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123334,4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132373,2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142212,0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152781,2</w:t>
            </w:r>
          </w:p>
        </w:tc>
      </w:tr>
      <w:tr w:rsidR="00715DA4" w:rsidRPr="00715DA4" w:rsidTr="008A18DC">
        <w:trPr>
          <w:trHeight w:val="406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75518,8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83076,8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88735,2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95146,1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102267,7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110134,7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118892,6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128470,3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138552,9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149426,6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161153,9</w:t>
            </w:r>
          </w:p>
        </w:tc>
      </w:tr>
      <w:tr w:rsidR="00715DA4" w:rsidRPr="00715DA4" w:rsidTr="008A18DC">
        <w:trPr>
          <w:trHeight w:val="412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75518,8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83076,8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89338,2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96256,5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104057,8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112490,1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121776,1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131942,6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143089,4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155026,6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167959,7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105,7</w:t>
            </w:r>
          </w:p>
        </w:tc>
      </w:tr>
      <w:tr w:rsidR="00715DA4" w:rsidRPr="00715DA4" w:rsidTr="008A18DC">
        <w:trPr>
          <w:trHeight w:val="448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цен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15DA4" w:rsidRPr="00715DA4" w:rsidTr="008A18DC">
        <w:trPr>
          <w:trHeight w:val="398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715DA4" w:rsidRPr="00715DA4" w:rsidTr="008A18DC">
        <w:trPr>
          <w:trHeight w:val="417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715DA4" w:rsidRPr="00715DA4" w:rsidTr="008A18DC">
        <w:trPr>
          <w:trHeight w:val="49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Оборот общественного питания  в ценах соответствующих лет по крупным и средним организациям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3004,8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4564,3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4851,6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5142,0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5449,7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5764,6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6091,8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6418,7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6756,6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7091,5</w:t>
            </w:r>
          </w:p>
        </w:tc>
      </w:tr>
      <w:tr w:rsidR="00715DA4" w:rsidRPr="00715DA4" w:rsidTr="008A18DC">
        <w:trPr>
          <w:trHeight w:val="49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3004,8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4612,4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4945,6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5282,5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5642,4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6009,2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6387,6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6770,0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7161,4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7560,7</w:t>
            </w:r>
          </w:p>
        </w:tc>
      </w:tr>
      <w:tr w:rsidR="00715DA4" w:rsidRPr="00715DA4" w:rsidTr="008A18DC">
        <w:trPr>
          <w:trHeight w:val="49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3004,8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4665,1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5065,0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5478,2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5919,4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6383,9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6878,2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7360,8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7854,5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8381,3</w:t>
            </w:r>
          </w:p>
        </w:tc>
      </w:tr>
      <w:tr w:rsidR="00715DA4" w:rsidRPr="00715DA4" w:rsidTr="008A18DC">
        <w:trPr>
          <w:trHeight w:val="360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</w:tr>
      <w:tr w:rsidR="00715DA4" w:rsidRPr="00715DA4" w:rsidTr="008A18DC">
        <w:trPr>
          <w:trHeight w:val="36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</w:tr>
      <w:tr w:rsidR="00715DA4" w:rsidRPr="00715DA4" w:rsidTr="008A18DC">
        <w:trPr>
          <w:trHeight w:val="36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цен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715DA4" w:rsidRPr="00715DA4" w:rsidTr="008A18DC">
        <w:trPr>
          <w:trHeight w:val="398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Объем платных услуг населению в ценах соответствующих лет по крупным и средним организациям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23453,0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24952,1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26651,6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28246,9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29908,5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31882,5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33986,2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36158,6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38432,9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40771,0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43209,0</w:t>
            </w:r>
          </w:p>
        </w:tc>
      </w:tr>
      <w:tr w:rsidR="00715DA4" w:rsidRPr="00715DA4" w:rsidTr="008A18DC">
        <w:trPr>
          <w:trHeight w:val="417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23453,0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24952,1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26910,2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28993,9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31208,6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33560,2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36018,9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38620,1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41368,9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44270,3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47374,4</w:t>
            </w:r>
          </w:p>
        </w:tc>
      </w:tr>
      <w:tr w:rsidR="00715DA4" w:rsidRPr="00715DA4" w:rsidTr="008A18DC">
        <w:trPr>
          <w:trHeight w:val="409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23453,0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24952,1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27169,6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29499,4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31967,5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34608,9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37289,0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40215,4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43329,5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46504,3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49863,3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цен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715DA4" w:rsidRPr="00715DA4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715DA4" w:rsidRPr="00715DA4" w:rsidTr="008A18DC">
        <w:trPr>
          <w:trHeight w:val="330"/>
        </w:trPr>
        <w:tc>
          <w:tcPr>
            <w:tcW w:w="14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Инвестиции и финансы организаций</w:t>
            </w:r>
          </w:p>
        </w:tc>
      </w:tr>
      <w:tr w:rsidR="00715DA4" w:rsidRPr="00715DA4" w:rsidTr="008A18DC">
        <w:trPr>
          <w:trHeight w:val="543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Объем инвестиций в основной капитал за счет всех источников финансирования в ценах соответствующих лет по крупным и средним организациям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60700,4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59521,1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80332,7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73653,9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62018,8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57652,1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58713,5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60332,4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61162,3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61902,1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62623,5</w:t>
            </w:r>
          </w:p>
        </w:tc>
      </w:tr>
      <w:tr w:rsidR="00715DA4" w:rsidRPr="00715DA4" w:rsidTr="008A18DC">
        <w:trPr>
          <w:trHeight w:val="54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60700,4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59521,1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83151,7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78747,6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70003,9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69593,9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75109,1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78022,8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81462,2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84176,6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88134,3</w:t>
            </w:r>
          </w:p>
        </w:tc>
      </w:tr>
      <w:tr w:rsidR="00715DA4" w:rsidRPr="00715DA4" w:rsidTr="008A18DC">
        <w:trPr>
          <w:trHeight w:val="54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60700,4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59521,1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85400,0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83820,5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81310,3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85856,6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91867,1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95892,8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100473,2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106409,9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114030,4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97,2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104,9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цен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715DA4" w:rsidRPr="00715DA4" w:rsidTr="008A18DC">
        <w:trPr>
          <w:trHeight w:val="37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Ввод в эксплуатацию жилых домов (общая </w:t>
            </w: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площадь жилых помещений)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тыс. кв. 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268,1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255,6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122,0</w:t>
            </w:r>
          </w:p>
        </w:tc>
      </w:tr>
      <w:tr w:rsidR="00715DA4" w:rsidRPr="00715DA4" w:rsidTr="008A18DC">
        <w:trPr>
          <w:trHeight w:val="37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268,1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255,6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351,0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183,3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183,3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132,4</w:t>
            </w:r>
          </w:p>
        </w:tc>
      </w:tr>
      <w:tr w:rsidR="00715DA4" w:rsidRPr="00715DA4" w:rsidTr="008A18DC">
        <w:trPr>
          <w:trHeight w:val="37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268,1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255,6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336,1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691E85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313,5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307,1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265,3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255,9</w:t>
            </w:r>
          </w:p>
        </w:tc>
      </w:tr>
      <w:tr w:rsidR="00715DA4" w:rsidRPr="00715DA4" w:rsidTr="008A18DC">
        <w:trPr>
          <w:trHeight w:val="429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Поступление налогов и сборов в консолидированный бюджет Российской Федерации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563300,1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578080,3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534165,0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537177,0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537982,9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572710,2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593249,7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614695,4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637267,8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660777,2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685895,0</w:t>
            </w:r>
          </w:p>
        </w:tc>
      </w:tr>
      <w:tr w:rsidR="00715DA4" w:rsidRPr="00715DA4" w:rsidTr="008A18DC">
        <w:trPr>
          <w:trHeight w:val="422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563300,1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578080,3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574992,9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584649,6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607733,9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666105,4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690487,0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715829,9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741377,0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767708,7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796818,4</w:t>
            </w:r>
          </w:p>
        </w:tc>
      </w:tr>
      <w:tr w:rsidR="00715DA4" w:rsidRPr="00715DA4" w:rsidTr="008A18DC">
        <w:trPr>
          <w:trHeight w:val="52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563300,1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578080,3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615719,8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639237,3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665218,3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749723,1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780613,7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813052,9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848355,3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883485,8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919878,0</w:t>
            </w:r>
          </w:p>
        </w:tc>
      </w:tr>
      <w:tr w:rsidR="00715DA4" w:rsidRPr="00715DA4" w:rsidTr="008A18DC">
        <w:trPr>
          <w:trHeight w:val="51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Фонд заработной платы (фонд оплаты труда) работников крупных и средних организаций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130396,0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137558,7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143800,2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150952,5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158851,1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167202,1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176496,9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186495,3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197096,7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208527,2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222230,9</w:t>
            </w:r>
          </w:p>
        </w:tc>
      </w:tr>
      <w:tr w:rsidR="00715DA4" w:rsidRPr="00715DA4" w:rsidTr="008A18DC">
        <w:trPr>
          <w:trHeight w:val="51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130396,0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137558,7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144595,7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152695,6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161877,4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171298,3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181574,0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192568,1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204249,4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216795,7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232026,3</w:t>
            </w:r>
          </w:p>
        </w:tc>
      </w:tr>
      <w:tr w:rsidR="00715DA4" w:rsidRPr="00715DA4" w:rsidTr="008A18DC">
        <w:trPr>
          <w:trHeight w:val="51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130396,0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137558,7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145866,7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154621,7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164173,5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174346,9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185397,7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197262,5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209926,9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223529,3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239400,1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темп роста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106,6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107,0</w:t>
            </w:r>
          </w:p>
        </w:tc>
      </w:tr>
      <w:tr w:rsidR="00715DA4" w:rsidRPr="00715DA4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715DA4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107,1</w:t>
            </w:r>
          </w:p>
        </w:tc>
      </w:tr>
    </w:tbl>
    <w:p w:rsidR="000503D1" w:rsidRPr="00715DA4" w:rsidRDefault="000503D1"/>
    <w:p w:rsidR="000503D1" w:rsidRPr="00715DA4" w:rsidRDefault="000503D1"/>
    <w:p w:rsidR="00715DA4" w:rsidRPr="00715DA4" w:rsidRDefault="00715DA4"/>
    <w:p w:rsidR="00715DA4" w:rsidRPr="00715DA4" w:rsidRDefault="00715DA4"/>
    <w:p w:rsidR="00715DA4" w:rsidRPr="00715DA4" w:rsidRDefault="00715DA4"/>
    <w:p w:rsidR="00715DA4" w:rsidRPr="00715DA4" w:rsidRDefault="00715DA4"/>
    <w:p w:rsidR="00715DA4" w:rsidRPr="00715DA4" w:rsidRDefault="00715DA4"/>
    <w:p w:rsidR="00715DA4" w:rsidRPr="00715DA4" w:rsidRDefault="00715DA4"/>
    <w:p w:rsidR="00715DA4" w:rsidRPr="00715DA4" w:rsidRDefault="00715DA4"/>
    <w:p w:rsidR="00715DA4" w:rsidRPr="00715DA4" w:rsidRDefault="00715DA4"/>
    <w:p w:rsidR="00715DA4" w:rsidRPr="00715DA4" w:rsidRDefault="00715DA4"/>
    <w:p w:rsidR="00715DA4" w:rsidRPr="00715DA4" w:rsidRDefault="00715DA4"/>
    <w:p w:rsidR="00715DA4" w:rsidRPr="00715DA4" w:rsidRDefault="00715DA4">
      <w:pPr>
        <w:sectPr w:rsidR="00715DA4" w:rsidRPr="00715DA4" w:rsidSect="0048485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15DA4" w:rsidRPr="00715DA4" w:rsidRDefault="00715DA4" w:rsidP="00715DA4">
      <w:pPr>
        <w:autoSpaceDE w:val="0"/>
        <w:autoSpaceDN w:val="0"/>
        <w:adjustRightInd w:val="0"/>
        <w:jc w:val="center"/>
        <w:rPr>
          <w:szCs w:val="28"/>
        </w:rPr>
      </w:pPr>
      <w:r w:rsidRPr="00715DA4">
        <w:rPr>
          <w:szCs w:val="28"/>
        </w:rPr>
        <w:lastRenderedPageBreak/>
        <w:t>ПОЯСНИТЕЛЬНАЯ ЗАПИСКА</w:t>
      </w:r>
    </w:p>
    <w:p w:rsidR="00715DA4" w:rsidRPr="00715DA4" w:rsidRDefault="00715DA4" w:rsidP="00715D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5DA4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города</w:t>
      </w:r>
    </w:p>
    <w:p w:rsidR="00715DA4" w:rsidRPr="00715DA4" w:rsidRDefault="00715DA4" w:rsidP="00715DA4">
      <w:pPr>
        <w:jc w:val="center"/>
        <w:rPr>
          <w:szCs w:val="28"/>
        </w:rPr>
      </w:pPr>
      <w:r w:rsidRPr="00715DA4">
        <w:rPr>
          <w:rFonts w:cs="Times New Roman"/>
          <w:szCs w:val="28"/>
        </w:rPr>
        <w:t>«</w:t>
      </w:r>
      <w:r w:rsidRPr="00715DA4">
        <w:rPr>
          <w:szCs w:val="28"/>
        </w:rPr>
        <w:t>О внесении изменений в постановление Администрации города от 10.09.2018</w:t>
      </w:r>
    </w:p>
    <w:p w:rsidR="00715DA4" w:rsidRPr="00715DA4" w:rsidRDefault="00715DA4" w:rsidP="00715DA4">
      <w:pPr>
        <w:jc w:val="center"/>
        <w:rPr>
          <w:rFonts w:cs="Times New Roman"/>
          <w:b/>
          <w:szCs w:val="28"/>
        </w:rPr>
      </w:pPr>
      <w:r w:rsidRPr="00715DA4">
        <w:rPr>
          <w:szCs w:val="28"/>
        </w:rPr>
        <w:t xml:space="preserve">№ 6918 </w:t>
      </w:r>
      <w:r w:rsidRPr="00715DA4">
        <w:rPr>
          <w:spacing w:val="-6"/>
          <w:szCs w:val="28"/>
        </w:rPr>
        <w:t>«</w:t>
      </w:r>
      <w:r w:rsidRPr="00715DA4">
        <w:rPr>
          <w:szCs w:val="28"/>
        </w:rPr>
        <w:t>О прогнозе социально-экономического развития муниципального образования городской округ город Сургут на период до 2030 года</w:t>
      </w:r>
      <w:r w:rsidRPr="00715DA4">
        <w:rPr>
          <w:rFonts w:cs="Times New Roman"/>
          <w:szCs w:val="28"/>
        </w:rPr>
        <w:t>»</w:t>
      </w:r>
    </w:p>
    <w:p w:rsidR="00715DA4" w:rsidRPr="00715DA4" w:rsidRDefault="00715DA4" w:rsidP="00715D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5DA4" w:rsidRPr="00715DA4" w:rsidRDefault="00715DA4" w:rsidP="00715DA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sub_1022"/>
      <w:r w:rsidRPr="00715DA4">
        <w:rPr>
          <w:szCs w:val="28"/>
        </w:rPr>
        <w:t>При формировании проекта прогноза на среднесрочный период проведен сравнительный анализ значений основных макроэкономических показателей проекта</w:t>
      </w:r>
      <w:r w:rsidRPr="00715DA4">
        <w:rPr>
          <w:szCs w:val="28"/>
        </w:rPr>
        <w:br/>
        <w:t xml:space="preserve">со значениями показателей долгосрочного прогноза социально-экономического развития муниципального образования (далее – долгосрочный прогноз), утвержденного постановлением Администрации города от 10.09.2018 № 6918 </w:t>
      </w:r>
      <w:r w:rsidRPr="00715DA4">
        <w:rPr>
          <w:szCs w:val="28"/>
        </w:rPr>
        <w:br/>
        <w:t xml:space="preserve">(с изменениями от 26.12.2018). </w:t>
      </w:r>
    </w:p>
    <w:p w:rsidR="00715DA4" w:rsidRPr="00715DA4" w:rsidRDefault="00715DA4" w:rsidP="00715D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DA4">
        <w:rPr>
          <w:szCs w:val="28"/>
        </w:rPr>
        <w:t xml:space="preserve">Так, по консервативному и базовому варианту прогноза соответственно </w:t>
      </w:r>
      <w:r w:rsidRPr="00715DA4">
        <w:rPr>
          <w:szCs w:val="28"/>
        </w:rPr>
        <w:br/>
        <w:t>в среднем за 2022 – 2024 годы отклонения значений составили по показателям (в %):</w:t>
      </w:r>
    </w:p>
    <w:p w:rsidR="00715DA4" w:rsidRPr="00715DA4" w:rsidRDefault="00715DA4" w:rsidP="00715DA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136" w:type="dxa"/>
        <w:tblInd w:w="-5" w:type="dxa"/>
        <w:tblLook w:val="04A0" w:firstRow="1" w:lastRow="0" w:firstColumn="1" w:lastColumn="0" w:noHBand="0" w:noVBand="1"/>
      </w:tblPr>
      <w:tblGrid>
        <w:gridCol w:w="6096"/>
        <w:gridCol w:w="2020"/>
        <w:gridCol w:w="2020"/>
      </w:tblGrid>
      <w:tr w:rsidR="00715DA4" w:rsidRPr="00715DA4" w:rsidTr="00B9732C">
        <w:trPr>
          <w:trHeight w:val="5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Консервативный</w:t>
            </w:r>
          </w:p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вариант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Базовый вариант</w:t>
            </w:r>
          </w:p>
          <w:p w:rsidR="00715DA4" w:rsidRPr="00715DA4" w:rsidRDefault="00715DA4" w:rsidP="00B9732C">
            <w:pPr>
              <w:jc w:val="center"/>
              <w:rPr>
                <w:sz w:val="22"/>
              </w:rPr>
            </w:pPr>
          </w:p>
        </w:tc>
      </w:tr>
      <w:tr w:rsidR="00715DA4" w:rsidRPr="00715DA4" w:rsidTr="00B9732C">
        <w:trPr>
          <w:trHeight w:val="28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>Численность постоянного населения (на конец года)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2,3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2,8</w:t>
            </w:r>
          </w:p>
        </w:tc>
      </w:tr>
      <w:tr w:rsidR="00715DA4" w:rsidRPr="00715DA4" w:rsidTr="00B9732C">
        <w:trPr>
          <w:trHeight w:val="2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>Индекс потребительских цен (среднегодовой)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1,1</w:t>
            </w:r>
          </w:p>
        </w:tc>
      </w:tr>
      <w:tr w:rsidR="00715DA4" w:rsidRPr="00715DA4" w:rsidTr="00B9732C">
        <w:trPr>
          <w:trHeight w:val="2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>Среднедушевые денежные доходы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-3,5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-4,8</w:t>
            </w:r>
          </w:p>
        </w:tc>
      </w:tr>
      <w:tr w:rsidR="00715DA4" w:rsidRPr="00715DA4" w:rsidTr="00B9732C">
        <w:trPr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>Реальные денежные доходы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-1,9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-1,6</w:t>
            </w:r>
          </w:p>
        </w:tc>
      </w:tr>
      <w:tr w:rsidR="00715DA4" w:rsidRPr="00715DA4" w:rsidTr="00B9732C">
        <w:trPr>
          <w:trHeight w:val="5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>Среднегодовая численность занятых в экономике на территории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-0,4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-0,1</w:t>
            </w:r>
          </w:p>
        </w:tc>
      </w:tr>
      <w:tr w:rsidR="00715DA4" w:rsidRPr="00715DA4" w:rsidTr="00B9732C">
        <w:trPr>
          <w:trHeight w:val="4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>Индекс промышленного производства по крупным и средним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-3,5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-2,8</w:t>
            </w:r>
          </w:p>
        </w:tc>
      </w:tr>
      <w:tr w:rsidR="00715DA4" w:rsidRPr="00715DA4" w:rsidTr="00B9732C">
        <w:trPr>
          <w:trHeight w:val="7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>Объем выполненных работ по виду экономической деятельности «Строительство» в сопоставимых ценах по крупным и средним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1,5</w:t>
            </w:r>
          </w:p>
        </w:tc>
      </w:tr>
      <w:tr w:rsidR="00715DA4" w:rsidRPr="00715DA4" w:rsidTr="00B9732C">
        <w:trPr>
          <w:trHeight w:val="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>Оборот малого бизнеса в сопоставимых ценах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-3,2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-1,6</w:t>
            </w:r>
          </w:p>
        </w:tc>
      </w:tr>
      <w:tr w:rsidR="00715DA4" w:rsidRPr="00715DA4" w:rsidTr="00B9732C">
        <w:trPr>
          <w:trHeight w:val="4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>Оборот розничной торговли в сопоставимых ценах по крупным и средним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-1,6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-1,5</w:t>
            </w:r>
          </w:p>
        </w:tc>
      </w:tr>
      <w:tr w:rsidR="00715DA4" w:rsidRPr="00715DA4" w:rsidTr="00B9732C">
        <w:trPr>
          <w:trHeight w:val="4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>Темп роста фонда заработной платы по крупным и средним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0,1</w:t>
            </w:r>
          </w:p>
        </w:tc>
      </w:tr>
    </w:tbl>
    <w:p w:rsidR="00715DA4" w:rsidRPr="00715DA4" w:rsidRDefault="00715DA4" w:rsidP="00715DA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bookmarkEnd w:id="0"/>
    <w:p w:rsidR="00715DA4" w:rsidRPr="00715DA4" w:rsidRDefault="00715DA4" w:rsidP="00715D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DA4">
        <w:rPr>
          <w:szCs w:val="28"/>
        </w:rPr>
        <w:t>Проведенный сравнительный анализ по оценке основных макроэкономических показателей позволил сделать вывод о необходимости корректировки долгосрочного прогноза, в связи с чем подготовлен проект внесения изменений в прогноз социально-экономического развития муниципального образования на период до 2030 года.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 xml:space="preserve">Прогноз социально-экономического развития муниципального образования городской округ Сургут Ханты-Мансийского автономного округа – Югры </w:t>
      </w:r>
      <w:r w:rsidRPr="00715DA4">
        <w:rPr>
          <w:szCs w:val="28"/>
        </w:rPr>
        <w:br/>
        <w:t>на долгосрочный период сформирован в соответствии с порядком разработки прогноза на долгосрочный период, основными параметрами прогноза социально-экономического развития Российской Федерации и Ханты-Мансийского автономного округа – Югры на долгосрочный период.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 xml:space="preserve">За исходные данные приняты итоги социально-экономического развития муниципального образования за 2015 - 2020 годы (таблица 1) и оценка 2021 года, прогноз социально-экономического развития муниципального образования </w:t>
      </w:r>
      <w:r w:rsidRPr="00715DA4">
        <w:rPr>
          <w:szCs w:val="28"/>
        </w:rPr>
        <w:br/>
        <w:t xml:space="preserve">на среднесрочный период, материалы, </w:t>
      </w:r>
      <w:r w:rsidRPr="00715DA4">
        <w:rPr>
          <w:spacing w:val="-4"/>
          <w:szCs w:val="28"/>
        </w:rPr>
        <w:t xml:space="preserve">представленные организациями города, </w:t>
      </w:r>
      <w:r w:rsidRPr="00715DA4">
        <w:rPr>
          <w:spacing w:val="-4"/>
          <w:szCs w:val="28"/>
        </w:rPr>
        <w:lastRenderedPageBreak/>
        <w:t>исполнительными органами государственной</w:t>
      </w:r>
      <w:r w:rsidRPr="00715DA4">
        <w:rPr>
          <w:szCs w:val="28"/>
        </w:rPr>
        <w:t xml:space="preserve"> власти, структурными подразделениями Администрации города, муниципальными казенными учреждениями, расчеты специалистов отдела социально-экономического прогнозирования.</w:t>
      </w:r>
    </w:p>
    <w:p w:rsidR="00715DA4" w:rsidRPr="00715DA4" w:rsidRDefault="00715DA4" w:rsidP="00715DA4">
      <w:pPr>
        <w:ind w:firstLine="709"/>
        <w:jc w:val="both"/>
        <w:rPr>
          <w:bCs/>
          <w:spacing w:val="1"/>
          <w:szCs w:val="28"/>
        </w:rPr>
      </w:pPr>
      <w:r w:rsidRPr="00715DA4">
        <w:rPr>
          <w:szCs w:val="28"/>
        </w:rPr>
        <w:t xml:space="preserve">Разработка параметров прогноза осуществлена в трех вариантах: консервативном, базовом и целевом. Варианты прогноза отличаются оценками основных макроэкономических факторов и тенденций, при этом все они учитывают </w:t>
      </w:r>
      <w:r w:rsidRPr="00715DA4">
        <w:rPr>
          <w:bCs/>
          <w:spacing w:val="1"/>
          <w:szCs w:val="28"/>
        </w:rPr>
        <w:t>масштабные вызовы, обусловленные сложными геополитическими условиями и ситуацией на мировых товарных рынках.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rFonts w:cs="Times New Roman"/>
          <w:szCs w:val="28"/>
        </w:rPr>
        <w:t xml:space="preserve">Консервативный </w:t>
      </w:r>
      <w:r w:rsidRPr="00715DA4">
        <w:rPr>
          <w:szCs w:val="28"/>
        </w:rPr>
        <w:t>сценарий основан на предпосылке о более затяжном</w:t>
      </w:r>
      <w:r w:rsidRPr="00715DA4">
        <w:rPr>
          <w:rFonts w:cs="Times New Roman"/>
          <w:szCs w:val="28"/>
        </w:rPr>
        <w:t xml:space="preserve"> </w:t>
      </w:r>
      <w:r w:rsidRPr="00715DA4">
        <w:rPr>
          <w:szCs w:val="28"/>
        </w:rPr>
        <w:t xml:space="preserve">восстановлении </w:t>
      </w:r>
      <w:r w:rsidRPr="00715DA4">
        <w:rPr>
          <w:rFonts w:cs="Times New Roman"/>
          <w:szCs w:val="28"/>
        </w:rPr>
        <w:t>темпов экономического роста с учетом возможности ухудшения внешнеэкономических условий</w:t>
      </w:r>
      <w:r w:rsidRPr="00715DA4">
        <w:rPr>
          <w:szCs w:val="28"/>
        </w:rPr>
        <w:t>, что предполагает низкий уровень деловой и инвестиционной активности и, как следствие, более низкий уровень доходов населения и потребления.</w:t>
      </w:r>
    </w:p>
    <w:p w:rsidR="00715DA4" w:rsidRPr="00715DA4" w:rsidRDefault="00715DA4" w:rsidP="00715D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DA4">
        <w:rPr>
          <w:szCs w:val="28"/>
        </w:rPr>
        <w:t xml:space="preserve">Базовый сценарий учитывает реализацию мероприятий, способствующих достижению национальных целей и выход экономики на траекторию устойчивого роста, что определяет более высокий уровень деловой и инвестиционной активности, </w:t>
      </w:r>
      <w:r w:rsidRPr="00715DA4">
        <w:rPr>
          <w:spacing w:val="-4"/>
          <w:szCs w:val="28"/>
        </w:rPr>
        <w:t>занятости, доходов</w:t>
      </w:r>
      <w:r w:rsidRPr="00715DA4">
        <w:rPr>
          <w:szCs w:val="28"/>
        </w:rPr>
        <w:t xml:space="preserve"> и потребления населения.</w:t>
      </w:r>
    </w:p>
    <w:p w:rsidR="00715DA4" w:rsidRPr="00715DA4" w:rsidRDefault="00715DA4" w:rsidP="00715DA4">
      <w:pPr>
        <w:ind w:firstLine="709"/>
        <w:jc w:val="both"/>
        <w:rPr>
          <w:rFonts w:cs="Times New Roman"/>
          <w:szCs w:val="28"/>
        </w:rPr>
      </w:pPr>
      <w:bookmarkStart w:id="1" w:name="sub_1304"/>
      <w:r w:rsidRPr="00715DA4">
        <w:rPr>
          <w:rFonts w:cs="Times New Roman"/>
          <w:szCs w:val="28"/>
        </w:rPr>
        <w:t xml:space="preserve">Целевой </w:t>
      </w:r>
      <w:r w:rsidRPr="00715DA4">
        <w:rPr>
          <w:szCs w:val="28"/>
        </w:rPr>
        <w:t xml:space="preserve">сценарий основан на предпосылке </w:t>
      </w:r>
      <w:r w:rsidRPr="00715DA4">
        <w:rPr>
          <w:rFonts w:cs="Times New Roman"/>
          <w:szCs w:val="28"/>
        </w:rPr>
        <w:t>усиления инновационной и инвестиционной направленности развития экономики города с учетом достижения генеральной стратегической цели стратегии социально-экономического развития муниципального образования.</w:t>
      </w:r>
      <w:bookmarkEnd w:id="1"/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Прогноз социально-экономического развития муниципального образования городской округ Сургут Ханты-Мансийского автономного округа – Югры на долгосрочный период сформирован в соответствии с порядком разработки прогноза на долгосрочный период, основными параметрами прогноза социально-экономического развития Российской Федерации и Ханты-Мансийского автономного округа – Югры на долгосрочный период.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 xml:space="preserve">За исходные данные приняты итоги социально-экономического развития муниципального образования за 2015 - 2020 годы и оценка 2021 года, прогноз социально-экономического развития муниципального образования </w:t>
      </w:r>
      <w:r w:rsidRPr="00715DA4">
        <w:rPr>
          <w:szCs w:val="28"/>
        </w:rPr>
        <w:br/>
        <w:t xml:space="preserve">на среднесрочный период, материалы, </w:t>
      </w:r>
      <w:r w:rsidRPr="00715DA4">
        <w:rPr>
          <w:spacing w:val="-4"/>
          <w:szCs w:val="28"/>
        </w:rPr>
        <w:t>представленные организациями города, исполнительными органами государственной</w:t>
      </w:r>
      <w:r w:rsidRPr="00715DA4">
        <w:rPr>
          <w:szCs w:val="28"/>
        </w:rPr>
        <w:t xml:space="preserve"> власти, структурными подразделениями Администрации города, муниципальными казенными учреждениями, расчеты специалистов отдела социально-экономического прогнозирования.</w:t>
      </w:r>
    </w:p>
    <w:p w:rsidR="00715DA4" w:rsidRPr="00715DA4" w:rsidRDefault="00715DA4" w:rsidP="00715DA4">
      <w:pPr>
        <w:ind w:firstLine="709"/>
        <w:jc w:val="both"/>
        <w:rPr>
          <w:bCs/>
          <w:spacing w:val="1"/>
          <w:szCs w:val="28"/>
        </w:rPr>
      </w:pPr>
      <w:r w:rsidRPr="00715DA4">
        <w:rPr>
          <w:szCs w:val="28"/>
        </w:rPr>
        <w:t xml:space="preserve">Разработка параметров прогноза осуществлена в трех вариантах: консервативном, базовом и целевом. Варианты прогноза отличаются оценками основных макроэкономических факторов и тенденций, при этом все они учитывают </w:t>
      </w:r>
      <w:r w:rsidRPr="00715DA4">
        <w:rPr>
          <w:bCs/>
          <w:spacing w:val="1"/>
          <w:szCs w:val="28"/>
        </w:rPr>
        <w:t>масштабные вызовы, обусловленные сложными геополитическими условиями и ситуацией на мировых товарных рынках.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Консервативный сценарий основан на предпосылке о более затяжном восстановлении темпов экономического роста с учетом возможности ухудшения внешнеэкономических условий, что предполагает низкий уровень деловой и инвестиционной активности и, как следствие, более низкий уровень доходов населения и потребления.</w:t>
      </w:r>
    </w:p>
    <w:p w:rsidR="00715DA4" w:rsidRPr="00715DA4" w:rsidRDefault="00715DA4" w:rsidP="00715D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DA4">
        <w:rPr>
          <w:szCs w:val="28"/>
        </w:rPr>
        <w:lastRenderedPageBreak/>
        <w:t xml:space="preserve">Базовый сценарий учитывает реализацию мероприятий, способствующих достижению национальных целей и выход экономики на траекторию устойчивого роста, что определяет более высокий уровень деловой и инвестиционной активности, </w:t>
      </w:r>
      <w:r w:rsidRPr="00715DA4">
        <w:rPr>
          <w:spacing w:val="-4"/>
          <w:szCs w:val="28"/>
        </w:rPr>
        <w:t>занятости, доходов</w:t>
      </w:r>
      <w:r w:rsidRPr="00715DA4">
        <w:rPr>
          <w:szCs w:val="28"/>
        </w:rPr>
        <w:t xml:space="preserve"> и потребления населения.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Целевой сценарий основан на предпосылке усиления инновационной и инвестиционной направленности развития экономики города с учетом достижения генеральной стратегической цели стратегии социально-экономического развития муниципального образования.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Сценарии прогноза на долгосрочную перспективу основаны на следующих тенденциях и предпосылках: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для показателей, характеризующих демографическую ситуацию:</w:t>
      </w:r>
    </w:p>
    <w:p w:rsidR="00715DA4" w:rsidRPr="00715DA4" w:rsidRDefault="00715DA4" w:rsidP="00715DA4">
      <w:pPr>
        <w:ind w:firstLine="709"/>
        <w:jc w:val="both"/>
        <w:rPr>
          <w:bCs/>
          <w:szCs w:val="28"/>
        </w:rPr>
      </w:pPr>
      <w:r w:rsidRPr="00715DA4">
        <w:rPr>
          <w:bCs/>
          <w:szCs w:val="28"/>
        </w:rPr>
        <w:t>- прирост численности постоянного населения города, обеспеченный положительным как естественным, так и миграционным приростом;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возрастная структура населения, характеризующаяся снижением доли населения моложе трудоспособного возраста, в трудоспособном возрасте (в условиях сопоставимости его границ), в том числе женщин активного репродуктивного возраста, на фоне устойчивого роста доли населения старше трудоспособного возраста;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 xml:space="preserve">- изменения возрастной структуры населения являются основным фактором, </w:t>
      </w:r>
      <w:r w:rsidRPr="00715DA4">
        <w:rPr>
          <w:spacing w:val="-4"/>
          <w:szCs w:val="28"/>
        </w:rPr>
        <w:t xml:space="preserve">определяющим падение темпов естественного прироста как за счет снижения уровня рождаемости, так и за счет роста уровня смертности, увеличение </w:t>
      </w:r>
      <w:r w:rsidRPr="00715DA4">
        <w:rPr>
          <w:szCs w:val="28"/>
        </w:rPr>
        <w:t xml:space="preserve">«демографической нагрузки» на лиц в трудоспособном возрасте, в основном в связи с </w:t>
      </w:r>
      <w:r w:rsidRPr="00715DA4">
        <w:rPr>
          <w:bCs/>
          <w:szCs w:val="28"/>
        </w:rPr>
        <w:t>«демографическое старение» населения</w:t>
      </w:r>
      <w:r w:rsidRPr="00715DA4">
        <w:rPr>
          <w:szCs w:val="28"/>
        </w:rPr>
        <w:t>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с 2029 года незначительное увеличение доли населения в трудоспособном возрасте, в том числе доли женщин активного репродуктивного возраста;</w:t>
      </w:r>
    </w:p>
    <w:p w:rsidR="00715DA4" w:rsidRPr="00715DA4" w:rsidRDefault="00715DA4" w:rsidP="00715DA4">
      <w:pPr>
        <w:ind w:firstLine="709"/>
        <w:jc w:val="both"/>
        <w:rPr>
          <w:bCs/>
          <w:szCs w:val="28"/>
        </w:rPr>
      </w:pPr>
      <w:r w:rsidRPr="00715DA4">
        <w:rPr>
          <w:bCs/>
          <w:szCs w:val="28"/>
        </w:rPr>
        <w:t xml:space="preserve">- увеличение среднего возраста населения, обуславливаемого, с одной стороны, снижением рождаемости и </w:t>
      </w:r>
      <w:r w:rsidRPr="00715DA4">
        <w:rPr>
          <w:szCs w:val="28"/>
        </w:rPr>
        <w:t>увеличением, с другой стороны, средней продолжительности жизни.</w:t>
      </w:r>
    </w:p>
    <w:p w:rsidR="00715DA4" w:rsidRPr="00715DA4" w:rsidRDefault="00715DA4" w:rsidP="00715DA4">
      <w:pPr>
        <w:ind w:firstLine="709"/>
        <w:jc w:val="both"/>
        <w:rPr>
          <w:spacing w:val="-4"/>
          <w:szCs w:val="28"/>
        </w:rPr>
      </w:pPr>
      <w:r w:rsidRPr="00715DA4">
        <w:rPr>
          <w:spacing w:val="-4"/>
          <w:szCs w:val="28"/>
        </w:rPr>
        <w:t>для показателей, характеризующих уровень жизни населения: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темпы роста всех основных видов доходов населения опережают темпы роста потребительских цен, что определяет положительную динамику их покупательной способности (рост реальных доходов населения);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в свою очередь, рост покупательной способности доходов населения обеспечивает рост среднедушевого потребления в натуральном выражении, при этом к концу долгосрочного периода уровень среднедушевого потребления не превысит «докризисный»;</w:t>
      </w:r>
    </w:p>
    <w:p w:rsidR="00715DA4" w:rsidRPr="00715DA4" w:rsidRDefault="00715DA4" w:rsidP="00715DA4">
      <w:pPr>
        <w:widowControl w:val="0"/>
        <w:ind w:firstLine="709"/>
        <w:jc w:val="both"/>
        <w:rPr>
          <w:szCs w:val="28"/>
        </w:rPr>
      </w:pPr>
      <w:r w:rsidRPr="00715DA4">
        <w:rPr>
          <w:szCs w:val="28"/>
        </w:rPr>
        <w:t xml:space="preserve">- за долгосрочный период не произойдет восстановления покупательной способности доходов населения к «докризисному» уровню (2014 года) </w:t>
      </w:r>
      <w:r w:rsidRPr="00715DA4">
        <w:rPr>
          <w:szCs w:val="28"/>
        </w:rPr>
        <w:br/>
        <w:t>по консервативному и базовому вариантам, покупательной способности доходов превысит «докризисный» уровень по целевому варианту прогноза;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 xml:space="preserve">- на фоне </w:t>
      </w:r>
      <w:r w:rsidRPr="00715DA4">
        <w:rPr>
          <w:bCs/>
          <w:szCs w:val="28"/>
        </w:rPr>
        <w:t>роста деловой и инвестиционной активности</w:t>
      </w:r>
      <w:r w:rsidRPr="00715DA4">
        <w:rPr>
          <w:szCs w:val="28"/>
        </w:rPr>
        <w:t xml:space="preserve"> темпы роста доходов от предпринимательской деятельности более высокие, что, в свою очередь, определяет увеличение их доли в доходах населения;</w:t>
      </w:r>
    </w:p>
    <w:p w:rsidR="00715DA4" w:rsidRPr="00715DA4" w:rsidRDefault="00715DA4" w:rsidP="00715DA4">
      <w:pPr>
        <w:ind w:firstLine="709"/>
        <w:jc w:val="both"/>
        <w:rPr>
          <w:spacing w:val="-4"/>
          <w:szCs w:val="28"/>
        </w:rPr>
      </w:pPr>
      <w:r w:rsidRPr="00715DA4">
        <w:rPr>
          <w:spacing w:val="-4"/>
          <w:szCs w:val="28"/>
        </w:rPr>
        <w:lastRenderedPageBreak/>
        <w:t>- дальнейшая реализация мер по повышению заработной платы отдельных целевых категорий работников бюджетных учреждений в соответствии с указами Президента Российской Федерации;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не предусматривается опережающий рост величины прожиточного минимума над темпами роста инфляции по консервативному и базовому варианту;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pacing w:val="-4"/>
          <w:szCs w:val="28"/>
        </w:rPr>
        <w:t>- в структуре потребления возрастет доля расходов на непродовольственные</w:t>
      </w:r>
      <w:r w:rsidRPr="00715DA4">
        <w:rPr>
          <w:szCs w:val="28"/>
        </w:rPr>
        <w:t xml:space="preserve"> товары и ряд услуг необязательного характера;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динамика составляющих доходов населения в целевом варианте прогноза предполагается выше, чем в базовом варианте, в свою очередь, в базовом варианте - выше, чем в консервативном.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pacing w:val="-4"/>
          <w:szCs w:val="28"/>
        </w:rPr>
        <w:t xml:space="preserve">для показателей, характеризующих состояние </w:t>
      </w:r>
      <w:r w:rsidRPr="00715DA4">
        <w:rPr>
          <w:szCs w:val="28"/>
        </w:rPr>
        <w:t>рынка труда города: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 xml:space="preserve">- опережающие темпы прироста численности трудовых ресурсов по сравнению с темпами прироста численности экономически активного населения (рабочей силы) на фоне сохранения тенденции снижения доли численности населения </w:t>
      </w:r>
      <w:r w:rsidRPr="00715DA4">
        <w:rPr>
          <w:szCs w:val="28"/>
        </w:rPr>
        <w:br/>
        <w:t>в трудоспособном возрасте (в условиях сопоставимости его границ);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 xml:space="preserve">- на фоне роста деловой активности темпы прироста численности занятых </w:t>
      </w:r>
      <w:r w:rsidRPr="00715DA4">
        <w:rPr>
          <w:szCs w:val="28"/>
        </w:rPr>
        <w:br/>
        <w:t>в секторе малого предпринимательства опережают темпы прироста численности работников крупных и средних организаций, в первую очередь в сферах наиболее пострадавших от жестких карантинных ограничений в условиях пандемии;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снижение численности официально зарегистрированных безработных граждан и уровня безработицы, в том числе вследствие реализации мер социальной поддержки и поддержки бизнеса;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увеличение сальдо маятниковой трудовой миграции, обусловленного ростом численности занятых на производствах других муниципальных образований округа;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в разрезе видов экономической деятельности наиболее значительный прирост занятости в обрабатывающем секторе малого и среднего бизнеса на фоне улучшения инвестиционного климата, а также в сфере услуг, обусловленный значительными темпами прироста численности населения.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pacing w:val="-4"/>
          <w:szCs w:val="28"/>
        </w:rPr>
        <w:t xml:space="preserve">для показателей, характеризующих </w:t>
      </w:r>
      <w:r w:rsidRPr="00715DA4">
        <w:rPr>
          <w:szCs w:val="28"/>
        </w:rPr>
        <w:t>производство товаров и услуг:</w:t>
      </w:r>
    </w:p>
    <w:p w:rsidR="00715DA4" w:rsidRPr="00715DA4" w:rsidRDefault="00715DA4" w:rsidP="00715DA4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715DA4">
        <w:rPr>
          <w:sz w:val="28"/>
          <w:szCs w:val="28"/>
        </w:rPr>
        <w:t>- объемы производства товаров и услуг обеспечиваются, в основном, деятельностью системообразующих предприятий, осуществляющих производственно-хозяйственную деятельность на территории города;</w:t>
      </w:r>
    </w:p>
    <w:p w:rsidR="00715DA4" w:rsidRPr="00715DA4" w:rsidRDefault="00715DA4" w:rsidP="00715DA4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715DA4">
        <w:rPr>
          <w:sz w:val="28"/>
          <w:szCs w:val="28"/>
        </w:rPr>
        <w:t>- структура производства не претерпит существенных колебаний;</w:t>
      </w:r>
    </w:p>
    <w:p w:rsidR="00715DA4" w:rsidRPr="00715DA4" w:rsidRDefault="00715DA4" w:rsidP="00715DA4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715DA4">
        <w:rPr>
          <w:sz w:val="28"/>
          <w:szCs w:val="28"/>
        </w:rPr>
        <w:t>- зависимость рынка нефтепродуктов от ситуации на мировых сырьевых рынках;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стабилизация динамики цен и тарифов на энергетических предприятиях;</w:t>
      </w:r>
    </w:p>
    <w:p w:rsidR="00715DA4" w:rsidRPr="00715DA4" w:rsidRDefault="00715DA4" w:rsidP="00715DA4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15DA4">
        <w:rPr>
          <w:sz w:val="28"/>
          <w:szCs w:val="28"/>
        </w:rPr>
        <w:t xml:space="preserve">- сохранение в ряде отраслей низкой конкурентоспособности продукции </w:t>
      </w:r>
      <w:r w:rsidRPr="00715DA4">
        <w:rPr>
          <w:sz w:val="28"/>
          <w:szCs w:val="28"/>
        </w:rPr>
        <w:br/>
        <w:t>на фоне отсутствия процессов технологического обновления;</w:t>
      </w:r>
    </w:p>
    <w:p w:rsidR="00715DA4" w:rsidRPr="00715DA4" w:rsidRDefault="00715DA4" w:rsidP="00715DA4">
      <w:pPr>
        <w:pStyle w:val="2"/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715DA4">
        <w:rPr>
          <w:sz w:val="28"/>
          <w:szCs w:val="28"/>
        </w:rPr>
        <w:t>- с</w:t>
      </w:r>
      <w:r w:rsidRPr="00715DA4">
        <w:rPr>
          <w:rFonts w:eastAsiaTheme="minorHAnsi"/>
          <w:sz w:val="28"/>
          <w:szCs w:val="28"/>
        </w:rPr>
        <w:t>оздание благоприятных условий для формирования высокотехнологичных, конкурентоспособных обрабатывающих производств на базе индустриальных парков.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pacing w:val="-4"/>
          <w:szCs w:val="28"/>
        </w:rPr>
        <w:t xml:space="preserve">для показателей, характеризующих </w:t>
      </w:r>
      <w:r w:rsidRPr="00715DA4">
        <w:rPr>
          <w:szCs w:val="28"/>
        </w:rPr>
        <w:t>развитие малого бизнеса:</w:t>
      </w:r>
    </w:p>
    <w:p w:rsidR="00715DA4" w:rsidRPr="00715DA4" w:rsidRDefault="00715DA4" w:rsidP="00715DA4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715DA4">
        <w:rPr>
          <w:sz w:val="28"/>
          <w:szCs w:val="28"/>
        </w:rPr>
        <w:t xml:space="preserve">- развитие сектора малого бизнеса определяется ростом деловой активности, </w:t>
      </w:r>
      <w:r w:rsidRPr="00715DA4">
        <w:rPr>
          <w:sz w:val="28"/>
          <w:szCs w:val="28"/>
        </w:rPr>
        <w:br/>
        <w:t xml:space="preserve">а также реализацией мероприятий по поддержке бизнеса. </w:t>
      </w:r>
    </w:p>
    <w:p w:rsidR="00715DA4" w:rsidRPr="00715DA4" w:rsidRDefault="00715DA4" w:rsidP="00715DA4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715DA4">
        <w:rPr>
          <w:sz w:val="28"/>
          <w:szCs w:val="28"/>
        </w:rPr>
        <w:lastRenderedPageBreak/>
        <w:t>- по консервативному варианту не произойдет восстановления оборотов малого бизнеса к уровню 2021 года.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pacing w:val="-4"/>
          <w:szCs w:val="28"/>
        </w:rPr>
        <w:t xml:space="preserve">для показателей, характеризующих развитие </w:t>
      </w:r>
      <w:r w:rsidRPr="00715DA4">
        <w:rPr>
          <w:szCs w:val="28"/>
        </w:rPr>
        <w:t>потребительского рынка: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положительная динамика оборотов рынка товаров и услуг, обуславливаемая ростом потребительского спроса домашних хозяйств на фоне повышения покупательной способности доходов населения, положительной динамикой численности населения города, а также дальнейшим развитием инфраструктуры потребительского рынка;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расширение инфраструктуры потребительского рынка, как за счет застройки новых жилых микрорайонов города, так и за счет реконструкции существующей застройки;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развитие закрытой сети общественного питания за счет ввода в эксплуатацию объектов социальной инфраструктуры;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дальнейшее переформатирование предприятий торговли и общественного питания на фоне развития новых технологий, коммуникаций, средств доставки;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стабилизация темпов роста объемов сетевых компаний;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 xml:space="preserve">- увеличение объемов </w:t>
      </w:r>
      <w:proofErr w:type="spellStart"/>
      <w:r w:rsidRPr="00715DA4">
        <w:rPr>
          <w:szCs w:val="28"/>
        </w:rPr>
        <w:t>интернет-торговли</w:t>
      </w:r>
      <w:proofErr w:type="spellEnd"/>
      <w:r w:rsidRPr="00715DA4">
        <w:rPr>
          <w:szCs w:val="28"/>
        </w:rPr>
        <w:t>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увеличение в общем обороте розничной торговли доли объемов розничной торговли непродовольственными товарами;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рост степени удовлетворенности потребности в услугах за счет более полного территориального охвата жилых районов;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расширение спектра услуг, оказываемых отдельным предприятием;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повышение конкурентоспособности предприятий сферы услуг и, следовательно, качества предоставляемых услуг.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pacing w:val="-4"/>
          <w:szCs w:val="28"/>
        </w:rPr>
        <w:t xml:space="preserve">для показателей, характеризующих </w:t>
      </w:r>
      <w:r w:rsidRPr="00715DA4">
        <w:rPr>
          <w:szCs w:val="28"/>
        </w:rPr>
        <w:t>инвестиционную деятельность и финансы организаций:</w:t>
      </w:r>
    </w:p>
    <w:p w:rsidR="00715DA4" w:rsidRPr="00715DA4" w:rsidRDefault="00715DA4" w:rsidP="00715DA4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715DA4">
        <w:rPr>
          <w:sz w:val="28"/>
          <w:szCs w:val="28"/>
        </w:rPr>
        <w:t xml:space="preserve">- темпы роста объемов инвестиций в основной капитал определяются, </w:t>
      </w:r>
      <w:r w:rsidRPr="00715DA4">
        <w:rPr>
          <w:sz w:val="28"/>
          <w:szCs w:val="28"/>
        </w:rPr>
        <w:br/>
        <w:t>в основном, объемами средств предприятий топливно-энергетического комплекса, направленных на реконструкцию и модернизацию производственных мощностей, а также объемами бюджетных средств, запланированных на развитие транспортной, инженерной и социальной инфраструктуры города;</w:t>
      </w:r>
      <w:bookmarkStart w:id="2" w:name="_GoBack"/>
      <w:bookmarkEnd w:id="2"/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осуществление реализации крупных инвестиционных проектов в рамках государственных программ;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создание благоприятных условий для улучшение инвестиционного климата;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дальнейшее развитие различных форм государственно-частного партнерства;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расширение сети индустриальных парков с возможностью создания кластеров.</w:t>
      </w:r>
    </w:p>
    <w:p w:rsidR="00715DA4" w:rsidRPr="00715DA4" w:rsidRDefault="00715DA4" w:rsidP="00715DA4">
      <w:pPr>
        <w:pStyle w:val="ab"/>
        <w:spacing w:after="0"/>
        <w:ind w:firstLine="709"/>
        <w:jc w:val="both"/>
        <w:rPr>
          <w:sz w:val="28"/>
          <w:szCs w:val="28"/>
        </w:rPr>
      </w:pPr>
      <w:r w:rsidRPr="00715DA4">
        <w:rPr>
          <w:sz w:val="28"/>
          <w:szCs w:val="28"/>
        </w:rPr>
        <w:t xml:space="preserve">- конъюнктура на сырьевых рынках и курс рубля к иностранным валютам, </w:t>
      </w:r>
      <w:r w:rsidRPr="00715DA4">
        <w:rPr>
          <w:sz w:val="28"/>
          <w:szCs w:val="28"/>
        </w:rPr>
        <w:br/>
        <w:t>по-прежнему, основные факторы, определяющие финансовый результат деятельности организаций;</w:t>
      </w:r>
    </w:p>
    <w:p w:rsidR="00715DA4" w:rsidRPr="00715DA4" w:rsidRDefault="00715DA4" w:rsidP="00715DA4">
      <w:pPr>
        <w:pStyle w:val="ab"/>
        <w:spacing w:after="0"/>
        <w:ind w:firstLine="709"/>
        <w:jc w:val="both"/>
        <w:rPr>
          <w:rFonts w:eastAsiaTheme="minorHAnsi"/>
          <w:sz w:val="28"/>
          <w:szCs w:val="28"/>
        </w:rPr>
      </w:pPr>
      <w:r w:rsidRPr="00715DA4">
        <w:rPr>
          <w:sz w:val="28"/>
          <w:szCs w:val="28"/>
        </w:rPr>
        <w:t xml:space="preserve">- </w:t>
      </w:r>
      <w:r w:rsidRPr="00715DA4">
        <w:rPr>
          <w:rFonts w:eastAsiaTheme="minorHAnsi"/>
          <w:sz w:val="28"/>
          <w:szCs w:val="28"/>
        </w:rPr>
        <w:t>положительная динамика</w:t>
      </w:r>
      <w:r w:rsidRPr="00715DA4">
        <w:rPr>
          <w:sz w:val="28"/>
          <w:szCs w:val="28"/>
        </w:rPr>
        <w:t xml:space="preserve"> на сырьевых рынках </w:t>
      </w:r>
      <w:r w:rsidRPr="00715DA4">
        <w:rPr>
          <w:rFonts w:eastAsiaTheme="minorHAnsi"/>
          <w:sz w:val="28"/>
          <w:szCs w:val="28"/>
        </w:rPr>
        <w:t xml:space="preserve">в условиях продолжающегося восстановления спроса на фоне </w:t>
      </w:r>
      <w:r w:rsidRPr="00715DA4">
        <w:rPr>
          <w:sz w:val="28"/>
          <w:szCs w:val="28"/>
        </w:rPr>
        <w:t>поэтапного снижения среднегодовой цены на нефть марки «Юралс» по мере запланированного наращивания добычи в рамках сделки ОПЕК+;</w:t>
      </w:r>
      <w:r w:rsidRPr="00715DA4">
        <w:rPr>
          <w:rFonts w:eastAsiaTheme="minorHAnsi"/>
          <w:sz w:val="28"/>
          <w:szCs w:val="28"/>
        </w:rPr>
        <w:t xml:space="preserve"> 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lastRenderedPageBreak/>
        <w:t>- завершение налогового маневра в нефтяной отрасли;</w:t>
      </w:r>
    </w:p>
    <w:p w:rsidR="00715DA4" w:rsidRPr="00715DA4" w:rsidRDefault="00715DA4" w:rsidP="00715DA4">
      <w:pPr>
        <w:pStyle w:val="ab"/>
        <w:spacing w:after="0"/>
        <w:ind w:firstLine="709"/>
        <w:jc w:val="both"/>
        <w:rPr>
          <w:sz w:val="28"/>
          <w:szCs w:val="28"/>
        </w:rPr>
      </w:pPr>
      <w:r w:rsidRPr="00715DA4">
        <w:rPr>
          <w:spacing w:val="-4"/>
          <w:sz w:val="28"/>
          <w:szCs w:val="28"/>
        </w:rPr>
        <w:t xml:space="preserve">- темпы прироста среднесписочной численности работников и номинальной </w:t>
      </w:r>
      <w:r w:rsidRPr="00715DA4">
        <w:rPr>
          <w:sz w:val="28"/>
          <w:szCs w:val="28"/>
        </w:rPr>
        <w:t xml:space="preserve">заработной платы </w:t>
      </w:r>
      <w:r w:rsidRPr="00715DA4">
        <w:rPr>
          <w:spacing w:val="-6"/>
          <w:sz w:val="28"/>
          <w:szCs w:val="28"/>
        </w:rPr>
        <w:t>обеспечат положительные темпы прироста фонда заработной платы по крупным</w:t>
      </w:r>
      <w:r w:rsidRPr="00715DA4">
        <w:rPr>
          <w:sz w:val="28"/>
          <w:szCs w:val="28"/>
        </w:rPr>
        <w:t xml:space="preserve"> и средним организациям города;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- структура налоговых поступлений как в разрезе видов, так и по уровням бюджета не претерпит существенных изменений.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>Для долгосрочного периода актуальны и основные приоритеты социально-экономического развития муниципального образования: сохранение стабильной ситуации на рынке труда; повышение эффективности использования бюджетных средств; повышение качества предоставления государственных и муниципальных услуг населению, в том числе за счет строительства и реконструкции объектов социальной сферы; улучшение инвестиционного климата; дальнейшее развитие транспортной и инженерной инфраструктуры города.</w:t>
      </w:r>
    </w:p>
    <w:p w:rsidR="00715DA4" w:rsidRPr="00715DA4" w:rsidRDefault="00715DA4" w:rsidP="00715DA4">
      <w:pPr>
        <w:ind w:firstLine="709"/>
        <w:jc w:val="both"/>
        <w:rPr>
          <w:rFonts w:cs="Times New Roman"/>
          <w:szCs w:val="28"/>
        </w:rPr>
      </w:pPr>
      <w:r w:rsidRPr="00715DA4">
        <w:rPr>
          <w:rFonts w:cs="Times New Roman"/>
          <w:szCs w:val="28"/>
        </w:rPr>
        <w:t xml:space="preserve">Для формирования проекта внесения изменений в </w:t>
      </w:r>
      <w:r w:rsidRPr="00715DA4">
        <w:rPr>
          <w:rStyle w:val="a4"/>
          <w:bCs/>
          <w:color w:val="auto"/>
          <w:szCs w:val="28"/>
        </w:rPr>
        <w:t xml:space="preserve">постановление Администрации города от 25.02.2019 № 1288 «Об утверждении бюджетного прогноза городского округа город Сургут на долгосрочный период до 2030 года» </w:t>
      </w:r>
      <w:r w:rsidRPr="00715DA4">
        <w:rPr>
          <w:rFonts w:cs="Times New Roman"/>
          <w:szCs w:val="28"/>
        </w:rPr>
        <w:t>предлагается за основу взять базовый вариант прогноза.</w:t>
      </w:r>
    </w:p>
    <w:p w:rsidR="00715DA4" w:rsidRPr="00715DA4" w:rsidRDefault="00715DA4" w:rsidP="00715DA4">
      <w:pPr>
        <w:ind w:firstLine="709"/>
        <w:jc w:val="both"/>
        <w:rPr>
          <w:bCs/>
          <w:szCs w:val="28"/>
        </w:rPr>
      </w:pPr>
      <w:r w:rsidRPr="00715DA4">
        <w:rPr>
          <w:bCs/>
          <w:szCs w:val="28"/>
        </w:rPr>
        <w:t xml:space="preserve">В целом, сценарии прогноза основываются на предположении </w:t>
      </w:r>
      <w:r w:rsidRPr="00715DA4">
        <w:rPr>
          <w:bCs/>
          <w:szCs w:val="28"/>
        </w:rPr>
        <w:br/>
        <w:t xml:space="preserve">о положительных темпах прироста в основных сферах экономики, </w:t>
      </w:r>
      <w:r w:rsidRPr="00715DA4">
        <w:rPr>
          <w:bCs/>
          <w:spacing w:val="1"/>
          <w:szCs w:val="28"/>
        </w:rPr>
        <w:t xml:space="preserve">определяемых, </w:t>
      </w:r>
      <w:r w:rsidRPr="00715DA4">
        <w:rPr>
          <w:bCs/>
          <w:spacing w:val="1"/>
          <w:szCs w:val="28"/>
        </w:rPr>
        <w:br/>
        <w:t xml:space="preserve">в основном, деятельностью системообразующих предприятий, </w:t>
      </w:r>
      <w:r w:rsidRPr="00715DA4">
        <w:rPr>
          <w:bCs/>
          <w:szCs w:val="28"/>
        </w:rPr>
        <w:t>отражают рост деловой и инвестиционной активности, занятости, реальных доходов населения и потребления.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  <w:r w:rsidRPr="00715DA4">
        <w:rPr>
          <w:szCs w:val="28"/>
        </w:rPr>
        <w:t xml:space="preserve">Таким образом, темпы роста основных показателей 3-х вариантов прогноза </w:t>
      </w:r>
      <w:r w:rsidRPr="00715DA4">
        <w:rPr>
          <w:szCs w:val="28"/>
        </w:rPr>
        <w:br/>
        <w:t>за долгосрочный период к уровню 2021 года следующие (в %):</w:t>
      </w:r>
    </w:p>
    <w:p w:rsidR="00715DA4" w:rsidRPr="00715DA4" w:rsidRDefault="00715DA4" w:rsidP="00715DA4">
      <w:pPr>
        <w:ind w:firstLine="709"/>
        <w:jc w:val="both"/>
        <w:rPr>
          <w:szCs w:val="28"/>
        </w:rPr>
      </w:pPr>
    </w:p>
    <w:tbl>
      <w:tblPr>
        <w:tblW w:w="10107" w:type="dxa"/>
        <w:tblInd w:w="-5" w:type="dxa"/>
        <w:tblLook w:val="04A0" w:firstRow="1" w:lastRow="0" w:firstColumn="1" w:lastColumn="0" w:noHBand="0" w:noVBand="1"/>
      </w:tblPr>
      <w:tblGrid>
        <w:gridCol w:w="4678"/>
        <w:gridCol w:w="1799"/>
        <w:gridCol w:w="1830"/>
        <w:gridCol w:w="1800"/>
      </w:tblGrid>
      <w:tr w:rsidR="00715DA4" w:rsidRPr="00715DA4" w:rsidTr="00B9732C">
        <w:trPr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Наименование показателя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Консервативный</w:t>
            </w:r>
          </w:p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вариант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Базовый вариант</w:t>
            </w:r>
          </w:p>
          <w:p w:rsidR="00715DA4" w:rsidRPr="00715DA4" w:rsidRDefault="00715DA4" w:rsidP="00B9732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Целевой вариант</w:t>
            </w:r>
          </w:p>
        </w:tc>
      </w:tr>
      <w:tr w:rsidR="00715DA4" w:rsidRPr="00715DA4" w:rsidTr="00B9732C">
        <w:trPr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>Численность постоянного населения (на конец года)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109,6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114,1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118,4</w:t>
            </w:r>
          </w:p>
        </w:tc>
      </w:tr>
      <w:tr w:rsidR="00715DA4" w:rsidRPr="00715DA4" w:rsidTr="00B9732C">
        <w:trPr>
          <w:trHeight w:val="2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>Индекс потребительских цен (среднегодовой)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142,2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141,8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133,2</w:t>
            </w:r>
          </w:p>
        </w:tc>
      </w:tr>
      <w:tr w:rsidR="00715DA4" w:rsidRPr="00715DA4" w:rsidTr="00B9732C">
        <w:trPr>
          <w:trHeight w:val="2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>Реальные располагаемые денежные доходы населения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109,6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113,4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126,0</w:t>
            </w:r>
          </w:p>
        </w:tc>
      </w:tr>
      <w:tr w:rsidR="00715DA4" w:rsidRPr="00715DA4" w:rsidTr="00B9732C">
        <w:trPr>
          <w:trHeight w:val="5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>Среднегодовая численность занятых в экономике на территории муниципального образования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105,7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107,7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110,0</w:t>
            </w:r>
          </w:p>
        </w:tc>
      </w:tr>
      <w:tr w:rsidR="00715DA4" w:rsidRPr="00715DA4" w:rsidTr="00B9732C">
        <w:trPr>
          <w:trHeight w:val="4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 в сопоставимых ценах по крупным и средним организациям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97,0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103,5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132,7</w:t>
            </w:r>
          </w:p>
        </w:tc>
      </w:tr>
      <w:tr w:rsidR="00715DA4" w:rsidRPr="00715DA4" w:rsidTr="00B9732C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>Оборот малого бизнеса в сопоставимых ценах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86,0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102,3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126,2</w:t>
            </w:r>
          </w:p>
        </w:tc>
      </w:tr>
      <w:tr w:rsidR="00715DA4" w:rsidRPr="00715DA4" w:rsidTr="00B9732C">
        <w:trPr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>Оборот розничной торговли в сопоставимых ценах по крупным и средним организациям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129,6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138,8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154,5</w:t>
            </w:r>
          </w:p>
        </w:tc>
      </w:tr>
      <w:tr w:rsidR="00715DA4" w:rsidRPr="00715DA4" w:rsidTr="00B9732C">
        <w:trPr>
          <w:trHeight w:val="3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sz w:val="22"/>
              </w:rPr>
            </w:pPr>
            <w:r w:rsidRPr="00715DA4">
              <w:rPr>
                <w:sz w:val="22"/>
              </w:rPr>
              <w:t>Фонд заработной платы по крупным и средним организациям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161,6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168,7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DA4" w:rsidRPr="00715DA4" w:rsidRDefault="00715DA4" w:rsidP="00B9732C">
            <w:pPr>
              <w:jc w:val="center"/>
              <w:rPr>
                <w:sz w:val="22"/>
              </w:rPr>
            </w:pPr>
            <w:r w:rsidRPr="00715DA4">
              <w:rPr>
                <w:sz w:val="22"/>
              </w:rPr>
              <w:t>174,0</w:t>
            </w:r>
          </w:p>
        </w:tc>
      </w:tr>
    </w:tbl>
    <w:p w:rsidR="00715DA4" w:rsidRPr="00715DA4" w:rsidRDefault="00715DA4" w:rsidP="00715DA4">
      <w:pPr>
        <w:ind w:firstLine="709"/>
        <w:jc w:val="both"/>
        <w:rPr>
          <w:sz w:val="22"/>
        </w:rPr>
      </w:pPr>
    </w:p>
    <w:p w:rsidR="00715DA4" w:rsidRPr="00715DA4" w:rsidRDefault="00715DA4" w:rsidP="00715DA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715DA4">
        <w:rPr>
          <w:szCs w:val="28"/>
        </w:rPr>
        <w:t xml:space="preserve">Кроме того, произведен перерасчет значения показателя «Средний возраст населения (на начало года)» за 2021 год, на основании информации о половозрастной структуре населения города Сургута по состоянию на 01.01.2021, предоставленной </w:t>
      </w:r>
      <w:proofErr w:type="spellStart"/>
      <w:r w:rsidRPr="00715DA4">
        <w:rPr>
          <w:szCs w:val="28"/>
        </w:rPr>
        <w:lastRenderedPageBreak/>
        <w:t>Тюменьстатом</w:t>
      </w:r>
      <w:proofErr w:type="spellEnd"/>
      <w:r w:rsidRPr="00715DA4">
        <w:rPr>
          <w:szCs w:val="28"/>
        </w:rPr>
        <w:t xml:space="preserve"> 08.09.2021.</w:t>
      </w:r>
    </w:p>
    <w:p w:rsidR="00715DA4" w:rsidRPr="00715DA4" w:rsidRDefault="00715DA4" w:rsidP="00715DA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Cs w:val="28"/>
        </w:rPr>
      </w:pPr>
      <w:r w:rsidRPr="00715DA4">
        <w:rPr>
          <w:szCs w:val="28"/>
        </w:rPr>
        <w:t xml:space="preserve">На основании статьи 13 Федерального закона от 28.06.2014 № 172-ФЗ </w:t>
      </w:r>
      <w:r w:rsidRPr="00715DA4">
        <w:rPr>
          <w:szCs w:val="28"/>
        </w:rPr>
        <w:br/>
        <w:t xml:space="preserve">«О стратегическом планировании в Российской Федерации» и в соответствии </w:t>
      </w:r>
      <w:r w:rsidRPr="00715DA4">
        <w:rPr>
          <w:szCs w:val="28"/>
        </w:rPr>
        <w:br/>
        <w:t xml:space="preserve">с пунктом 5 раздела </w:t>
      </w:r>
      <w:r w:rsidRPr="00715DA4">
        <w:rPr>
          <w:szCs w:val="28"/>
          <w:lang w:val="en-US"/>
        </w:rPr>
        <w:t>II</w:t>
      </w:r>
      <w:r w:rsidRPr="00715DA4">
        <w:rPr>
          <w:szCs w:val="28"/>
        </w:rPr>
        <w:t xml:space="preserve"> приложения к постановлению Администрации города </w:t>
      </w:r>
      <w:r w:rsidRPr="00715DA4">
        <w:rPr>
          <w:szCs w:val="28"/>
        </w:rPr>
        <w:br/>
        <w:t xml:space="preserve">«Об утверждении </w:t>
      </w:r>
      <w:r w:rsidRPr="00715DA4">
        <w:rPr>
          <w:rFonts w:eastAsiaTheme="minorEastAsia"/>
          <w:bCs/>
          <w:szCs w:val="28"/>
        </w:rPr>
        <w:t xml:space="preserve">Порядка проведения общественного обсуждения проектов документов стратегического планирования муниципального образования городской округ город Сургут» от 03.10.2019 № 7305 (с изменениями от 31.07.2020) проект, после его согласования, подлежит общественному обсуждению в течении 15-ти календарных дней. </w:t>
      </w: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  <w:r w:rsidRPr="00715DA4">
        <w:rPr>
          <w:szCs w:val="28"/>
        </w:rPr>
        <w:t>Начальник отдела</w:t>
      </w:r>
    </w:p>
    <w:p w:rsidR="00715DA4" w:rsidRPr="00715DA4" w:rsidRDefault="00715DA4" w:rsidP="00715DA4">
      <w:pPr>
        <w:rPr>
          <w:szCs w:val="28"/>
        </w:rPr>
      </w:pPr>
      <w:r w:rsidRPr="00715DA4">
        <w:rPr>
          <w:szCs w:val="28"/>
        </w:rPr>
        <w:t>социально-экономического</w:t>
      </w:r>
    </w:p>
    <w:p w:rsidR="00715DA4" w:rsidRPr="00715DA4" w:rsidRDefault="00715DA4" w:rsidP="00715DA4">
      <w:pPr>
        <w:rPr>
          <w:szCs w:val="28"/>
        </w:rPr>
      </w:pPr>
      <w:r w:rsidRPr="00715DA4">
        <w:rPr>
          <w:szCs w:val="28"/>
        </w:rPr>
        <w:t>прогнозирования                                                                                         С.Г. Мединцева</w:t>
      </w:r>
    </w:p>
    <w:p w:rsidR="00715DA4" w:rsidRPr="00715DA4" w:rsidRDefault="00715DA4" w:rsidP="00715DA4">
      <w:pPr>
        <w:ind w:firstLine="709"/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  <w:r w:rsidRPr="00715DA4">
        <w:rPr>
          <w:szCs w:val="28"/>
        </w:rPr>
        <w:t>«08» сентября 2021 года</w:t>
      </w: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Cs w:val="28"/>
        </w:rPr>
      </w:pPr>
    </w:p>
    <w:p w:rsidR="00715DA4" w:rsidRPr="00715DA4" w:rsidRDefault="00715DA4" w:rsidP="00715DA4">
      <w:pPr>
        <w:rPr>
          <w:sz w:val="20"/>
          <w:szCs w:val="20"/>
        </w:rPr>
      </w:pPr>
      <w:r w:rsidRPr="00715DA4">
        <w:rPr>
          <w:sz w:val="20"/>
          <w:szCs w:val="20"/>
        </w:rPr>
        <w:t>Исполнитель:</w:t>
      </w:r>
    </w:p>
    <w:p w:rsidR="00715DA4" w:rsidRPr="00715DA4" w:rsidRDefault="00715DA4" w:rsidP="00715DA4">
      <w:pPr>
        <w:rPr>
          <w:rFonts w:eastAsia="Times New Roman" w:cs="Times New Roman"/>
          <w:sz w:val="20"/>
          <w:szCs w:val="20"/>
        </w:rPr>
      </w:pPr>
      <w:r w:rsidRPr="00715DA4">
        <w:rPr>
          <w:rFonts w:eastAsia="Times New Roman" w:cs="Times New Roman"/>
          <w:sz w:val="20"/>
          <w:szCs w:val="20"/>
        </w:rPr>
        <w:t>Бергер Ольга Сергеевна</w:t>
      </w:r>
    </w:p>
    <w:p w:rsidR="00715DA4" w:rsidRPr="00715DA4" w:rsidRDefault="00715DA4" w:rsidP="00715DA4">
      <w:pPr>
        <w:rPr>
          <w:sz w:val="20"/>
          <w:szCs w:val="20"/>
        </w:rPr>
      </w:pPr>
      <w:r w:rsidRPr="00715DA4">
        <w:rPr>
          <w:sz w:val="20"/>
          <w:szCs w:val="20"/>
        </w:rPr>
        <w:t xml:space="preserve">специалист-эксперт отдела </w:t>
      </w:r>
    </w:p>
    <w:p w:rsidR="00715DA4" w:rsidRPr="00715DA4" w:rsidRDefault="00715DA4" w:rsidP="00715DA4">
      <w:pPr>
        <w:rPr>
          <w:sz w:val="20"/>
          <w:szCs w:val="20"/>
        </w:rPr>
      </w:pPr>
      <w:r w:rsidRPr="00715DA4">
        <w:rPr>
          <w:sz w:val="20"/>
          <w:szCs w:val="20"/>
        </w:rPr>
        <w:t xml:space="preserve">социально-экономического </w:t>
      </w:r>
    </w:p>
    <w:p w:rsidR="00715DA4" w:rsidRPr="00715DA4" w:rsidRDefault="00715DA4" w:rsidP="00715DA4">
      <w:pPr>
        <w:rPr>
          <w:sz w:val="20"/>
          <w:szCs w:val="20"/>
        </w:rPr>
      </w:pPr>
      <w:r w:rsidRPr="00715DA4">
        <w:rPr>
          <w:sz w:val="20"/>
          <w:szCs w:val="20"/>
        </w:rPr>
        <w:t xml:space="preserve">прогнозирования </w:t>
      </w:r>
    </w:p>
    <w:p w:rsidR="00715DA4" w:rsidRPr="00715DA4" w:rsidRDefault="00715DA4" w:rsidP="00715DA4">
      <w:pPr>
        <w:jc w:val="both"/>
        <w:rPr>
          <w:rFonts w:eastAsia="Times New Roman" w:cs="Times New Roman"/>
          <w:sz w:val="20"/>
          <w:szCs w:val="20"/>
        </w:rPr>
      </w:pPr>
      <w:r w:rsidRPr="00715DA4">
        <w:rPr>
          <w:sz w:val="20"/>
          <w:szCs w:val="20"/>
        </w:rPr>
        <w:t xml:space="preserve">тел.: (3462) </w:t>
      </w:r>
      <w:r w:rsidRPr="00715DA4">
        <w:rPr>
          <w:rFonts w:eastAsia="Times New Roman" w:cs="Times New Roman"/>
          <w:sz w:val="20"/>
          <w:szCs w:val="20"/>
        </w:rPr>
        <w:t>52-21-04</w:t>
      </w:r>
    </w:p>
    <w:p w:rsidR="00715DA4" w:rsidRPr="00715DA4" w:rsidRDefault="00715DA4" w:rsidP="00715DA4">
      <w:pPr>
        <w:jc w:val="both"/>
        <w:rPr>
          <w:rFonts w:eastAsia="Times New Roman" w:cs="Times New Roman"/>
          <w:sz w:val="20"/>
          <w:szCs w:val="20"/>
        </w:rPr>
      </w:pPr>
    </w:p>
    <w:p w:rsidR="00715DA4" w:rsidRPr="00715DA4" w:rsidRDefault="00715DA4" w:rsidP="00715DA4">
      <w:pPr>
        <w:jc w:val="both"/>
        <w:rPr>
          <w:rFonts w:eastAsia="Times New Roman" w:cs="Times New Roman"/>
          <w:sz w:val="20"/>
          <w:szCs w:val="20"/>
        </w:rPr>
        <w:sectPr w:rsidR="00715DA4" w:rsidRPr="00715DA4" w:rsidSect="00810009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14730" w:type="dxa"/>
        <w:tblLook w:val="04A0" w:firstRow="1" w:lastRow="0" w:firstColumn="1" w:lastColumn="0" w:noHBand="0" w:noVBand="1"/>
      </w:tblPr>
      <w:tblGrid>
        <w:gridCol w:w="6237"/>
        <w:gridCol w:w="2000"/>
        <w:gridCol w:w="1080"/>
        <w:gridCol w:w="1080"/>
        <w:gridCol w:w="1080"/>
        <w:gridCol w:w="1080"/>
        <w:gridCol w:w="1080"/>
        <w:gridCol w:w="1080"/>
        <w:gridCol w:w="13"/>
      </w:tblGrid>
      <w:tr w:rsidR="00715DA4" w:rsidRPr="00715DA4" w:rsidTr="00B9732C">
        <w:trPr>
          <w:gridAfter w:val="1"/>
          <w:wAfter w:w="13" w:type="dxa"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ind w:firstLine="3894"/>
              <w:rPr>
                <w:rFonts w:eastAsia="Times New Roman" w:cs="Times New Roman"/>
                <w:szCs w:val="28"/>
                <w:lang w:eastAsia="ru-RU"/>
              </w:rPr>
            </w:pPr>
            <w:r w:rsidRPr="00715DA4">
              <w:rPr>
                <w:rFonts w:eastAsia="Times New Roman" w:cs="Times New Roman"/>
                <w:szCs w:val="28"/>
                <w:lang w:eastAsia="ru-RU"/>
              </w:rPr>
              <w:t>Таблица 1</w:t>
            </w:r>
          </w:p>
        </w:tc>
      </w:tr>
      <w:tr w:rsidR="00715DA4" w:rsidRPr="00715DA4" w:rsidTr="00B9732C">
        <w:trPr>
          <w:gridAfter w:val="1"/>
          <w:wAfter w:w="13" w:type="dxa"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15DA4" w:rsidRPr="00715DA4" w:rsidTr="00B9732C">
        <w:trPr>
          <w:trHeight w:val="825"/>
        </w:trPr>
        <w:tc>
          <w:tcPr>
            <w:tcW w:w="14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DA4">
              <w:rPr>
                <w:rFonts w:eastAsia="Times New Roman" w:cs="Times New Roman"/>
                <w:szCs w:val="28"/>
                <w:lang w:eastAsia="ru-RU"/>
              </w:rPr>
              <w:t>Основные показатели социально-экономического развития муниципального образования городской округ Сургут Ханты-Мансийского автономного округа – Югры за 2015 - 2020 годы</w:t>
            </w:r>
          </w:p>
        </w:tc>
      </w:tr>
      <w:tr w:rsidR="00715DA4" w:rsidRPr="00715DA4" w:rsidTr="00B9732C">
        <w:trPr>
          <w:gridAfter w:val="1"/>
          <w:wAfter w:w="13" w:type="dxa"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15DA4" w:rsidRPr="00715DA4" w:rsidTr="00B9732C">
        <w:trPr>
          <w:gridAfter w:val="1"/>
          <w:wAfter w:w="13" w:type="dxa"/>
          <w:trHeight w:val="25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2015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2016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2017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2020 год</w:t>
            </w:r>
          </w:p>
        </w:tc>
      </w:tr>
      <w:tr w:rsidR="00715DA4" w:rsidRPr="00715DA4" w:rsidTr="00B9732C">
        <w:trPr>
          <w:gridAfter w:val="1"/>
          <w:wAfter w:w="13" w:type="dxa"/>
          <w:trHeight w:val="25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отчет</w:t>
            </w:r>
          </w:p>
        </w:tc>
      </w:tr>
      <w:tr w:rsidR="00715DA4" w:rsidRPr="00715DA4" w:rsidTr="00B9732C">
        <w:trPr>
          <w:gridAfter w:val="1"/>
          <w:wAfter w:w="13" w:type="dxa"/>
          <w:trHeight w:val="25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5DA4" w:rsidRPr="00715DA4" w:rsidTr="00B9732C">
        <w:trPr>
          <w:gridAfter w:val="1"/>
          <w:wAfter w:w="1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DA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15DA4" w:rsidRPr="00715DA4" w:rsidTr="00B9732C">
        <w:trPr>
          <w:trHeight w:val="330"/>
        </w:trPr>
        <w:tc>
          <w:tcPr>
            <w:tcW w:w="1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Демографическая ситуация</w:t>
            </w:r>
          </w:p>
        </w:tc>
      </w:tr>
      <w:tr w:rsidR="00715DA4" w:rsidRPr="00715DA4" w:rsidTr="00B9732C">
        <w:trPr>
          <w:gridAfter w:val="1"/>
          <w:wAfter w:w="13" w:type="dxa"/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Естественный прирост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715DA4" w:rsidRPr="00715DA4" w:rsidTr="00B9732C">
        <w:trPr>
          <w:gridAfter w:val="1"/>
          <w:wAfter w:w="13" w:type="dxa"/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Миграционный прирост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715DA4" w:rsidRPr="00715DA4" w:rsidTr="00B9732C">
        <w:trPr>
          <w:gridAfter w:val="1"/>
          <w:wAfter w:w="13" w:type="dxa"/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354,6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370,1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377,3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383,9</w:t>
            </w:r>
          </w:p>
        </w:tc>
      </w:tr>
      <w:tr w:rsidR="00715DA4" w:rsidRPr="00715DA4" w:rsidTr="00B9732C">
        <w:trPr>
          <w:gridAfter w:val="1"/>
          <w:wAfter w:w="13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Средний возраст населения (на начало года)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34,0</w:t>
            </w:r>
          </w:p>
        </w:tc>
      </w:tr>
      <w:tr w:rsidR="00715DA4" w:rsidRPr="00715DA4" w:rsidTr="00B9732C">
        <w:trPr>
          <w:trHeight w:val="330"/>
        </w:trPr>
        <w:tc>
          <w:tcPr>
            <w:tcW w:w="1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Уровень жизни населения</w:t>
            </w:r>
          </w:p>
        </w:tc>
      </w:tr>
      <w:tr w:rsidR="00715DA4" w:rsidRPr="00715DA4" w:rsidTr="00B9732C">
        <w:trPr>
          <w:gridAfter w:val="1"/>
          <w:wAfter w:w="13" w:type="dxa"/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715DA4" w:rsidRPr="00715DA4" w:rsidTr="00B9732C">
        <w:trPr>
          <w:gridAfter w:val="1"/>
          <w:wAfter w:w="13" w:type="dxa"/>
          <w:trHeight w:val="54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Реальная заработная плата  работников организаций (по крупным и средним организациям)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</w:tr>
      <w:tr w:rsidR="00715DA4" w:rsidRPr="00715DA4" w:rsidTr="00B9732C">
        <w:trPr>
          <w:gridAfter w:val="1"/>
          <w:wAfter w:w="13" w:type="dxa"/>
          <w:trHeight w:val="42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Соотношение прожиточного минимума на душу населения и среднедушевого дохода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715DA4" w:rsidRPr="00715DA4" w:rsidTr="00B9732C">
        <w:trPr>
          <w:gridAfter w:val="1"/>
          <w:wAfter w:w="13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Соотношение прожиточного минимума для трудоспособного населения и заработной платы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715DA4" w:rsidRPr="00715DA4" w:rsidTr="00B9732C">
        <w:trPr>
          <w:gridAfter w:val="1"/>
          <w:wAfter w:w="13" w:type="dxa"/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Соотношение прожиточного минимума для пенсионера и пенсии по старости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715DA4" w:rsidRPr="00715DA4" w:rsidTr="00B9732C">
        <w:trPr>
          <w:gridAfter w:val="1"/>
          <w:wAfter w:w="13" w:type="dxa"/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потребительских цен в среднем за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</w:tr>
      <w:tr w:rsidR="00715DA4" w:rsidRPr="00715DA4" w:rsidTr="00B9732C">
        <w:trPr>
          <w:gridAfter w:val="1"/>
          <w:wAfter w:w="13" w:type="dxa"/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Индекс потребительских цен на конец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декабрю предыдущего года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</w:tr>
      <w:tr w:rsidR="00715DA4" w:rsidRPr="00715DA4" w:rsidTr="00B9732C">
        <w:trPr>
          <w:trHeight w:val="345"/>
        </w:trPr>
        <w:tc>
          <w:tcPr>
            <w:tcW w:w="1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Состояние рынка труда</w:t>
            </w:r>
          </w:p>
        </w:tc>
      </w:tr>
      <w:tr w:rsidR="00715DA4" w:rsidRPr="00715DA4" w:rsidTr="00B9732C">
        <w:trPr>
          <w:gridAfter w:val="1"/>
          <w:wAfter w:w="13" w:type="dxa"/>
          <w:trHeight w:val="4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экономически активного населения (рабочей силы)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166,9</w:t>
            </w:r>
          </w:p>
        </w:tc>
      </w:tr>
      <w:tr w:rsidR="00715DA4" w:rsidRPr="00715DA4" w:rsidTr="00B9732C">
        <w:trPr>
          <w:gridAfter w:val="1"/>
          <w:wAfter w:w="13" w:type="dxa"/>
          <w:trHeight w:val="5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занятых в экономике на территории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158,1</w:t>
            </w:r>
          </w:p>
        </w:tc>
      </w:tr>
      <w:tr w:rsidR="00715DA4" w:rsidRPr="00715DA4" w:rsidTr="00B9732C">
        <w:trPr>
          <w:gridAfter w:val="1"/>
          <w:wAfter w:w="13" w:type="dxa"/>
          <w:trHeight w:val="3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Среднесписочная численность работников крупных и средних организаций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114,3</w:t>
            </w:r>
          </w:p>
        </w:tc>
      </w:tr>
      <w:tr w:rsidR="00715DA4" w:rsidRPr="00715DA4" w:rsidTr="00B9732C">
        <w:trPr>
          <w:gridAfter w:val="1"/>
          <w:wAfter w:w="13" w:type="dxa"/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715DA4" w:rsidRPr="00715DA4" w:rsidTr="00B9732C">
        <w:trPr>
          <w:trHeight w:val="345"/>
        </w:trPr>
        <w:tc>
          <w:tcPr>
            <w:tcW w:w="1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Производство товаров и услуг</w:t>
            </w:r>
          </w:p>
        </w:tc>
      </w:tr>
      <w:tr w:rsidR="00715DA4" w:rsidRPr="00715DA4" w:rsidTr="00B9732C">
        <w:trPr>
          <w:gridAfter w:val="1"/>
          <w:wAfter w:w="13" w:type="dxa"/>
          <w:trHeight w:val="7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в ценах соответствующих лет по крупным и средним организациям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609760,8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631392,9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665611,6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765481,4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797294,7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652226,6</w:t>
            </w:r>
          </w:p>
        </w:tc>
      </w:tr>
      <w:tr w:rsidR="00715DA4" w:rsidRPr="00715DA4" w:rsidTr="00B9732C">
        <w:trPr>
          <w:gridAfter w:val="1"/>
          <w:wAfter w:w="13" w:type="dxa"/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87,9</w:t>
            </w:r>
          </w:p>
        </w:tc>
      </w:tr>
      <w:tr w:rsidR="00715DA4" w:rsidRPr="00715DA4" w:rsidTr="00B9732C">
        <w:trPr>
          <w:gridAfter w:val="1"/>
          <w:wAfter w:w="13" w:type="dxa"/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93,1</w:t>
            </w:r>
          </w:p>
        </w:tc>
      </w:tr>
      <w:tr w:rsidR="00715DA4" w:rsidRPr="00715DA4" w:rsidTr="00B9732C">
        <w:trPr>
          <w:gridAfter w:val="1"/>
          <w:wAfter w:w="13" w:type="dxa"/>
          <w:trHeight w:val="5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Объем производства сельскохозяйственной продукции в хозяйствах всех категорий в ценах соответствующих лет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675,1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628,5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741,8</w:t>
            </w:r>
          </w:p>
        </w:tc>
      </w:tr>
      <w:tr w:rsidR="00715DA4" w:rsidRPr="00715DA4" w:rsidTr="00B9732C">
        <w:trPr>
          <w:gridAfter w:val="1"/>
          <w:wAfter w:w="13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111,4</w:t>
            </w:r>
          </w:p>
        </w:tc>
      </w:tr>
      <w:tr w:rsidR="00715DA4" w:rsidRPr="00715DA4" w:rsidTr="00B9732C">
        <w:trPr>
          <w:gridAfter w:val="1"/>
          <w:wAfter w:w="13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</w:tr>
      <w:tr w:rsidR="00715DA4" w:rsidRPr="00715DA4" w:rsidTr="00B9732C">
        <w:trPr>
          <w:trHeight w:val="345"/>
        </w:trPr>
        <w:tc>
          <w:tcPr>
            <w:tcW w:w="1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малого бизнеса</w:t>
            </w:r>
          </w:p>
        </w:tc>
      </w:tr>
      <w:tr w:rsidR="00715DA4" w:rsidRPr="00715DA4" w:rsidTr="00B9732C">
        <w:trPr>
          <w:gridAfter w:val="1"/>
          <w:wAfter w:w="13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Оборот малого бизнеса в ценах соответствующих лет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141869,3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147987,6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157856,9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170228,5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177738,3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180157,0</w:t>
            </w:r>
          </w:p>
        </w:tc>
      </w:tr>
      <w:tr w:rsidR="00715DA4" w:rsidRPr="00715DA4" w:rsidTr="00B9732C">
        <w:trPr>
          <w:gridAfter w:val="1"/>
          <w:wAfter w:w="13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715DA4" w:rsidRPr="00715DA4" w:rsidTr="00B9732C">
        <w:trPr>
          <w:gridAfter w:val="1"/>
          <w:wAfter w:w="13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</w:tr>
      <w:tr w:rsidR="00715DA4" w:rsidRPr="00715DA4" w:rsidTr="00B9732C">
        <w:trPr>
          <w:trHeight w:val="330"/>
        </w:trPr>
        <w:tc>
          <w:tcPr>
            <w:tcW w:w="1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потребительского рынка</w:t>
            </w:r>
          </w:p>
        </w:tc>
      </w:tr>
      <w:tr w:rsidR="00715DA4" w:rsidRPr="00715DA4" w:rsidTr="00B9732C">
        <w:trPr>
          <w:gridAfter w:val="1"/>
          <w:wAfter w:w="1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Оборот розничной торговли в ценах соответствующих лет по крупным и средним организациям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51527,8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49334,7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57701,2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68372,0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67825,6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75518,8</w:t>
            </w:r>
          </w:p>
        </w:tc>
      </w:tr>
      <w:tr w:rsidR="00715DA4" w:rsidRPr="00715DA4" w:rsidTr="00B9732C">
        <w:trPr>
          <w:gridAfter w:val="1"/>
          <w:wAfter w:w="13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108,3</w:t>
            </w:r>
          </w:p>
        </w:tc>
      </w:tr>
      <w:tr w:rsidR="00715DA4" w:rsidRPr="00715DA4" w:rsidTr="00B9732C">
        <w:trPr>
          <w:gridAfter w:val="1"/>
          <w:wAfter w:w="13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715DA4" w:rsidRPr="00715DA4" w:rsidTr="00B9732C">
        <w:trPr>
          <w:gridAfter w:val="1"/>
          <w:wAfter w:w="1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Оборот общественного питания  в ценах соответствующих лет по крупным и средним организациям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2901,0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2802,1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2693,7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3573,6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3973,5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3004,8</w:t>
            </w:r>
          </w:p>
        </w:tc>
      </w:tr>
      <w:tr w:rsidR="00715DA4" w:rsidRPr="00715DA4" w:rsidTr="00B9732C">
        <w:trPr>
          <w:gridAfter w:val="1"/>
          <w:wAfter w:w="13" w:type="dxa"/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75,7</w:t>
            </w:r>
          </w:p>
        </w:tc>
      </w:tr>
      <w:tr w:rsidR="00715DA4" w:rsidRPr="00715DA4" w:rsidTr="00B9732C">
        <w:trPr>
          <w:gridAfter w:val="1"/>
          <w:wAfter w:w="13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715DA4" w:rsidRPr="00715DA4" w:rsidTr="00B9732C">
        <w:trPr>
          <w:gridAfter w:val="1"/>
          <w:wAfter w:w="1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платных услуг населению в ценах соответствующих лет по крупным и средним организациям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22029,5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22416,9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23867,3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25165,8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24840,4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23453,0</w:t>
            </w:r>
          </w:p>
        </w:tc>
      </w:tr>
      <w:tr w:rsidR="00715DA4" w:rsidRPr="00715DA4" w:rsidTr="00B9732C">
        <w:trPr>
          <w:gridAfter w:val="1"/>
          <w:wAfter w:w="13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индекс физического объема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91,9</w:t>
            </w:r>
          </w:p>
        </w:tc>
      </w:tr>
      <w:tr w:rsidR="00715DA4" w:rsidRPr="00715DA4" w:rsidTr="00B9732C">
        <w:trPr>
          <w:gridAfter w:val="1"/>
          <w:wAfter w:w="13" w:type="dxa"/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</w:tr>
      <w:tr w:rsidR="00715DA4" w:rsidRPr="00715DA4" w:rsidTr="00B9732C">
        <w:trPr>
          <w:trHeight w:val="330"/>
        </w:trPr>
        <w:tc>
          <w:tcPr>
            <w:tcW w:w="1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Инвестиции и финансы организаций</w:t>
            </w:r>
          </w:p>
        </w:tc>
      </w:tr>
      <w:tr w:rsidR="00715DA4" w:rsidRPr="00715DA4" w:rsidTr="00B9732C">
        <w:trPr>
          <w:gridAfter w:val="1"/>
          <w:wAfter w:w="13" w:type="dxa"/>
          <w:trHeight w:val="6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инвестиций в основной капитал за счет всех источников финансирования в ценах соответствующих лет по крупным и средним организациям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43053,5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29313,0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29864,6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40562,3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45692,5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60700,4</w:t>
            </w:r>
          </w:p>
        </w:tc>
      </w:tr>
      <w:tr w:rsidR="00715DA4" w:rsidRPr="00715DA4" w:rsidTr="00B9732C">
        <w:trPr>
          <w:gridAfter w:val="1"/>
          <w:wAfter w:w="13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128,0</w:t>
            </w:r>
          </w:p>
        </w:tc>
      </w:tr>
      <w:tr w:rsidR="00715DA4" w:rsidRPr="00715DA4" w:rsidTr="00B9732C">
        <w:trPr>
          <w:gridAfter w:val="1"/>
          <w:wAfter w:w="13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715DA4" w:rsidRPr="00715DA4" w:rsidTr="00B9732C">
        <w:trPr>
          <w:gridAfter w:val="1"/>
          <w:wAfter w:w="13" w:type="dxa"/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Ввод в эксплуатацию жилых домов (общая площадь жилых помещений)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296,5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268,1</w:t>
            </w:r>
          </w:p>
        </w:tc>
      </w:tr>
      <w:tr w:rsidR="00715DA4" w:rsidRPr="00715DA4" w:rsidTr="00B9732C">
        <w:trPr>
          <w:gridAfter w:val="1"/>
          <w:wAfter w:w="13" w:type="dxa"/>
          <w:trHeight w:val="5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Поступление налогов и сборов в консолидированный бюджет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477920,6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374020,3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458635,6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803927,4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719681,0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563300,1</w:t>
            </w:r>
          </w:p>
        </w:tc>
      </w:tr>
      <w:tr w:rsidR="00715DA4" w:rsidRPr="00715DA4" w:rsidTr="00B9732C">
        <w:trPr>
          <w:gridAfter w:val="1"/>
          <w:wAfter w:w="13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Фонд заработной платы (фонд оплаты труда) работников крупных и средних организаций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106853,1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110387,1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114607,3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120481,1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125945,9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130396,0</w:t>
            </w:r>
          </w:p>
        </w:tc>
      </w:tr>
      <w:tr w:rsidR="00715DA4" w:rsidRPr="00715DA4" w:rsidTr="00B9732C">
        <w:trPr>
          <w:gridAfter w:val="1"/>
          <w:wAfter w:w="13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темп роста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A4" w:rsidRPr="00715DA4" w:rsidRDefault="00715DA4" w:rsidP="00B9732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5DA4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</w:tbl>
    <w:p w:rsidR="00715DA4" w:rsidRPr="00715DA4" w:rsidRDefault="00715DA4" w:rsidP="00715DA4">
      <w:pPr>
        <w:jc w:val="both"/>
        <w:rPr>
          <w:sz w:val="20"/>
          <w:szCs w:val="20"/>
        </w:rPr>
      </w:pPr>
    </w:p>
    <w:p w:rsidR="00715DA4" w:rsidRPr="00715DA4" w:rsidRDefault="00715DA4" w:rsidP="00715DA4"/>
    <w:sectPr w:rsidR="00715DA4" w:rsidRPr="00715DA4" w:rsidSect="00810009">
      <w:pgSz w:w="16838" w:h="11906" w:orient="landscape" w:code="9"/>
      <w:pgMar w:top="567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D9" w:rsidRDefault="009945D9" w:rsidP="003B76E1">
      <w:r>
        <w:separator/>
      </w:r>
    </w:p>
  </w:endnote>
  <w:endnote w:type="continuationSeparator" w:id="0">
    <w:p w:rsidR="009945D9" w:rsidRDefault="009945D9" w:rsidP="003B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20" w:rsidRDefault="005611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20" w:rsidRDefault="0056112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20" w:rsidRDefault="005611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D9" w:rsidRDefault="009945D9" w:rsidP="003B76E1">
      <w:r>
        <w:separator/>
      </w:r>
    </w:p>
  </w:footnote>
  <w:footnote w:type="continuationSeparator" w:id="0">
    <w:p w:rsidR="009945D9" w:rsidRDefault="009945D9" w:rsidP="003B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20" w:rsidRDefault="005611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63992"/>
      <w:docPartObj>
        <w:docPartGallery w:val="Page Numbers (Top of Page)"/>
        <w:docPartUnique/>
      </w:docPartObj>
    </w:sdtPr>
    <w:sdtEndPr/>
    <w:sdtContent>
      <w:p w:rsidR="00561120" w:rsidRDefault="005611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DA4">
          <w:rPr>
            <w:noProof/>
          </w:rPr>
          <w:t>3</w:t>
        </w:r>
        <w:r>
          <w:fldChar w:fldCharType="end"/>
        </w:r>
      </w:p>
    </w:sdtContent>
  </w:sdt>
  <w:p w:rsidR="00561120" w:rsidRDefault="0056112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20" w:rsidRDefault="005611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1"/>
    <w:rsid w:val="00007D82"/>
    <w:rsid w:val="000503D1"/>
    <w:rsid w:val="00112BC2"/>
    <w:rsid w:val="001515D5"/>
    <w:rsid w:val="00153F02"/>
    <w:rsid w:val="001D2A32"/>
    <w:rsid w:val="0026772D"/>
    <w:rsid w:val="002E4923"/>
    <w:rsid w:val="00396C33"/>
    <w:rsid w:val="003B76E1"/>
    <w:rsid w:val="00416BA9"/>
    <w:rsid w:val="004663E1"/>
    <w:rsid w:val="00484858"/>
    <w:rsid w:val="004E6098"/>
    <w:rsid w:val="00506E98"/>
    <w:rsid w:val="005218BB"/>
    <w:rsid w:val="00561120"/>
    <w:rsid w:val="005A66AF"/>
    <w:rsid w:val="005C1090"/>
    <w:rsid w:val="00624117"/>
    <w:rsid w:val="00691E85"/>
    <w:rsid w:val="006B55AF"/>
    <w:rsid w:val="006E45DA"/>
    <w:rsid w:val="00715DA4"/>
    <w:rsid w:val="007A36A4"/>
    <w:rsid w:val="007A4A56"/>
    <w:rsid w:val="00886878"/>
    <w:rsid w:val="008A18DC"/>
    <w:rsid w:val="008E0739"/>
    <w:rsid w:val="00912281"/>
    <w:rsid w:val="009301A5"/>
    <w:rsid w:val="009945D9"/>
    <w:rsid w:val="00BF186F"/>
    <w:rsid w:val="00DF6440"/>
    <w:rsid w:val="00E824F6"/>
    <w:rsid w:val="00E91F94"/>
    <w:rsid w:val="00EA16B3"/>
    <w:rsid w:val="00EF2D8E"/>
    <w:rsid w:val="00FA1F47"/>
    <w:rsid w:val="00F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67BE"/>
  <w15:chartTrackingRefBased/>
  <w15:docId w15:val="{81277E67-83A6-4A47-BF72-EEC1DA91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E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B76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B76E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3B76E1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3B76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6E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B76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76E1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semiHidden/>
    <w:unhideWhenUsed/>
    <w:rsid w:val="0048485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84858"/>
    <w:rPr>
      <w:color w:val="800080"/>
      <w:u w:val="single"/>
    </w:rPr>
  </w:style>
  <w:style w:type="paragraph" w:customStyle="1" w:styleId="msonormal0">
    <w:name w:val="msonormal"/>
    <w:basedOn w:val="a"/>
    <w:rsid w:val="004848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84858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84858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84858"/>
    <w:pP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84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84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84858"/>
    <w:pPr>
      <w:spacing w:before="100" w:beforeAutospacing="1" w:after="100" w:afterAutospacing="1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78">
    <w:name w:val="xl78"/>
    <w:basedOn w:val="a"/>
    <w:rsid w:val="00484858"/>
    <w:pPr>
      <w:spacing w:before="100" w:beforeAutospacing="1" w:after="100" w:afterAutospacing="1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79">
    <w:name w:val="xl79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84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84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84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84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84858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26282F"/>
      <w:szCs w:val="28"/>
      <w:lang w:eastAsia="ru-RU"/>
    </w:rPr>
  </w:style>
  <w:style w:type="paragraph" w:customStyle="1" w:styleId="xl89">
    <w:name w:val="xl89"/>
    <w:basedOn w:val="a"/>
    <w:rsid w:val="00484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84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484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484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84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484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84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84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84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84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84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484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484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484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484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484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styleId="ab">
    <w:name w:val="Body Text"/>
    <w:aliases w:val="bt,Òàáë òåêñò"/>
    <w:basedOn w:val="a"/>
    <w:link w:val="11"/>
    <w:rsid w:val="00715DA4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715DA4"/>
    <w:rPr>
      <w:rFonts w:ascii="Times New Roman" w:hAnsi="Times New Roman"/>
      <w:sz w:val="28"/>
    </w:rPr>
  </w:style>
  <w:style w:type="character" w:customStyle="1" w:styleId="11">
    <w:name w:val="Основной текст Знак1"/>
    <w:aliases w:val="bt Знак,Òàáë òåêñò Знак"/>
    <w:link w:val="ab"/>
    <w:rsid w:val="00715DA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15DA4"/>
    <w:pPr>
      <w:widowControl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15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5D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5565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Бергер Ольга Сергеевна</cp:lastModifiedBy>
  <cp:revision>26</cp:revision>
  <cp:lastPrinted>2021-09-10T07:21:00Z</cp:lastPrinted>
  <dcterms:created xsi:type="dcterms:W3CDTF">2021-09-01T07:17:00Z</dcterms:created>
  <dcterms:modified xsi:type="dcterms:W3CDTF">2021-09-14T04:51:00Z</dcterms:modified>
</cp:coreProperties>
</file>