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F" w:rsidRDefault="00902E0F" w:rsidP="00155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</w:p>
    <w:p w:rsidR="004830F5" w:rsidRPr="003B312F" w:rsidRDefault="00902E0F" w:rsidP="00155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</w:t>
      </w:r>
    </w:p>
    <w:p w:rsidR="004830F5" w:rsidRPr="003B312F" w:rsidRDefault="004830F5" w:rsidP="004830F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F5" w:rsidRPr="003B312F" w:rsidRDefault="004830F5" w:rsidP="004830F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</w:t>
      </w:r>
      <w:proofErr w:type="gramEnd"/>
    </w:p>
    <w:p w:rsidR="004830F5" w:rsidRPr="003B312F" w:rsidRDefault="004830F5" w:rsidP="004830F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830F5" w:rsidRPr="0045192D" w:rsidRDefault="004830F5" w:rsidP="004830F5">
      <w:pPr>
        <w:spacing w:after="0" w:line="12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30F5" w:rsidRPr="003B312F" w:rsidRDefault="004830F5" w:rsidP="004830F5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312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4830F5" w:rsidRPr="003B312F" w:rsidRDefault="004830F5" w:rsidP="004830F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312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830F5" w:rsidRPr="003B312F" w:rsidRDefault="004830F5" w:rsidP="0048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F5" w:rsidRPr="0045192D" w:rsidRDefault="004830F5" w:rsidP="00483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0F5" w:rsidRPr="003B312F" w:rsidRDefault="004830F5" w:rsidP="0048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2014 г.                                                             № _______</w:t>
      </w:r>
    </w:p>
    <w:p w:rsidR="004830F5" w:rsidRPr="003B312F" w:rsidRDefault="004830F5" w:rsidP="0048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F5" w:rsidRPr="003B312F" w:rsidRDefault="004830F5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положений</w:t>
      </w:r>
    </w:p>
    <w:p w:rsidR="004830F5" w:rsidRPr="003B312F" w:rsidRDefault="004830F5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расчета </w:t>
      </w:r>
      <w:r w:rsidR="0000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</w:t>
      </w:r>
    </w:p>
    <w:p w:rsidR="00156726" w:rsidRDefault="004830F5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помещениями</w:t>
      </w:r>
      <w:r w:rsidR="00156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</w:t>
      </w:r>
      <w:r w:rsidR="008F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56726" w:rsidRDefault="00156726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договоров 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</w:p>
    <w:p w:rsidR="00156726" w:rsidRDefault="00156726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0F5"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4830F5" w:rsidRDefault="00156726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фонда</w:t>
      </w:r>
    </w:p>
    <w:p w:rsidR="00902E0F" w:rsidRPr="003B312F" w:rsidRDefault="00902E0F" w:rsidP="0048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F5" w:rsidRPr="003B312F" w:rsidRDefault="004830F5" w:rsidP="00E74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Жилищного кодекса Российской Федерации, </w:t>
      </w:r>
      <w:r w:rsidR="0015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РФ от 02.12.1996 № 17-52, решением Думы города о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28.12.2005</w:t>
      </w:r>
      <w:r w:rsidR="001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553-</w:t>
      </w:r>
      <w:r w:rsidRPr="003B3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порядке управления и содержания муниципального жилищного фонда (с нормами о порядке предоставления интересов муниципального образования на общих собраниях собственников помещений </w:t>
      </w:r>
      <w:r w:rsidR="0015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домах) в городе Сургуте»</w:t>
      </w:r>
      <w:r w:rsidR="0090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изменениями):          </w:t>
      </w:r>
    </w:p>
    <w:p w:rsidR="004830F5" w:rsidRPr="00156726" w:rsidRDefault="00E741D7" w:rsidP="00E741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4830F5" w:rsidRPr="00E74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о порядке расчета </w:t>
      </w:r>
      <w:r w:rsidR="0000027E" w:rsidRPr="00E74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</w:t>
      </w:r>
      <w:r w:rsidR="004830F5" w:rsidRPr="00E74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пользование </w:t>
      </w:r>
      <w:r w:rsidR="004830F5" w:rsidRPr="0015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жилыми помещениями</w:t>
      </w:r>
      <w:r w:rsidR="0015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занимаемых </w:t>
      </w:r>
      <w:r w:rsidR="004830F5" w:rsidRPr="0015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условиях договоров найма </w:t>
      </w:r>
      <w:r w:rsidR="0015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</w:t>
      </w:r>
      <w:r w:rsidR="004830F5" w:rsidRPr="0015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="004830F5" w:rsidRPr="001567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1.</w:t>
        </w:r>
      </w:hyperlink>
    </w:p>
    <w:p w:rsidR="004830F5" w:rsidRPr="008F2A5C" w:rsidRDefault="00E741D7" w:rsidP="00E741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830F5" w:rsidRPr="00E74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156726" w:rsidRPr="00E7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расчета платы за пользование жил</w:t>
      </w:r>
      <w:r w:rsidR="008F2A5C" w:rsidRPr="00E7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8F2A5C" w:rsidRPr="008F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помещениями, занимаемы</w:t>
      </w:r>
      <w:r w:rsid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2A5C" w:rsidRPr="008F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</w:t>
      </w:r>
      <w:r w:rsidR="00156726" w:rsidRPr="008F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</w:t>
      </w:r>
      <w:r w:rsidR="008F2A5C" w:rsidRPr="008F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аренды </w:t>
      </w:r>
      <w:r w:rsidR="004830F5" w:rsidRP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2000" w:history="1">
        <w:r w:rsidR="004830F5" w:rsidRPr="008F2A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2.</w:t>
        </w:r>
      </w:hyperlink>
    </w:p>
    <w:p w:rsidR="0076325B" w:rsidRDefault="008F2A5C" w:rsidP="00E74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63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E74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325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763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действие</w:t>
      </w:r>
      <w:r w:rsidR="0076325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325B">
        <w:rPr>
          <w:rFonts w:ascii="Times New Roman" w:hAnsi="Times New Roman" w:cs="Times New Roman"/>
          <w:sz w:val="28"/>
          <w:szCs w:val="28"/>
        </w:rPr>
        <w:t>с 01.09.2014</w:t>
      </w:r>
      <w:r w:rsidR="0076325B" w:rsidRPr="003B312F">
        <w:rPr>
          <w:rFonts w:ascii="Times New Roman" w:hAnsi="Times New Roman" w:cs="Times New Roman"/>
          <w:sz w:val="28"/>
          <w:szCs w:val="28"/>
        </w:rPr>
        <w:t>.</w:t>
      </w:r>
    </w:p>
    <w:p w:rsidR="00E741D7" w:rsidRDefault="00E741D7" w:rsidP="00E7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</w:t>
      </w:r>
      <w:r w:rsidR="00B70F6A" w:rsidRPr="00B70F6A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</w:t>
      </w:r>
      <w:r w:rsidR="00155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13.12.2005 № 250 «Об утверждении положений о порядке расчета цен </w:t>
      </w:r>
      <w:r w:rsidR="0004187E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55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пользование жилыми помещениями на условиях договоров найма </w:t>
      </w:r>
      <w:r w:rsidR="00155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арендной платы за жилые помещения, находящиес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 муниципальной 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</w:t>
      </w:r>
      <w:r w:rsidR="00B2784C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" w:name="sub_3"/>
      <w:bookmarkEnd w:id="1"/>
    </w:p>
    <w:p w:rsidR="00E741D7" w:rsidRDefault="00E741D7" w:rsidP="00E7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187E" w:rsidRPr="003B312F">
        <w:rPr>
          <w:rFonts w:ascii="Times New Roman" w:hAnsi="Times New Roman" w:cs="Times New Roman"/>
          <w:sz w:val="28"/>
          <w:szCs w:val="28"/>
        </w:rPr>
        <w:t>Управлению информационной политики (</w:t>
      </w:r>
      <w:proofErr w:type="spellStart"/>
      <w:r w:rsidR="0004187E" w:rsidRPr="003B312F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 w:rsidR="0004187E" w:rsidRPr="003B312F">
        <w:rPr>
          <w:rFonts w:ascii="Times New Roman" w:hAnsi="Times New Roman" w:cs="Times New Roman"/>
          <w:sz w:val="28"/>
          <w:szCs w:val="28"/>
        </w:rPr>
        <w:t xml:space="preserve"> Е.А.) опубликовать </w:t>
      </w:r>
      <w:r w:rsidR="008F2A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87E" w:rsidRPr="003B312F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5C">
        <w:rPr>
          <w:rFonts w:ascii="Times New Roman" w:hAnsi="Times New Roman" w:cs="Times New Roman"/>
          <w:sz w:val="28"/>
          <w:szCs w:val="28"/>
        </w:rPr>
        <w:t xml:space="preserve">       </w:t>
      </w:r>
      <w:r w:rsidR="0004187E" w:rsidRPr="003B312F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города.</w:t>
      </w:r>
      <w:bookmarkStart w:id="3" w:name="sub_4"/>
      <w:bookmarkEnd w:id="2"/>
    </w:p>
    <w:p w:rsidR="00155279" w:rsidRDefault="00E741D7" w:rsidP="001552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Администрации города </w:t>
      </w:r>
      <w:r w:rsidR="0004187E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Базарова В.В.</w:t>
      </w:r>
    </w:p>
    <w:p w:rsidR="00155279" w:rsidRDefault="00155279" w:rsidP="00155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279" w:rsidRDefault="00155279" w:rsidP="00155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45192D" w:rsidRDefault="0045192D" w:rsidP="001552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sub_1000"/>
      <w:bookmarkEnd w:id="3"/>
    </w:p>
    <w:p w:rsidR="004332F8" w:rsidRPr="00797FB0" w:rsidRDefault="004332F8" w:rsidP="00433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97FB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Белова Олеся Витальевна</w:t>
      </w:r>
    </w:p>
    <w:p w:rsidR="004332F8" w:rsidRPr="00797FB0" w:rsidRDefault="004332F8" w:rsidP="00433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97FB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тел. (3462) 52-44-49</w:t>
      </w:r>
    </w:p>
    <w:p w:rsidR="004332F8" w:rsidRDefault="004332F8" w:rsidP="001552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4332F8" w:rsidSect="004332F8">
          <w:pgSz w:w="11900" w:h="16800"/>
          <w:pgMar w:top="567" w:right="1134" w:bottom="567" w:left="1134" w:header="720" w:footer="720" w:gutter="0"/>
          <w:cols w:space="720"/>
          <w:noEndnote/>
        </w:sectPr>
      </w:pPr>
      <w:bookmarkStart w:id="5" w:name="_GoBack"/>
      <w:bookmarkEnd w:id="5"/>
    </w:p>
    <w:p w:rsidR="004830F5" w:rsidRPr="008F2A5C" w:rsidRDefault="00FA1A81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830F5"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 1</w:t>
      </w:r>
    </w:p>
    <w:bookmarkEnd w:id="4"/>
    <w:p w:rsidR="0004187E" w:rsidRPr="008F2A5C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="0004187E"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проекту </w:t>
      </w:r>
      <w:hyperlink w:anchor="sub_0" w:history="1">
        <w:r w:rsidRPr="008F2A5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="0004187E"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</w:p>
    <w:p w:rsidR="004830F5" w:rsidRPr="008F2A5C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г.</w:t>
      </w:r>
      <w:r w:rsidR="00311E52"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Сургута</w:t>
      </w:r>
    </w:p>
    <w:p w:rsidR="004830F5" w:rsidRPr="008F2A5C" w:rsidRDefault="0004187E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4830F5" w:rsidRPr="008F2A5C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8F2A5C" w:rsidRDefault="004830F5" w:rsidP="004830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 порядке расчета </w:t>
      </w:r>
      <w:r w:rsidR="0000027E"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платы</w:t>
      </w: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пользование жилыми помещениями </w:t>
      </w:r>
      <w:r w:rsidRPr="008F2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на условиях договоров найма</w:t>
      </w:r>
    </w:p>
    <w:p w:rsidR="004830F5" w:rsidRPr="008F2A5C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Положение определяет порядок расчета платы за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пользование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(наем) жилых помещений, занимаемых по договорам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найма, найма специализированного 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помещения, договорам к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оммерческого найма жилого помещения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базовой ставки за наем 1 кв. метра площади жилого помещения 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жилищного фонда</w:t>
      </w:r>
      <w:r w:rsidR="008F2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месяц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4DBC" w:rsidRDefault="004830F5" w:rsidP="00494DB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базовой ставки за на</w:t>
      </w:r>
      <w:r w:rsidR="0004187E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1 кв. метра жилого помещения </w:t>
      </w:r>
    </w:p>
    <w:p w:rsidR="004830F5" w:rsidRPr="00494DBC" w:rsidRDefault="004830F5" w:rsidP="00494DB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производится исходя из отчислений на полное восстановление муниципального жилищного фонда. При расчете базовой ставки платы за на</w:t>
      </w:r>
      <w:r w:rsidR="0004187E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жилого помещения использу</w:t>
      </w:r>
      <w:r w:rsidR="00111DF2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единые нормы амортизационных отчислений </w:t>
      </w:r>
      <w:r w:rsidR="00B2534D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111DF2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полное восстановление основных фондов, </w:t>
      </w:r>
      <w:r w:rsidR="008F2A5C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утвержденных </w:t>
      </w: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111DF2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Министров СССР от 22.10.1990 № 1072 «О единых нормах амортизационных отчислений на полное восстановление основных фондов народного хозяйства СССР»</w:t>
      </w: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Базовая ставка платы за на</w:t>
      </w:r>
      <w:r w:rsidR="0004187E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1 кв. метра площади (общей 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площади 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жилых домов, жилой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площади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общежитий) муниципального жилищного фонда без элементов благоу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стройства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лифта и мусоропровода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каждой группе капитальности</w:t>
      </w:r>
      <w:r w:rsidR="0004187E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(капитального или деревянного исполнения)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</w:t>
      </w:r>
      <w:r w:rsidR="003B312F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формуле:</w:t>
      </w:r>
    </w:p>
    <w:p w:rsidR="009B4709" w:rsidRPr="009B4709" w:rsidRDefault="009B4709" w:rsidP="009B47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4709" w:rsidRPr="009B4709" w:rsidRDefault="004332F8" w:rsidP="009B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к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д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 xml:space="preserve">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 xml:space="preserve">*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к(д)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к(д)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 xml:space="preserve"> / 12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,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 xml:space="preserve"> где</m:t>
              </m:r>
            </m:sub>
          </m:sSub>
        </m:oMath>
      </m:oMathPara>
    </w:p>
    <w:p w:rsidR="009B4709" w:rsidRPr="009B4709" w:rsidRDefault="009B4709" w:rsidP="009B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4709" w:rsidRPr="009B4709" w:rsidRDefault="009B4709" w:rsidP="009B47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б</m:t>
            </m:r>
          </m:sub>
        </m:sSub>
      </m:oMath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базовая ставка платы за наем муниципального жилищного фонда капитального (или деревянного) исполнения (в рублях</w:t>
      </w:r>
      <w:r w:rsidR="0081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1 кв. метр</w:t>
      </w: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9B4709" w:rsidRPr="009B4709" w:rsidRDefault="009B4709" w:rsidP="009B47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к(д)</m:t>
            </m:r>
          </m:sub>
        </m:sSub>
      </m:oMath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балансовая восстановительная стоимость жилищного фонда </w:t>
      </w:r>
      <w:r w:rsidR="003B312F" w:rsidRPr="003B3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капитальном (или деревянном) исполнении (в рублях);</w:t>
      </w:r>
    </w:p>
    <w:p w:rsidR="009B4709" w:rsidRPr="009B4709" w:rsidRDefault="009B4709" w:rsidP="009B47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к(д)</m:t>
            </m:r>
          </m:sub>
        </m:sSub>
      </m:oMath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норматив отчислений на полное восстановление жилищного фонда в капитальном (или деревянном) исполнении (в %);</w:t>
      </w:r>
    </w:p>
    <w:p w:rsidR="009B4709" w:rsidRPr="009B4709" w:rsidRDefault="009B4709" w:rsidP="009B47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к(д)</m:t>
            </m:r>
          </m:sub>
        </m:sSub>
      </m:oMath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площадь жилых помещений (общая площадь для жилых домов, жилая  площадь для общежитий) жилищного фонда в капитальном </w:t>
      </w:r>
      <w:r w:rsidR="003B312F" w:rsidRPr="003B3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>(или деревянном) исполнении</w:t>
      </w:r>
      <w:r w:rsidR="0081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кв. метрах)</w:t>
      </w:r>
      <w:r w:rsidRPr="009B47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30F5" w:rsidRPr="003B312F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2"/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размера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за 1 кв. метр площади жилого помещения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занимаемого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социальному найму,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договору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специализированного жилого помещения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месяц:</w:t>
      </w:r>
    </w:p>
    <w:p w:rsidR="009B4709" w:rsidRPr="009B4709" w:rsidRDefault="009B4709" w:rsidP="009B47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709" w:rsidRPr="009B4709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б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,  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где</m:t>
            </m:r>
          </m:sub>
        </m:sSub>
      </m:oMath>
    </w:p>
    <w:p w:rsidR="009B4709" w:rsidRPr="009B4709" w:rsidRDefault="009B4709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709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с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ставка платы за наем 1 кв. метра общей площади жилого помещения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занимаемого по договору социального найма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месяц, 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договору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найма  специализированного жилого помещения 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месяц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рублях);</w:t>
      </w:r>
    </w:p>
    <w:p w:rsidR="00537C0D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="00C82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82BD1" w:rsidRPr="00C82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базовая ставка платы за наем муниципального жилищного фонда капитального (или деревянного) исполнения (в рублях)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846E3B" w:rsidRP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пунктом 1 настояще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846E3B" w:rsidRP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82BD1" w:rsidRPr="00C82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B4709" w:rsidRPr="009B4709" w:rsidRDefault="004332F8" w:rsidP="009B4709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коэффициент, учитывающий наличие элементов благоустро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йства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лифта и мусоропровода</w:t>
      </w:r>
      <w:r w:rsidR="009B470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1 к настоящему приложению)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B4709" w:rsidRPr="009B4709" w:rsidRDefault="004332F8" w:rsidP="009B4709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коэффициент, учитывающий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возмещаем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оплаты нанимателем жилых помещений</w:t>
      </w:r>
      <w:r w:rsidR="003B312F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размера базовой ставки</w:t>
      </w:r>
      <w:r w:rsidR="0081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равный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0,5.</w:t>
      </w:r>
    </w:p>
    <w:bookmarkEnd w:id="6"/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асчета платы за 1 кв. метр площади жилого помещения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занимаемого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12F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коммерческого</w:t>
      </w:r>
      <w:r w:rsid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месяц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3B312F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Плата за на</w:t>
      </w:r>
      <w:r w:rsidR="003B312F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1 кв. метра жилого помещения в месяц определяется исходя из базовой ставки платы за наем в зависимости от потребительских свойств жилого помещения и его месторасположения:</w:t>
      </w:r>
    </w:p>
    <w:p w:rsidR="009B4709" w:rsidRPr="004830F5" w:rsidRDefault="009B4709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709" w:rsidRPr="009B4709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,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где</m:t>
            </m:r>
          </m:sub>
        </m:sSub>
      </m:oMath>
    </w:p>
    <w:p w:rsidR="009B4709" w:rsidRPr="009B4709" w:rsidRDefault="009B4709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709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ставка платы за наем 1 кв. метра общей площади жилого помещения в месяц (в рублях);</w:t>
      </w:r>
    </w:p>
    <w:p w:rsidR="00846E3B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846E3B" w:rsidRPr="00C82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базовая ставка платы за наем муниципального жилищного фонда капитального (или деревянного) исполнения (в рублях)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с пунктом 1 настояще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F1347" w:rsidRPr="009B4709" w:rsidRDefault="004332F8" w:rsidP="002F1347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="002F1347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1347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коэффициент, учитывающий наличие элементов благоустро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йства</w:t>
      </w:r>
      <w:r w:rsidR="002F1347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лифта и мусоропровода</w:t>
      </w:r>
      <w:r w:rsidR="002F1347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1 к настоящему приложению)</w:t>
      </w:r>
      <w:r w:rsidR="002F1347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B4709" w:rsidRPr="009B4709" w:rsidRDefault="004332F8" w:rsidP="009B4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месторасположение жилого помещения</w:t>
      </w:r>
      <w:r w:rsidR="00A458F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2 к настоящему приложению)</w:t>
      </w:r>
      <w:r w:rsidR="009B4709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"/>
    </w:p>
    <w:p w:rsidR="004830F5" w:rsidRPr="004830F5" w:rsidRDefault="004830F5" w:rsidP="00A45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31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  <w:bookmarkStart w:id="8" w:name="sub_102"/>
      <w:bookmarkEnd w:id="7"/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End w:id="8"/>
    </w:p>
    <w:p w:rsidR="00A458F9" w:rsidRPr="00494DBC" w:rsidRDefault="00A458F9" w:rsidP="00A458F9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Коэффициенты, учитывающие наличие элементов благоустро</w:t>
      </w:r>
      <w:r w:rsidR="002F1347"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йства </w:t>
      </w:r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фонда: лифта и мусоропровода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Pr="00494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900"/>
      </w:tblGrid>
      <w:tr w:rsidR="003B312F" w:rsidRPr="004830F5" w:rsidTr="00537C0D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элементов благоустроенности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B312F" w:rsidRPr="004830F5" w:rsidTr="00537C0D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Жилищный фонд без лифта и без мусоропровода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</w:t>
            </w:r>
            <w:r w:rsidR="00A458F9"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B312F" w:rsidRPr="004830F5" w:rsidTr="00537C0D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Жилищный фонд без лифта с мусоропроводом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4830F5" w:rsidP="00A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</w:t>
            </w:r>
            <w:r w:rsidR="00A458F9"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</w:tr>
      <w:tr w:rsidR="003B312F" w:rsidRPr="004830F5" w:rsidTr="00537C0D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Жилищный фонд без мусоропровода с лифтом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4830F5" w:rsidP="00A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</w:t>
            </w:r>
            <w:r w:rsidR="00A458F9"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</w:tr>
      <w:tr w:rsidR="003B312F" w:rsidRPr="004830F5" w:rsidTr="00537C0D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Жилищный фонд с лифтом и мусоропроводом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A458F9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1,006</w:t>
            </w:r>
          </w:p>
        </w:tc>
      </w:tr>
    </w:tbl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B31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58F9" w:rsidRPr="00FA1A81" w:rsidRDefault="00A458F9" w:rsidP="00A458F9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Коэффициенты, учитывающие месторасположение жилищного фонда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846E3B" w:rsidRP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830F5" w:rsidRPr="00FA1A81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215"/>
      </w:tblGrid>
      <w:tr w:rsidR="003B312F" w:rsidRPr="004830F5" w:rsidTr="00537C0D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Месторасположение жилищного фонда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B312F" w:rsidRPr="004830F5" w:rsidTr="00A458F9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Первая зона: </w:t>
            </w:r>
            <w:proofErr w:type="spellStart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центральный, 7, 7А, 8, 11, 11А, 12, 13, 13А, 14, 15, 16, 15А, 16А, 17, 18, 19; квартал - 6; улица - Университетская,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A458F9" w:rsidP="00A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B312F" w:rsidRPr="004830F5" w:rsidTr="00A458F9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Вторая зона: </w:t>
            </w:r>
            <w:proofErr w:type="spellStart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А, 9, 10, 20, 20А, 33, 34, 32, 6, 5А, 25, 27, 11Б; кварталы - 7, 3, А; Х3 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A458F9" w:rsidP="00A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B312F" w:rsidRPr="004830F5" w:rsidTr="00A458F9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48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Третья зона: </w:t>
            </w:r>
            <w:proofErr w:type="spellStart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1, 1А, 2, 3, 4, 5, 21, 22, 23, 24, 26, 27А, 28, 28А, 30, 30А, 31, 31А, Железнодорожников, ПИКС; квартал - 23А; поселки - Таежный, Звездный, Черный Мыс, Дорожный, Финский, Юность, Кедровый-1, Кедровый-2, Лунный, МО </w:t>
            </w:r>
            <w:r w:rsidR="00494D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A458F9" w:rsidP="00A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8F9" w:rsidRPr="00494DBC" w:rsidRDefault="00155279" w:rsidP="00494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директора департамента                                                          Е.С. Нутфуллина</w:t>
      </w: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Pr="003B312F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58F9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62BA" w:rsidRDefault="002662BA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4DBC" w:rsidRDefault="00494DBC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A1A81" w:rsidRDefault="00FA1A81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97FB0" w:rsidRDefault="00797FB0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97FB0" w:rsidRDefault="00797FB0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97FB0" w:rsidRPr="00797FB0" w:rsidRDefault="00797FB0" w:rsidP="0079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97FB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Белова Олеся Витальевна</w:t>
      </w:r>
    </w:p>
    <w:p w:rsidR="00494DBC" w:rsidRPr="00797FB0" w:rsidRDefault="00797FB0" w:rsidP="0079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97FB0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тел. (3462) 52-44-49</w:t>
      </w:r>
    </w:p>
    <w:p w:rsidR="00A458F9" w:rsidRPr="00494DBC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458F9" w:rsidRPr="00494DBC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</w:t>
      </w:r>
      <w:hyperlink w:anchor="sub_0" w:history="1">
        <w:r w:rsidRPr="00494DB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</w:p>
    <w:p w:rsidR="00A458F9" w:rsidRPr="00494DBC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г.Сургута</w:t>
      </w:r>
      <w:proofErr w:type="spellEnd"/>
    </w:p>
    <w:p w:rsidR="00A458F9" w:rsidRPr="00494DBC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A458F9" w:rsidRPr="00494DBC" w:rsidRDefault="00A458F9" w:rsidP="00A45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312F" w:rsidRPr="00494DBC" w:rsidRDefault="003B312F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DBC" w:rsidRPr="00494DBC" w:rsidRDefault="00494DBC" w:rsidP="00494D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4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расчета платы за пользование жилыми </w:t>
      </w:r>
    </w:p>
    <w:p w:rsidR="00494DBC" w:rsidRPr="00494DBC" w:rsidRDefault="00494DBC" w:rsidP="00494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помещениями, занимаемы</w:t>
      </w:r>
      <w:r w:rsid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договоров аренды</w:t>
      </w:r>
    </w:p>
    <w:p w:rsidR="00494DBC" w:rsidRDefault="00494DBC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Положение определяет порядок расчета платы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аренду жилых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муниципального жилищного фонда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4830F5" w:rsidRDefault="00FA1A81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Плата за аренду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помещений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жилищного фонда для юридических лиц рассчитывается исходя из рыночной стоимости 1 кв. метра общей площади 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городской округ город Сургут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енной приказом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Региональной службы по тарифам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- Югры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01"/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р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азмера базовой ставки арендной платы за 1 кв. метр общей площади жилого помещения 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месяц производится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формуле:</w:t>
      </w:r>
    </w:p>
    <w:bookmarkEnd w:id="9"/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3B312F" w:rsidRDefault="004332F8" w:rsidP="00150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,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 где</m:t>
            </m:r>
          </m:sub>
        </m:sSub>
      </m:oMath>
    </w:p>
    <w:p w:rsidR="00150E69" w:rsidRPr="004830F5" w:rsidRDefault="00150E69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4830F5" w:rsidRDefault="004332F8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арендной платы за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spellEnd"/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в месяц </w:t>
      </w:r>
      <w:r w:rsidR="003B312F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рублях);</w:t>
      </w:r>
    </w:p>
    <w:p w:rsidR="004830F5" w:rsidRPr="004830F5" w:rsidRDefault="004332F8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норматив средней рыночной стоимости 1 кв. метра общей площади жилого помещения, утвержд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енной приказом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Региональной служб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тарифам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Мансийского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автономного округа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-Югры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4830F5" w:rsidRDefault="004332F8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sub>
        </m:sSub>
      </m:oMath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соотношение арендной платы 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рыночной стоимости жилого помещения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равный 0,0</w:t>
      </w:r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30F5" w:rsidRPr="004830F5" w:rsidRDefault="004830F5" w:rsidP="00150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02"/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Расчет месячной арендной платы 1 кв. метра общей площади жилого помещения в зависимости от благоустро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йства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102" w:history="1">
        <w:r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таблица </w:t>
        </w:r>
        <w:r w:rsidR="00150E69"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приложению 1), мест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асположения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103" w:history="1">
        <w:r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таблица </w:t>
        </w:r>
        <w:r w:rsidR="00150E69"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приложению 1), формы собственности 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вида 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деятельности (</w:t>
      </w:r>
      <w:hyperlink w:anchor="sub_201" w:history="1">
        <w:r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</w:t>
        </w:r>
      </w:hyperlink>
      <w:r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приложению).</w:t>
      </w:r>
    </w:p>
    <w:bookmarkEnd w:id="10"/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Default="004332F8" w:rsidP="003B3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150E69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 xml:space="preserve">,  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где</m:t>
            </m:r>
          </m:sub>
        </m:sSub>
      </m:oMath>
    </w:p>
    <w:p w:rsidR="00846E3B" w:rsidRDefault="00846E3B" w:rsidP="003B3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E3B" w:rsidRPr="004830F5" w:rsidRDefault="004332F8" w:rsidP="0084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="00846E3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месячная арендная плата (в рублях);</w:t>
      </w:r>
    </w:p>
    <w:p w:rsidR="00846E3B" w:rsidRDefault="004332F8" w:rsidP="0084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846E3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</w:t>
      </w:r>
      <w:r w:rsidR="00FA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аренной </w:t>
      </w:r>
      <w:r w:rsidR="00846E3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платы за 1 кв. метр жилого помещения в месяц </w:t>
      </w:r>
      <w:r w:rsidR="00846E3B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846E3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рублях)</w:t>
      </w:r>
      <w:r w:rsid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соответствие </w:t>
      </w:r>
      <w:r w:rsidR="00846E3B" w:rsidRP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пунктом 1 настояще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846E3B" w:rsidRPr="0084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26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46E3B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534D" w:rsidRDefault="004332F8" w:rsidP="0084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="00B2534D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534D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коэффициент, учитывающий наличие элементов благоустро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йства</w:t>
      </w:r>
      <w:r w:rsidR="00B2534D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лифта и мусоропровода</w:t>
      </w:r>
      <w:r w:rsidR="00B2534D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1 к приложению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B2534D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534D" w:rsidRDefault="004332F8" w:rsidP="0084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="00B2534D" w:rsidRPr="009B4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месторасположение жилого помещения</w:t>
      </w:r>
      <w:r w:rsidR="00B2534D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2 к приложению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B2534D" w:rsidRPr="003B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253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830F5" w:rsidRPr="004830F5" w:rsidRDefault="004332F8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форму собственности, вид деятельности </w:t>
      </w:r>
      <w:r w:rsidR="002F1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 - арендатора</w:t>
      </w:r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201" w:history="1">
        <w:r w:rsidR="004830F5" w:rsidRPr="003B31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</w:t>
        </w:r>
      </w:hyperlink>
      <w:r w:rsidR="004830F5" w:rsidRPr="0048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приложению).</w:t>
      </w:r>
    </w:p>
    <w:p w:rsidR="003B312F" w:rsidRPr="003B312F" w:rsidRDefault="003B312F" w:rsidP="004830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30F5" w:rsidRPr="00155279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2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30F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Коэффициенты, учитывающие форму собственности</w:t>
      </w:r>
      <w:r w:rsidRPr="004830F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(</w:t>
      </w:r>
      <w:r w:rsidR="002F13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юридического лица</w:t>
      </w:r>
      <w:r w:rsidRPr="004830F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-арендатора и вид его деятельности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Pr="004830F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4830F5" w:rsidRPr="004830F5" w:rsidRDefault="004830F5" w:rsidP="0048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9"/>
        <w:gridCol w:w="1891"/>
      </w:tblGrid>
      <w:tr w:rsidR="003B312F" w:rsidRPr="004830F5" w:rsidTr="003B312F"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F5" w:rsidRPr="004830F5" w:rsidRDefault="004830F5" w:rsidP="002F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собственности, вид деятельности </w:t>
            </w:r>
            <w:r w:rsidR="002F13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-арендатора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4830F5" w:rsidP="003B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B312F" w:rsidRPr="004830F5" w:rsidTr="003B312F"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FA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A1A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Государственные органы (</w:t>
            </w: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="00FA1A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4830F5" w:rsidP="003B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B312F" w:rsidRPr="004830F5" w:rsidTr="003B312F"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5" w:rsidRPr="004830F5" w:rsidRDefault="004830F5" w:rsidP="00FA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3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A1A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Управляющие компании, в управлении которых находятся домовладения с расположенными в них муниципальными жилыми помещениями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0F5" w:rsidRPr="004830F5" w:rsidRDefault="003B312F" w:rsidP="003B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31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4830F5" w:rsidRDefault="004830F5" w:rsidP="0017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0F6" w:rsidRDefault="001730F6" w:rsidP="0017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7C20" w:rsidRDefault="00155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27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55279">
        <w:rPr>
          <w:rFonts w:ascii="Times New Roman" w:hAnsi="Times New Roman" w:cs="Times New Roman"/>
          <w:sz w:val="28"/>
          <w:szCs w:val="28"/>
        </w:rPr>
        <w:t>. директора департамента                                                          Е.С. Нутфуллина</w:t>
      </w: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797FB0" w:rsidRDefault="00797FB0">
      <w:pPr>
        <w:rPr>
          <w:rFonts w:ascii="Times New Roman" w:hAnsi="Times New Roman" w:cs="Times New Roman"/>
          <w:sz w:val="28"/>
          <w:szCs w:val="28"/>
        </w:rPr>
      </w:pPr>
    </w:p>
    <w:p w:rsidR="00EB5CA3" w:rsidRDefault="00EB5CA3">
      <w:pPr>
        <w:rPr>
          <w:rFonts w:ascii="Times New Roman" w:hAnsi="Times New Roman" w:cs="Times New Roman"/>
          <w:sz w:val="28"/>
          <w:szCs w:val="28"/>
        </w:rPr>
      </w:pPr>
    </w:p>
    <w:p w:rsidR="00797FB0" w:rsidRPr="00797FB0" w:rsidRDefault="00797FB0" w:rsidP="00797F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FB0">
        <w:rPr>
          <w:rFonts w:ascii="Times New Roman" w:hAnsi="Times New Roman" w:cs="Times New Roman"/>
          <w:sz w:val="20"/>
          <w:szCs w:val="20"/>
        </w:rPr>
        <w:t>Белова Олеся Витальевна</w:t>
      </w:r>
    </w:p>
    <w:p w:rsidR="00797FB0" w:rsidRPr="003B312F" w:rsidRDefault="00797FB0" w:rsidP="0079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FB0">
        <w:rPr>
          <w:rFonts w:ascii="Times New Roman" w:hAnsi="Times New Roman" w:cs="Times New Roman"/>
          <w:sz w:val="20"/>
          <w:szCs w:val="20"/>
        </w:rPr>
        <w:t>тел. (3462) 52-44-49</w:t>
      </w:r>
    </w:p>
    <w:sectPr w:rsidR="00797FB0" w:rsidRPr="003B312F" w:rsidSect="004830F5">
      <w:pgSz w:w="11900" w:h="16800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5"/>
    <w:rsid w:val="0000027E"/>
    <w:rsid w:val="0004187E"/>
    <w:rsid w:val="00111DF2"/>
    <w:rsid w:val="00150E69"/>
    <w:rsid w:val="00155279"/>
    <w:rsid w:val="00156726"/>
    <w:rsid w:val="001730F6"/>
    <w:rsid w:val="00254695"/>
    <w:rsid w:val="002662BA"/>
    <w:rsid w:val="002F1347"/>
    <w:rsid w:val="00311E52"/>
    <w:rsid w:val="003B312F"/>
    <w:rsid w:val="004332F8"/>
    <w:rsid w:val="0045192D"/>
    <w:rsid w:val="004830F5"/>
    <w:rsid w:val="00494DBC"/>
    <w:rsid w:val="00517C20"/>
    <w:rsid w:val="00537C0D"/>
    <w:rsid w:val="005C65E9"/>
    <w:rsid w:val="0076325B"/>
    <w:rsid w:val="00797FB0"/>
    <w:rsid w:val="00813F25"/>
    <w:rsid w:val="00846E3B"/>
    <w:rsid w:val="0088094F"/>
    <w:rsid w:val="008F2A5C"/>
    <w:rsid w:val="00902E0F"/>
    <w:rsid w:val="009B4709"/>
    <w:rsid w:val="00A458F9"/>
    <w:rsid w:val="00A4619A"/>
    <w:rsid w:val="00B2534D"/>
    <w:rsid w:val="00B2784C"/>
    <w:rsid w:val="00B70F6A"/>
    <w:rsid w:val="00BC2F03"/>
    <w:rsid w:val="00C82BD1"/>
    <w:rsid w:val="00E741D7"/>
    <w:rsid w:val="00EB5CA3"/>
    <w:rsid w:val="00F1436C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0B02-CE19-4D4D-9096-A49599E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Грушина Оксана Егоровна</cp:lastModifiedBy>
  <cp:revision>3</cp:revision>
  <cp:lastPrinted>2014-07-08T06:21:00Z</cp:lastPrinted>
  <dcterms:created xsi:type="dcterms:W3CDTF">2014-07-08T09:04:00Z</dcterms:created>
  <dcterms:modified xsi:type="dcterms:W3CDTF">2014-07-23T06:14:00Z</dcterms:modified>
</cp:coreProperties>
</file>