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89" w:rsidRPr="00786989" w:rsidRDefault="00786989" w:rsidP="00786989">
      <w:pPr>
        <w:pStyle w:val="af"/>
        <w:ind w:firstLine="708"/>
        <w:jc w:val="both"/>
        <w:rPr>
          <w:rFonts w:ascii="Times New Roman" w:hAnsi="Times New Roman"/>
          <w:sz w:val="24"/>
          <w:szCs w:val="24"/>
          <w:lang w:eastAsia="ru-RU"/>
        </w:rPr>
      </w:pPr>
      <w:r>
        <w:rPr>
          <w:rFonts w:ascii="Times New Roman" w:hAnsi="Times New Roman"/>
          <w:sz w:val="24"/>
          <w:szCs w:val="24"/>
          <w:lang w:eastAsia="ru-RU"/>
        </w:rPr>
        <w:t>И</w:t>
      </w:r>
      <w:r w:rsidRPr="00786989">
        <w:rPr>
          <w:rFonts w:ascii="Times New Roman" w:hAnsi="Times New Roman"/>
          <w:sz w:val="24"/>
          <w:szCs w:val="24"/>
          <w:lang w:eastAsia="ru-RU"/>
        </w:rPr>
        <w:t>нформ</w:t>
      </w:r>
      <w:r>
        <w:rPr>
          <w:rFonts w:ascii="Times New Roman" w:hAnsi="Times New Roman"/>
          <w:sz w:val="24"/>
          <w:szCs w:val="24"/>
          <w:lang w:eastAsia="ru-RU"/>
        </w:rPr>
        <w:t>ация для</w:t>
      </w:r>
      <w:r w:rsidRPr="00786989">
        <w:rPr>
          <w:rFonts w:ascii="Times New Roman" w:hAnsi="Times New Roman"/>
          <w:sz w:val="24"/>
          <w:szCs w:val="24"/>
          <w:lang w:eastAsia="ru-RU"/>
        </w:rPr>
        <w:t xml:space="preserve"> субъектов малого и среднего предпринимательства о возможности оформления поручительства Фонда поддержки предпринимательства Югры (Далее - Фонд) и гарантий АО «Небанковская депозитно-кредитная организация «Агентство кредитных гарантий» (Далее - АКГ).</w:t>
      </w: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786989" w:rsidTr="00C21C3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786989" w:rsidRDefault="00F678A0" w:rsidP="00466835">
            <w:pPr>
              <w:keepNext/>
              <w:keepLines/>
              <w:spacing w:before="40" w:after="0"/>
              <w:jc w:val="center"/>
              <w:outlineLvl w:val="1"/>
              <w:rPr>
                <w:rFonts w:ascii="Times New Roman" w:eastAsia="Times New Roman" w:hAnsi="Times New Roman"/>
                <w:b/>
                <w:color w:val="2E74B5"/>
                <w:sz w:val="24"/>
                <w:szCs w:val="24"/>
                <w:lang w:eastAsia="ru-RU"/>
              </w:rPr>
            </w:pPr>
            <w:bookmarkStart w:id="0" w:name="_Toc415564635"/>
            <w:r w:rsidRPr="00786989">
              <w:rPr>
                <w:rFonts w:ascii="Times New Roman" w:eastAsia="Times New Roman" w:hAnsi="Times New Roman"/>
                <w:b/>
                <w:sz w:val="24"/>
                <w:szCs w:val="24"/>
                <w:lang w:eastAsia="ru-RU"/>
              </w:rPr>
              <w:t>ПРЯМАЯ ГАРАНТИЯ, ВЫДАВАЕМАЯ СОВМЕСТНО С ПОРУЧИТЕЛЬСТВОМ</w:t>
            </w:r>
            <w:r w:rsidRPr="00786989">
              <w:rPr>
                <w:rFonts w:ascii="Times New Roman" w:eastAsia="Times New Roman" w:hAnsi="Times New Roman"/>
                <w:b/>
                <w:vanish/>
                <w:sz w:val="24"/>
                <w:szCs w:val="24"/>
                <w:lang w:eastAsia="ru-RU"/>
              </w:rPr>
              <w:t>РГО</w:t>
            </w:r>
            <w:r w:rsidRPr="00786989">
              <w:rPr>
                <w:rFonts w:ascii="Times New Roman" w:eastAsia="Times New Roman" w:hAnsi="Times New Roman"/>
                <w:b/>
                <w:sz w:val="24"/>
                <w:szCs w:val="24"/>
                <w:lang w:eastAsia="ru-RU"/>
              </w:rPr>
              <w:t xml:space="preserve"> </w:t>
            </w:r>
            <w:r w:rsidR="00466835" w:rsidRPr="00786989">
              <w:rPr>
                <w:rFonts w:ascii="Times New Roman" w:eastAsia="Times New Roman" w:hAnsi="Times New Roman"/>
                <w:b/>
                <w:sz w:val="24"/>
                <w:szCs w:val="24"/>
                <w:lang w:eastAsia="ru-RU"/>
              </w:rPr>
              <w:t>ФОНДА</w:t>
            </w:r>
            <w:r w:rsidRPr="00786989">
              <w:rPr>
                <w:rFonts w:ascii="Times New Roman" w:eastAsia="Times New Roman" w:hAnsi="Times New Roman"/>
                <w:b/>
                <w:sz w:val="24"/>
                <w:szCs w:val="24"/>
                <w:lang w:eastAsia="ru-RU"/>
              </w:rPr>
              <w:t xml:space="preserve"> (СОГАРАНТИЯ)</w:t>
            </w:r>
            <w:bookmarkEnd w:id="0"/>
          </w:p>
        </w:tc>
      </w:tr>
      <w:tr w:rsidR="00F678A0" w:rsidRPr="00786989" w:rsidTr="00C21C3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sz w:val="24"/>
                <w:szCs w:val="24"/>
                <w:lang w:eastAsia="ru-RU"/>
              </w:rPr>
            </w:pPr>
            <w:r w:rsidRPr="00786989">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Безотзывная</w:t>
            </w:r>
          </w:p>
        </w:tc>
      </w:tr>
      <w:tr w:rsidR="00F678A0" w:rsidRPr="00786989" w:rsidTr="00C21C3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sz w:val="24"/>
                <w:szCs w:val="24"/>
                <w:lang w:eastAsia="ru-RU"/>
              </w:rPr>
            </w:pPr>
            <w:r w:rsidRPr="00786989">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Юридические лица / индивидуальные предприниматели / крестьянское (фермерское) хозяйство / потребительский кооператив – субъекты МСП</w:t>
            </w:r>
          </w:p>
        </w:tc>
      </w:tr>
      <w:tr w:rsidR="00F678A0" w:rsidRPr="00786989" w:rsidTr="00C21C3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sz w:val="24"/>
                <w:szCs w:val="24"/>
                <w:lang w:eastAsia="ru-RU"/>
              </w:rPr>
            </w:pPr>
            <w:r w:rsidRPr="00786989">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По решению Органа компетенции Агентства, но не более указанного в разделе «Целевое назначение гарантии»</w:t>
            </w:r>
          </w:p>
        </w:tc>
      </w:tr>
      <w:tr w:rsidR="00F678A0" w:rsidRPr="00786989" w:rsidTr="00C21C3A">
        <w:trPr>
          <w:trHeight w:val="44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По решению Органа компетенции Агентства</w:t>
            </w:r>
          </w:p>
        </w:tc>
      </w:tr>
      <w:tr w:rsidR="00F678A0" w:rsidRPr="00786989" w:rsidTr="00C21C3A">
        <w:trPr>
          <w:trHeight w:val="40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Рубли РФ</w:t>
            </w:r>
          </w:p>
        </w:tc>
      </w:tr>
      <w:tr w:rsidR="00F678A0" w:rsidRPr="00786989" w:rsidTr="00C21C3A">
        <w:trPr>
          <w:trHeight w:val="40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Валюта кредита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Рубли РФ</w:t>
            </w:r>
          </w:p>
        </w:tc>
      </w:tr>
      <w:tr w:rsidR="00F678A0" w:rsidRPr="00786989" w:rsidTr="00C21C3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 xml:space="preserve">1,25% годовых от суммы гарантии за весь срок действия гарантии </w:t>
            </w:r>
          </w:p>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p>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p w:rsidR="00F678A0" w:rsidRPr="00786989" w:rsidRDefault="00F678A0" w:rsidP="00C21C3A">
            <w:pPr>
              <w:spacing w:after="0" w:line="240" w:lineRule="auto"/>
              <w:ind w:left="136" w:right="136"/>
              <w:jc w:val="both"/>
              <w:textAlignment w:val="top"/>
              <w:rPr>
                <w:rFonts w:ascii="Times New Roman" w:eastAsia="Times New Roman" w:hAnsi="Times New Roman"/>
                <w:sz w:val="24"/>
                <w:szCs w:val="24"/>
                <w:lang w:eastAsia="ru-RU"/>
              </w:rPr>
            </w:pPr>
          </w:p>
        </w:tc>
      </w:tr>
      <w:tr w:rsidR="00F678A0" w:rsidRPr="00786989" w:rsidTr="00C21C3A">
        <w:trPr>
          <w:trHeight w:val="45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Единовременно/ежегодно/1 раз в полгода/ежеквартально</w:t>
            </w:r>
          </w:p>
        </w:tc>
      </w:tr>
      <w:tr w:rsidR="00F678A0" w:rsidRPr="00786989" w:rsidTr="00C21C3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Гарантии предоставляются на следующие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center"/>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Максимальный срок гарантии, мес.</w:t>
            </w:r>
          </w:p>
        </w:tc>
      </w:tr>
      <w:tr w:rsidR="00F678A0" w:rsidRPr="00786989" w:rsidTr="00C21C3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786989" w:rsidRDefault="00F678A0">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а также в обеспечение выданных кредитов</w:t>
            </w:r>
            <w:r w:rsidR="00995380" w:rsidRPr="00786989">
              <w:rPr>
                <w:rStyle w:val="ae"/>
                <w:rFonts w:ascii="Times New Roman" w:eastAsia="Times New Roman" w:hAnsi="Times New Roman"/>
                <w:sz w:val="24"/>
                <w:szCs w:val="24"/>
                <w:lang w:eastAsia="ru-RU"/>
              </w:rPr>
              <w:footnoteReference w:id="1"/>
            </w:r>
            <w:r w:rsidRPr="00786989">
              <w:rPr>
                <w:rFonts w:ascii="Times New Roman" w:eastAsia="Times New Roman" w:hAnsi="Times New Roman"/>
                <w:sz w:val="24"/>
                <w:szCs w:val="24"/>
                <w:lang w:eastAsia="ru-RU"/>
              </w:rPr>
              <w:t>. Кредитные средства могут быть направлены на расчеты с поставщиками и под</w:t>
            </w:r>
            <w:r w:rsidR="001208DE" w:rsidRPr="00786989">
              <w:rPr>
                <w:rFonts w:ascii="Times New Roman" w:eastAsia="Times New Roman" w:hAnsi="Times New Roman"/>
                <w:sz w:val="24"/>
                <w:szCs w:val="24"/>
                <w:lang w:eastAsia="ru-RU"/>
              </w:rPr>
              <w:t>рядчиками в рамках строительства</w:t>
            </w:r>
            <w:r w:rsidRPr="00786989">
              <w:rPr>
                <w:rFonts w:ascii="Times New Roman" w:eastAsia="Times New Roman" w:hAnsi="Times New Roman"/>
                <w:sz w:val="24"/>
                <w:szCs w:val="24"/>
                <w:lang w:eastAsia="ru-RU"/>
              </w:rPr>
              <w:t xml:space="preserve"> нежилой недвижимости (с учетом отнесения Заемщика только к Среднему сегменту).</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center"/>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184</w:t>
            </w:r>
          </w:p>
        </w:tc>
      </w:tr>
      <w:tr w:rsidR="00F678A0" w:rsidRPr="00786989" w:rsidTr="00C21C3A">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786989" w:rsidRDefault="00F678A0" w:rsidP="00C21C3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786989" w:rsidRDefault="00F678A0" w:rsidP="00C21C3A">
            <w:pPr>
              <w:spacing w:after="0" w:line="240" w:lineRule="auto"/>
              <w:ind w:left="142" w:right="138"/>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В составе кредита на инвестиционные неторговые цели, обеспечением по которому выступает гарантия Агентства, может быть до 30% кредита направлено на сопровождение проекта (возможность кредитования целей некапитального характера в рамках проекта).</w:t>
            </w:r>
          </w:p>
          <w:p w:rsidR="00F678A0" w:rsidRPr="00786989" w:rsidRDefault="00F678A0" w:rsidP="00C21C3A">
            <w:pPr>
              <w:spacing w:after="0" w:line="240" w:lineRule="auto"/>
              <w:ind w:left="142" w:right="138"/>
              <w:textAlignment w:val="top"/>
              <w:rPr>
                <w:rFonts w:ascii="Times New Roman" w:eastAsia="Times New Roman" w:hAnsi="Times New Roman"/>
                <w:sz w:val="24"/>
                <w:szCs w:val="24"/>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center"/>
              <w:textAlignment w:val="top"/>
              <w:rPr>
                <w:rFonts w:ascii="Times New Roman" w:eastAsia="Times New Roman" w:hAnsi="Times New Roman"/>
                <w:sz w:val="24"/>
                <w:szCs w:val="24"/>
                <w:lang w:eastAsia="ru-RU"/>
              </w:rPr>
            </w:pPr>
          </w:p>
        </w:tc>
      </w:tr>
      <w:tr w:rsidR="00F678A0" w:rsidRPr="00786989" w:rsidTr="00C21C3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Банками, и направляемым на цели исполнения контракта согласно Федеральных законов №44-ФЗ и №223-ФЗ.</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center"/>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40</w:t>
            </w:r>
          </w:p>
        </w:tc>
      </w:tr>
      <w:tr w:rsidR="00F678A0" w:rsidRPr="00786989" w:rsidTr="00C21C3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Обеспечение реструктурируемых/рефинансируемых кредитов</w:t>
            </w:r>
            <w:r w:rsidR="00995380" w:rsidRPr="00786989">
              <w:rPr>
                <w:rStyle w:val="ae"/>
                <w:rFonts w:ascii="Times New Roman" w:eastAsia="Times New Roman" w:hAnsi="Times New Roman"/>
                <w:sz w:val="24"/>
                <w:szCs w:val="24"/>
                <w:lang w:eastAsia="ru-RU"/>
              </w:rPr>
              <w:footnoteReference w:id="2"/>
            </w:r>
            <w:r w:rsidRPr="00786989">
              <w:rPr>
                <w:rFonts w:ascii="Times New Roman" w:eastAsia="Times New Roman" w:hAnsi="Times New Roman"/>
                <w:sz w:val="24"/>
                <w:szCs w:val="24"/>
                <w:lang w:eastAsia="ru-RU"/>
              </w:rPr>
              <w:t xml:space="preserve">. </w:t>
            </w:r>
          </w:p>
          <w:p w:rsidR="00F678A0" w:rsidRPr="00786989" w:rsidRDefault="00F678A0" w:rsidP="006F47C6">
            <w:pPr>
              <w:spacing w:after="0" w:line="240" w:lineRule="auto"/>
              <w:ind w:right="138"/>
              <w:jc w:val="both"/>
              <w:textAlignment w:val="top"/>
              <w:rPr>
                <w:rFonts w:ascii="Times New Roman" w:eastAsia="Times New Roman" w:hAnsi="Times New Roman"/>
                <w:sz w:val="24"/>
                <w:szCs w:val="24"/>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center"/>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184</w:t>
            </w:r>
          </w:p>
        </w:tc>
      </w:tr>
      <w:tr w:rsidR="00F678A0" w:rsidRPr="00786989" w:rsidTr="00C21C3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Обеспечение кредитов с целью пополнения оборотных средств.</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786989" w:rsidRDefault="00F678A0" w:rsidP="00C21C3A">
            <w:pPr>
              <w:spacing w:after="0" w:line="240" w:lineRule="auto"/>
              <w:ind w:left="142" w:right="138"/>
              <w:jc w:val="center"/>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52</w:t>
            </w:r>
          </w:p>
        </w:tc>
      </w:tr>
      <w:tr w:rsidR="00F678A0" w:rsidRPr="00786989" w:rsidTr="00C21C3A">
        <w:trPr>
          <w:trHeight w:val="9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p>
          <w:p w:rsidR="00F678A0" w:rsidRPr="00786989" w:rsidRDefault="00F678A0" w:rsidP="00C21C3A">
            <w:pPr>
              <w:ind w:left="170" w:right="119"/>
              <w:jc w:val="both"/>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Гарантия Агентства может быть предоставлена по реструктурируемому кредиту, по кредиту на рефинансирование кредитов любого банка, в том числе выданных на инвестиционные цели, оборотные средства, рефинансирование ранее выданных кредитов, и на смешанные цели.</w:t>
            </w:r>
          </w:p>
          <w:p w:rsidR="00F678A0" w:rsidRPr="00786989" w:rsidRDefault="00F678A0" w:rsidP="00C21C3A">
            <w:pPr>
              <w:ind w:left="170" w:right="119"/>
              <w:jc w:val="both"/>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Гарантия Агентства может быть предоставлена в обеспечение кредита (невозобновляемой кредитной линии) при выдаче очередного транша по кредиту. При этом лимит ответственности Агентства рассчитывается исходя из кредитных требований по кредиту (невозобновляемой кредитной линии) в целом.</w:t>
            </w:r>
          </w:p>
        </w:tc>
      </w:tr>
      <w:tr w:rsidR="00F678A0" w:rsidRPr="00786989" w:rsidTr="00C21C3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До выдачи гарантии в АКГ должна быть предоставлена копия заключенного договора поручительства</w:t>
            </w:r>
            <w:r w:rsidR="00F97AC7" w:rsidRPr="00786989">
              <w:rPr>
                <w:rFonts w:ascii="Times New Roman" w:eastAsia="Times New Roman" w:hAnsi="Times New Roman"/>
                <w:sz w:val="24"/>
                <w:szCs w:val="24"/>
                <w:lang w:eastAsia="ru-RU"/>
              </w:rPr>
              <w:t>, заверенная уполномоченным лицом Банка</w:t>
            </w:r>
            <w:r w:rsidRPr="00786989">
              <w:rPr>
                <w:rFonts w:ascii="Times New Roman" w:eastAsia="Times New Roman" w:hAnsi="Times New Roman"/>
                <w:sz w:val="24"/>
                <w:szCs w:val="24"/>
                <w:lang w:eastAsia="ru-RU"/>
              </w:rPr>
              <w:t>.</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p>
        </w:tc>
      </w:tr>
      <w:tr w:rsidR="00F678A0" w:rsidRPr="00786989" w:rsidTr="00C21C3A">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8E4EAE">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установленного графика.</w:t>
            </w:r>
          </w:p>
        </w:tc>
      </w:tr>
      <w:tr w:rsidR="00F678A0" w:rsidRPr="00786989" w:rsidTr="00C21C3A">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8E4EAE">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F678A0" w:rsidRPr="00786989" w:rsidTr="00C21C3A">
        <w:trPr>
          <w:trHeight w:val="208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 xml:space="preserve">Агентство приобретает право требовать от Заемщика в порядке регресса возмещения сумм, уплаченных Банку по банковской гарантии. </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p>
          <w:p w:rsidR="00F678A0" w:rsidRPr="00786989" w:rsidRDefault="00F678A0" w:rsidP="002A3587">
            <w:pPr>
              <w:spacing w:after="0" w:line="240" w:lineRule="auto"/>
              <w:ind w:left="142" w:right="138"/>
              <w:jc w:val="both"/>
              <w:textAlignment w:val="top"/>
              <w:rPr>
                <w:rFonts w:ascii="Times New Roman" w:eastAsia="Times New Roman" w:hAnsi="Times New Roman"/>
                <w:color w:val="FF0000"/>
                <w:sz w:val="24"/>
                <w:szCs w:val="24"/>
                <w:lang w:eastAsia="ru-RU"/>
              </w:rPr>
            </w:pPr>
            <w:r w:rsidRPr="00786989">
              <w:rPr>
                <w:rFonts w:ascii="Times New Roman" w:eastAsia="Times New Roman" w:hAnsi="Times New Roman"/>
                <w:sz w:val="24"/>
                <w:szCs w:val="24"/>
                <w:lang w:eastAsia="ru-RU"/>
              </w:rPr>
              <w:t>Для банковских гарантий свыше 50 млн. руб.: Агентство либо приобретает по договору(-ам) уступки права кредитора по отношению к Заемщику (Принципалу) и права на заложенное имущество в части пропорционально уплаченной Гарантом суммы по банковской гарантии, либо реализует свои права по последующему залогу, которым обеспечивается регрессное право Гаранта.</w:t>
            </w:r>
          </w:p>
        </w:tc>
      </w:tr>
      <w:tr w:rsidR="00F678A0" w:rsidRPr="00786989" w:rsidTr="00C21C3A">
        <w:trPr>
          <w:trHeight w:val="3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sz w:val="24"/>
                <w:szCs w:val="24"/>
                <w:lang w:eastAsia="ru-RU"/>
              </w:rPr>
            </w:pPr>
            <w:r w:rsidRPr="00786989">
              <w:rPr>
                <w:rFonts w:ascii="Times New Roman" w:eastAsia="Times New Roman" w:hAnsi="Times New Roman"/>
                <w:b/>
                <w:bCs/>
                <w:kern w:val="24"/>
                <w:sz w:val="24"/>
                <w:szCs w:val="24"/>
                <w:lang w:eastAsia="ru-RU"/>
              </w:rPr>
              <w:t>Требования к Принципалу / 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Субъекты МСП</w:t>
            </w:r>
          </w:p>
        </w:tc>
      </w:tr>
      <w:tr w:rsidR="00F678A0" w:rsidRPr="00786989" w:rsidTr="00C21C3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Требования к Бенефициару / 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2A3587">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Аккредитованный Агентством на основании принятой Агентством процедуры Банк, заключивший с Агентством соглашение о сотрудничестве.</w:t>
            </w:r>
          </w:p>
        </w:tc>
      </w:tr>
      <w:tr w:rsidR="00F678A0" w:rsidRPr="00786989" w:rsidTr="00C21C3A">
        <w:trPr>
          <w:trHeight w:val="420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 xml:space="preserve">Банк вправе обратиться к Агентству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установленных договором поручительства. 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При частичном погашении кредита Заемщиком, размер ответственности Агентства и РГО уменьшается пропорционально и не может составлять совместно более 70% текущей суммы основного долга. Размер требования к Агентству и РГО определяется пропорционально размеру их участия в структуре совместного обеспечения.</w:t>
            </w:r>
          </w:p>
          <w:p w:rsidR="00F678A0" w:rsidRPr="00786989" w:rsidRDefault="00F678A0">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 xml:space="preserve">Гарантия Агентства обеспечивает обязательства Заемщика, осуществляющего деятельность в торговой сфере, в пределах 50%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 </w:t>
            </w:r>
          </w:p>
        </w:tc>
      </w:tr>
      <w:tr w:rsidR="00F678A0" w:rsidRPr="00786989" w:rsidTr="00C21C3A">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Срок действия поручительства РГО не может быть менее срока действия гарантии минус 120 дней.</w:t>
            </w:r>
          </w:p>
        </w:tc>
      </w:tr>
      <w:tr w:rsidR="00F678A0" w:rsidRPr="00786989" w:rsidTr="00C21C3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786989" w:rsidRDefault="00F678A0" w:rsidP="00C21C3A">
            <w:pPr>
              <w:spacing w:after="0" w:line="240" w:lineRule="auto"/>
              <w:ind w:left="142"/>
              <w:textAlignment w:val="top"/>
              <w:rPr>
                <w:rFonts w:ascii="Times New Roman" w:eastAsia="Times New Roman" w:hAnsi="Times New Roman"/>
                <w:b/>
                <w:bCs/>
                <w:kern w:val="24"/>
                <w:sz w:val="24"/>
                <w:szCs w:val="24"/>
                <w:lang w:eastAsia="ru-RU"/>
              </w:rPr>
            </w:pPr>
            <w:r w:rsidRPr="00786989">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786989" w:rsidRDefault="00F678A0" w:rsidP="00C21C3A">
            <w:pPr>
              <w:spacing w:after="0" w:line="240" w:lineRule="auto"/>
              <w:ind w:left="142" w:right="138"/>
              <w:jc w:val="both"/>
              <w:textAlignment w:val="top"/>
              <w:rPr>
                <w:rFonts w:ascii="Times New Roman" w:eastAsia="Times New Roman" w:hAnsi="Times New Roman"/>
                <w:sz w:val="24"/>
                <w:szCs w:val="24"/>
                <w:lang w:eastAsia="ru-RU"/>
              </w:rPr>
            </w:pPr>
            <w:r w:rsidRPr="00786989">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p>
        </w:tc>
      </w:tr>
    </w:tbl>
    <w:p w:rsidR="00734116" w:rsidRPr="00786989" w:rsidRDefault="00734116" w:rsidP="00734116">
      <w:pPr>
        <w:rPr>
          <w:rFonts w:ascii="Times New Roman" w:hAnsi="Times New Roman"/>
          <w:sz w:val="24"/>
          <w:szCs w:val="24"/>
        </w:rPr>
      </w:pPr>
      <w:r w:rsidRPr="00786989">
        <w:rPr>
          <w:rFonts w:ascii="Times New Roman" w:hAnsi="Times New Roman"/>
          <w:sz w:val="24"/>
          <w:szCs w:val="24"/>
        </w:rPr>
        <w:t>*</w:t>
      </w:r>
      <w:r w:rsidRPr="00786989">
        <w:rPr>
          <w:rFonts w:ascii="Times New Roman" w:eastAsia="Times New Roman" w:hAnsi="Times New Roman"/>
          <w:sz w:val="24"/>
          <w:szCs w:val="24"/>
          <w:lang w:eastAsia="ru-RU"/>
        </w:rPr>
        <w:t xml:space="preserve"> </w:t>
      </w:r>
      <w:r w:rsidRPr="00786989">
        <w:rPr>
          <w:rFonts w:ascii="Times New Roman" w:hAnsi="Times New Roman"/>
          <w:sz w:val="24"/>
          <w:szCs w:val="24"/>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p w:rsidR="00466835" w:rsidRPr="00786989" w:rsidRDefault="00466835" w:rsidP="00466835">
      <w:pPr>
        <w:jc w:val="center"/>
        <w:rPr>
          <w:rFonts w:ascii="Times New Roman" w:hAnsi="Times New Roman"/>
          <w:b/>
          <w:sz w:val="24"/>
          <w:szCs w:val="24"/>
        </w:rPr>
      </w:pPr>
      <w:r w:rsidRPr="00786989">
        <w:rPr>
          <w:rFonts w:ascii="Times New Roman" w:hAnsi="Times New Roman"/>
          <w:b/>
          <w:sz w:val="24"/>
          <w:szCs w:val="24"/>
        </w:rPr>
        <w:t>Предоставление поручительств Фондом (Программа «Гарантия»)</w:t>
      </w:r>
    </w:p>
    <w:p w:rsidR="00466835" w:rsidRPr="00786989" w:rsidRDefault="00144DC1" w:rsidP="00466835">
      <w:pPr>
        <w:rPr>
          <w:rFonts w:ascii="Times New Roman" w:hAnsi="Times New Roman"/>
          <w:sz w:val="24"/>
          <w:szCs w:val="24"/>
        </w:rPr>
      </w:pPr>
      <w:hyperlink r:id="rId9" w:tgtFrame="_blank" w:history="1"/>
      <w:r w:rsidR="00466835" w:rsidRPr="00786989">
        <w:rPr>
          <w:rFonts w:ascii="Times New Roman" w:hAnsi="Times New Roman"/>
          <w:sz w:val="24"/>
          <w:szCs w:val="24"/>
        </w:rPr>
        <w:t>Основным направлением деятельности Фонда поддержки предпринимательства Югры является предоставление поручительств по обязательствам (кредитам, займам, лизинговым операциям и т.п.) субъектов малого и среднего предпринимательства перед банками, лизинговыми компаниями (</w:t>
      </w:r>
      <w:r w:rsidR="00466835" w:rsidRPr="00786989">
        <w:rPr>
          <w:rFonts w:ascii="Times New Roman" w:hAnsi="Times New Roman"/>
          <w:b/>
          <w:bCs/>
          <w:sz w:val="24"/>
          <w:szCs w:val="24"/>
        </w:rPr>
        <w:t>Программа «Гарантия»</w:t>
      </w:r>
      <w:r w:rsidR="00466835" w:rsidRPr="00786989">
        <w:rPr>
          <w:rFonts w:ascii="Times New Roman" w:hAnsi="Times New Roman"/>
          <w:sz w:val="24"/>
          <w:szCs w:val="24"/>
        </w:rPr>
        <w:t>).</w:t>
      </w:r>
    </w:p>
    <w:p w:rsidR="00466835" w:rsidRPr="00786989" w:rsidRDefault="00466835" w:rsidP="00466835">
      <w:pPr>
        <w:rPr>
          <w:rFonts w:ascii="Times New Roman" w:hAnsi="Times New Roman"/>
          <w:sz w:val="24"/>
          <w:szCs w:val="24"/>
        </w:rPr>
      </w:pPr>
      <w:r w:rsidRPr="00786989">
        <w:rPr>
          <w:rFonts w:ascii="Times New Roman" w:hAnsi="Times New Roman"/>
          <w:b/>
          <w:bCs/>
          <w:sz w:val="24"/>
          <w:szCs w:val="24"/>
        </w:rPr>
        <w:t>Преимущества получение кредита в банке под поручительство Фонда:</w:t>
      </w:r>
    </w:p>
    <w:p w:rsidR="00466835" w:rsidRPr="00786989" w:rsidRDefault="00466835" w:rsidP="00466835">
      <w:pPr>
        <w:numPr>
          <w:ilvl w:val="0"/>
          <w:numId w:val="26"/>
        </w:numPr>
        <w:rPr>
          <w:rFonts w:ascii="Times New Roman" w:hAnsi="Times New Roman"/>
          <w:sz w:val="24"/>
          <w:szCs w:val="24"/>
        </w:rPr>
      </w:pPr>
      <w:r w:rsidRPr="00786989">
        <w:rPr>
          <w:rFonts w:ascii="Times New Roman" w:hAnsi="Times New Roman"/>
          <w:sz w:val="24"/>
          <w:szCs w:val="24"/>
        </w:rPr>
        <w:t>Возможность получения кредита при отсутствии собственного достаточного обеспечения.</w:t>
      </w:r>
    </w:p>
    <w:p w:rsidR="00466835" w:rsidRPr="00786989" w:rsidRDefault="00466835" w:rsidP="00466835">
      <w:pPr>
        <w:numPr>
          <w:ilvl w:val="0"/>
          <w:numId w:val="26"/>
        </w:numPr>
        <w:rPr>
          <w:rFonts w:ascii="Times New Roman" w:hAnsi="Times New Roman"/>
          <w:sz w:val="24"/>
          <w:szCs w:val="24"/>
        </w:rPr>
      </w:pPr>
      <w:r w:rsidRPr="00786989">
        <w:rPr>
          <w:rFonts w:ascii="Times New Roman" w:hAnsi="Times New Roman"/>
          <w:sz w:val="24"/>
          <w:szCs w:val="24"/>
        </w:rPr>
        <w:t>Простота схемы получения поручительства (не требуется специального предварительного обращения в Фонд за получением поручительства).</w:t>
      </w:r>
    </w:p>
    <w:p w:rsidR="00466835" w:rsidRPr="00786989" w:rsidRDefault="00466835" w:rsidP="00466835">
      <w:pPr>
        <w:numPr>
          <w:ilvl w:val="0"/>
          <w:numId w:val="26"/>
        </w:numPr>
        <w:rPr>
          <w:rFonts w:ascii="Times New Roman" w:hAnsi="Times New Roman"/>
          <w:sz w:val="24"/>
          <w:szCs w:val="24"/>
        </w:rPr>
      </w:pPr>
      <w:r w:rsidRPr="00786989">
        <w:rPr>
          <w:rFonts w:ascii="Times New Roman" w:hAnsi="Times New Roman"/>
          <w:sz w:val="24"/>
          <w:szCs w:val="24"/>
        </w:rPr>
        <w:t>Размер вознаграждения за предоставление поручительства </w:t>
      </w:r>
      <w:r w:rsidRPr="00786989">
        <w:rPr>
          <w:rFonts w:ascii="Times New Roman" w:hAnsi="Times New Roman"/>
          <w:sz w:val="24"/>
          <w:szCs w:val="24"/>
        </w:rPr>
        <w:br/>
        <w:t>составляет до 0,75% годовых от первоначальной суммы поручительства</w:t>
      </w:r>
    </w:p>
    <w:p w:rsidR="00466835" w:rsidRPr="00786989" w:rsidRDefault="00466835" w:rsidP="00466835">
      <w:pPr>
        <w:rPr>
          <w:rFonts w:ascii="Times New Roman" w:hAnsi="Times New Roman"/>
          <w:sz w:val="24"/>
          <w:szCs w:val="24"/>
        </w:rPr>
      </w:pPr>
      <w:r w:rsidRPr="00786989">
        <w:rPr>
          <w:rFonts w:ascii="Times New Roman" w:hAnsi="Times New Roman"/>
          <w:b/>
          <w:bCs/>
          <w:sz w:val="24"/>
          <w:szCs w:val="24"/>
        </w:rPr>
        <w:t>Перечень необходимых документов для рассмотрения заявления на получение поручительства Фонда  предоставляется банком, лизинговой компанией по месту обращения субъекта.</w:t>
      </w:r>
    </w:p>
    <w:p w:rsidR="00466835" w:rsidRPr="00786989" w:rsidRDefault="00466835" w:rsidP="00466835">
      <w:pPr>
        <w:rPr>
          <w:rFonts w:ascii="Times New Roman" w:hAnsi="Times New Roman"/>
          <w:sz w:val="24"/>
          <w:szCs w:val="24"/>
        </w:rPr>
      </w:pPr>
      <w:r w:rsidRPr="00786989">
        <w:rPr>
          <w:rFonts w:ascii="Times New Roman" w:hAnsi="Times New Roman"/>
          <w:sz w:val="24"/>
          <w:szCs w:val="24"/>
        </w:rPr>
        <w:t>Решение о предоставлении Поддержки принимается органами в срок не позднее 3 (трех) рабочих дней со дня подачи документов. </w:t>
      </w:r>
    </w:p>
    <w:p w:rsidR="00466835" w:rsidRPr="00786989" w:rsidRDefault="00466835" w:rsidP="00466835">
      <w:pPr>
        <w:rPr>
          <w:rFonts w:ascii="Times New Roman" w:hAnsi="Times New Roman"/>
          <w:sz w:val="24"/>
          <w:szCs w:val="24"/>
        </w:rPr>
      </w:pPr>
      <w:r w:rsidRPr="00786989">
        <w:rPr>
          <w:rFonts w:ascii="Times New Roman" w:hAnsi="Times New Roman"/>
          <w:sz w:val="24"/>
          <w:szCs w:val="24"/>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Банком (лизинговой компанией) отвечать за исполнение Заемщиком его обязательств по кредитному договору (договору лизинга) на условиях, определенных договором поручительства. </w:t>
      </w:r>
    </w:p>
    <w:p w:rsidR="00466835" w:rsidRPr="00786989" w:rsidRDefault="00466835" w:rsidP="00466835">
      <w:pPr>
        <w:rPr>
          <w:rFonts w:ascii="Times New Roman" w:hAnsi="Times New Roman"/>
          <w:sz w:val="24"/>
          <w:szCs w:val="24"/>
        </w:rPr>
      </w:pPr>
      <w:r w:rsidRPr="00786989">
        <w:rPr>
          <w:rFonts w:ascii="Times New Roman" w:hAnsi="Times New Roman"/>
          <w:sz w:val="24"/>
          <w:szCs w:val="24"/>
        </w:rPr>
        <w:t>Согласно Положения Центрального Банка Российской Федерации от 26 марта 2004 г. N 254-П «О ПОРЯДКЕ ФОРМИРОВАНИЯ КРЕДИТНЫМИ ОРГАНИЗАЦИЯМИ РЕЗЕРВОВ НА ВОЗМОЖНЫЕ ПОТЕРИ ПО ССУДАМ, ПО ССУДНОЙ И ПРИРАВНЕННОЙ К НЕЙ ЗАДОЛЖЕННОСТИ» поручительства образованных субъектами Российской Федерации фондов поддержки предпринимательства относятся к обеспечению II категории качества (НАДЕЖНОЕ обеспечение). </w:t>
      </w:r>
    </w:p>
    <w:p w:rsidR="00466835" w:rsidRPr="00786989" w:rsidRDefault="00466835" w:rsidP="00466835">
      <w:pPr>
        <w:rPr>
          <w:rFonts w:ascii="Times New Roman" w:hAnsi="Times New Roman"/>
          <w:sz w:val="24"/>
          <w:szCs w:val="24"/>
        </w:rPr>
      </w:pPr>
      <w:r w:rsidRPr="00786989">
        <w:rPr>
          <w:rFonts w:ascii="Times New Roman" w:hAnsi="Times New Roman"/>
          <w:b/>
          <w:bCs/>
          <w:sz w:val="24"/>
          <w:szCs w:val="24"/>
        </w:rPr>
        <w:t>Право на получение Поддержки имеют субъекты малого и среднего предпринимательства и организации, образующие инфраструктуру поддержки субъектов:</w:t>
      </w:r>
    </w:p>
    <w:p w:rsidR="00466835" w:rsidRPr="00786989" w:rsidRDefault="00466835" w:rsidP="00466835">
      <w:pPr>
        <w:numPr>
          <w:ilvl w:val="0"/>
          <w:numId w:val="27"/>
        </w:numPr>
        <w:rPr>
          <w:rFonts w:ascii="Times New Roman" w:hAnsi="Times New Roman"/>
          <w:sz w:val="24"/>
          <w:szCs w:val="24"/>
        </w:rPr>
      </w:pPr>
      <w:r w:rsidRPr="00786989">
        <w:rPr>
          <w:rFonts w:ascii="Times New Roman" w:hAnsi="Times New Roman"/>
          <w:sz w:val="24"/>
          <w:szCs w:val="24"/>
        </w:rPr>
        <w:t>зарегистрированные и осуществляющие свою деятельность на территории Ханты - Мансийского автономного округа – Югры;</w:t>
      </w:r>
    </w:p>
    <w:p w:rsidR="00466835" w:rsidRPr="00786989" w:rsidRDefault="00466835" w:rsidP="00466835">
      <w:pPr>
        <w:numPr>
          <w:ilvl w:val="0"/>
          <w:numId w:val="27"/>
        </w:numPr>
        <w:rPr>
          <w:rFonts w:ascii="Times New Roman" w:hAnsi="Times New Roman"/>
          <w:sz w:val="24"/>
          <w:szCs w:val="24"/>
        </w:rPr>
      </w:pPr>
      <w:r w:rsidRPr="00786989">
        <w:rPr>
          <w:rFonts w:ascii="Times New Roman" w:hAnsi="Times New Roman"/>
          <w:sz w:val="24"/>
          <w:szCs w:val="24"/>
        </w:rPr>
        <w:t>не имеющие задолженности в бюджеты всех уровней бюджетной системы Российской Федерации;</w:t>
      </w:r>
    </w:p>
    <w:p w:rsidR="00466835" w:rsidRPr="00786989" w:rsidRDefault="00466835" w:rsidP="00466835">
      <w:pPr>
        <w:numPr>
          <w:ilvl w:val="0"/>
          <w:numId w:val="27"/>
        </w:numPr>
        <w:rPr>
          <w:rFonts w:ascii="Times New Roman" w:hAnsi="Times New Roman"/>
          <w:sz w:val="24"/>
          <w:szCs w:val="24"/>
        </w:rPr>
      </w:pPr>
      <w:r w:rsidRPr="00786989">
        <w:rPr>
          <w:rFonts w:ascii="Times New Roman" w:hAnsi="Times New Roman"/>
          <w:sz w:val="24"/>
          <w:szCs w:val="24"/>
        </w:rPr>
        <w:t>не находящиеся в стадии ликвидации, реорганизации, несостоятельности (банкротства);</w:t>
      </w:r>
    </w:p>
    <w:p w:rsidR="00466835" w:rsidRPr="00786989" w:rsidRDefault="00466835" w:rsidP="00466835">
      <w:pPr>
        <w:numPr>
          <w:ilvl w:val="0"/>
          <w:numId w:val="27"/>
        </w:numPr>
        <w:rPr>
          <w:rFonts w:ascii="Times New Roman" w:hAnsi="Times New Roman"/>
          <w:sz w:val="24"/>
          <w:szCs w:val="24"/>
        </w:rPr>
      </w:pPr>
      <w:r w:rsidRPr="00786989">
        <w:rPr>
          <w:rFonts w:ascii="Times New Roman" w:hAnsi="Times New Roman"/>
          <w:sz w:val="24"/>
          <w:szCs w:val="24"/>
        </w:rPr>
        <w:t>не осуществляющие производство и реализацию подакцизных товаров.</w:t>
      </w:r>
    </w:p>
    <w:p w:rsidR="00466835" w:rsidRPr="00786989" w:rsidRDefault="00466835" w:rsidP="00466835">
      <w:pPr>
        <w:rPr>
          <w:rFonts w:ascii="Times New Roman" w:hAnsi="Times New Roman"/>
          <w:sz w:val="24"/>
          <w:szCs w:val="24"/>
        </w:rPr>
      </w:pPr>
      <w:r w:rsidRPr="00786989">
        <w:rPr>
          <w:rFonts w:ascii="Times New Roman" w:hAnsi="Times New Roman"/>
          <w:b/>
          <w:bCs/>
          <w:sz w:val="24"/>
          <w:szCs w:val="24"/>
        </w:rPr>
        <w:t>Партнеры Фонда в реализации программы предоставления поручительства: </w:t>
      </w:r>
    </w:p>
    <w:p w:rsidR="00466835" w:rsidRPr="00786989" w:rsidRDefault="00466835" w:rsidP="00466835">
      <w:pPr>
        <w:numPr>
          <w:ilvl w:val="0"/>
          <w:numId w:val="28"/>
        </w:numPr>
        <w:rPr>
          <w:rFonts w:ascii="Times New Roman" w:hAnsi="Times New Roman"/>
          <w:sz w:val="24"/>
          <w:szCs w:val="24"/>
        </w:rPr>
      </w:pPr>
      <w:r w:rsidRPr="00786989">
        <w:rPr>
          <w:rFonts w:ascii="Times New Roman" w:hAnsi="Times New Roman"/>
          <w:b/>
          <w:bCs/>
          <w:sz w:val="24"/>
          <w:szCs w:val="24"/>
        </w:rPr>
        <w:t>Банки:</w:t>
      </w:r>
    </w:p>
    <w:p w:rsidR="00466835" w:rsidRPr="00786989" w:rsidRDefault="00144DC1" w:rsidP="00466835">
      <w:pPr>
        <w:numPr>
          <w:ilvl w:val="1"/>
          <w:numId w:val="28"/>
        </w:numPr>
        <w:rPr>
          <w:rFonts w:ascii="Times New Roman" w:hAnsi="Times New Roman"/>
          <w:sz w:val="24"/>
          <w:szCs w:val="24"/>
        </w:rPr>
      </w:pPr>
      <w:hyperlink r:id="rId10" w:tgtFrame="_blank" w:history="1">
        <w:r w:rsidR="00466835" w:rsidRPr="00786989">
          <w:rPr>
            <w:rStyle w:val="a9"/>
            <w:rFonts w:ascii="Times New Roman" w:hAnsi="Times New Roman"/>
            <w:sz w:val="24"/>
            <w:szCs w:val="24"/>
          </w:rPr>
          <w:t>Филиал «Западно-Сибирский» ПАО «Ханты-Мансийский банк Открытие»;</w:t>
        </w:r>
      </w:hyperlink>
    </w:p>
    <w:p w:rsidR="00466835" w:rsidRPr="00786989" w:rsidRDefault="00144DC1" w:rsidP="00466835">
      <w:pPr>
        <w:numPr>
          <w:ilvl w:val="1"/>
          <w:numId w:val="28"/>
        </w:numPr>
        <w:rPr>
          <w:rFonts w:ascii="Times New Roman" w:hAnsi="Times New Roman"/>
          <w:sz w:val="24"/>
          <w:szCs w:val="24"/>
        </w:rPr>
      </w:pPr>
      <w:hyperlink r:id="rId11" w:tgtFrame="_blank" w:history="1">
        <w:r w:rsidR="00466835" w:rsidRPr="00786989">
          <w:rPr>
            <w:rStyle w:val="a9"/>
            <w:rFonts w:ascii="Times New Roman" w:hAnsi="Times New Roman"/>
            <w:sz w:val="24"/>
            <w:szCs w:val="24"/>
          </w:rPr>
          <w:t>ОАО «Сбербанк России»;</w:t>
        </w:r>
      </w:hyperlink>
    </w:p>
    <w:p w:rsidR="00466835" w:rsidRPr="00786989" w:rsidRDefault="00144DC1" w:rsidP="00466835">
      <w:pPr>
        <w:numPr>
          <w:ilvl w:val="1"/>
          <w:numId w:val="28"/>
        </w:numPr>
        <w:rPr>
          <w:rFonts w:ascii="Times New Roman" w:hAnsi="Times New Roman"/>
          <w:sz w:val="24"/>
          <w:szCs w:val="24"/>
        </w:rPr>
      </w:pPr>
      <w:hyperlink r:id="rId12" w:tgtFrame="_blank" w:history="1">
        <w:r w:rsidR="00466835" w:rsidRPr="00786989">
          <w:rPr>
            <w:rStyle w:val="a9"/>
            <w:rFonts w:ascii="Times New Roman" w:hAnsi="Times New Roman"/>
            <w:sz w:val="24"/>
            <w:szCs w:val="24"/>
          </w:rPr>
          <w:t>ОАО «Запсибкомбанк»;</w:t>
        </w:r>
      </w:hyperlink>
    </w:p>
    <w:p w:rsidR="00466835" w:rsidRPr="00786989" w:rsidRDefault="00144DC1" w:rsidP="00466835">
      <w:pPr>
        <w:numPr>
          <w:ilvl w:val="1"/>
          <w:numId w:val="28"/>
        </w:numPr>
        <w:rPr>
          <w:rFonts w:ascii="Times New Roman" w:hAnsi="Times New Roman"/>
          <w:sz w:val="24"/>
          <w:szCs w:val="24"/>
        </w:rPr>
      </w:pPr>
      <w:hyperlink r:id="rId13" w:tgtFrame="_blank" w:history="1">
        <w:r w:rsidR="00466835" w:rsidRPr="00786989">
          <w:rPr>
            <w:rStyle w:val="a9"/>
            <w:rFonts w:ascii="Times New Roman" w:hAnsi="Times New Roman"/>
            <w:sz w:val="24"/>
            <w:szCs w:val="24"/>
          </w:rPr>
          <w:t>ОАО «БАНК УРАЛСИБ»;</w:t>
        </w:r>
      </w:hyperlink>
    </w:p>
    <w:p w:rsidR="00466835" w:rsidRPr="00786989" w:rsidRDefault="00144DC1" w:rsidP="00466835">
      <w:pPr>
        <w:numPr>
          <w:ilvl w:val="1"/>
          <w:numId w:val="28"/>
        </w:numPr>
        <w:rPr>
          <w:rFonts w:ascii="Times New Roman" w:hAnsi="Times New Roman"/>
          <w:sz w:val="24"/>
          <w:szCs w:val="24"/>
        </w:rPr>
      </w:pPr>
      <w:hyperlink r:id="rId14" w:tgtFrame="_blank" w:tooltip="Формы документов для поручительства" w:history="1">
        <w:r w:rsidR="00466835" w:rsidRPr="00786989">
          <w:rPr>
            <w:rStyle w:val="a9"/>
            <w:rFonts w:ascii="Times New Roman" w:hAnsi="Times New Roman"/>
            <w:sz w:val="24"/>
            <w:szCs w:val="24"/>
          </w:rPr>
          <w:t>ОАО «СКБ-банк»;</w:t>
        </w:r>
      </w:hyperlink>
    </w:p>
    <w:p w:rsidR="00466835" w:rsidRPr="00786989" w:rsidRDefault="00144DC1" w:rsidP="00466835">
      <w:pPr>
        <w:numPr>
          <w:ilvl w:val="1"/>
          <w:numId w:val="28"/>
        </w:numPr>
        <w:rPr>
          <w:rFonts w:ascii="Times New Roman" w:hAnsi="Times New Roman"/>
          <w:sz w:val="24"/>
          <w:szCs w:val="24"/>
        </w:rPr>
      </w:pPr>
      <w:hyperlink r:id="rId15" w:tgtFrame="_blank" w:history="1">
        <w:r w:rsidR="00466835" w:rsidRPr="00786989">
          <w:rPr>
            <w:rStyle w:val="a9"/>
            <w:rFonts w:ascii="Times New Roman" w:hAnsi="Times New Roman"/>
            <w:sz w:val="24"/>
            <w:szCs w:val="24"/>
          </w:rPr>
          <w:t>ЗАО «Сургутнефтегазбанк»;</w:t>
        </w:r>
      </w:hyperlink>
    </w:p>
    <w:p w:rsidR="00466835" w:rsidRPr="00786989" w:rsidRDefault="00144DC1" w:rsidP="00466835">
      <w:pPr>
        <w:numPr>
          <w:ilvl w:val="1"/>
          <w:numId w:val="28"/>
        </w:numPr>
        <w:rPr>
          <w:rFonts w:ascii="Times New Roman" w:hAnsi="Times New Roman"/>
          <w:sz w:val="24"/>
          <w:szCs w:val="24"/>
        </w:rPr>
      </w:pPr>
      <w:hyperlink r:id="rId16" w:tgtFrame="_blank" w:history="1">
        <w:r w:rsidR="00466835" w:rsidRPr="00786989">
          <w:rPr>
            <w:rStyle w:val="a9"/>
            <w:rFonts w:ascii="Times New Roman" w:hAnsi="Times New Roman"/>
            <w:sz w:val="24"/>
            <w:szCs w:val="24"/>
          </w:rPr>
          <w:t>ОАО «Росгосстрах Банк»;</w:t>
        </w:r>
      </w:hyperlink>
    </w:p>
    <w:p w:rsidR="00466835" w:rsidRPr="00786989" w:rsidRDefault="00144DC1" w:rsidP="00466835">
      <w:pPr>
        <w:numPr>
          <w:ilvl w:val="1"/>
          <w:numId w:val="28"/>
        </w:numPr>
        <w:rPr>
          <w:rFonts w:ascii="Times New Roman" w:hAnsi="Times New Roman"/>
          <w:sz w:val="24"/>
          <w:szCs w:val="24"/>
        </w:rPr>
      </w:pPr>
      <w:hyperlink r:id="rId17" w:tgtFrame="_blank" w:history="1">
        <w:r w:rsidR="00466835" w:rsidRPr="00786989">
          <w:rPr>
            <w:rStyle w:val="a9"/>
            <w:rFonts w:ascii="Times New Roman" w:hAnsi="Times New Roman"/>
            <w:sz w:val="24"/>
            <w:szCs w:val="24"/>
          </w:rPr>
          <w:t>ОАО «Банк ЗЕНИТ»;</w:t>
        </w:r>
      </w:hyperlink>
    </w:p>
    <w:p w:rsidR="00466835" w:rsidRPr="00786989" w:rsidRDefault="00144DC1" w:rsidP="00466835">
      <w:pPr>
        <w:numPr>
          <w:ilvl w:val="1"/>
          <w:numId w:val="28"/>
        </w:numPr>
        <w:rPr>
          <w:rFonts w:ascii="Times New Roman" w:hAnsi="Times New Roman"/>
          <w:sz w:val="24"/>
          <w:szCs w:val="24"/>
        </w:rPr>
      </w:pPr>
      <w:hyperlink r:id="rId18" w:tgtFrame="_blank" w:history="1">
        <w:r w:rsidR="00466835" w:rsidRPr="00786989">
          <w:rPr>
            <w:rStyle w:val="a9"/>
            <w:rFonts w:ascii="Times New Roman" w:hAnsi="Times New Roman"/>
            <w:sz w:val="24"/>
            <w:szCs w:val="24"/>
          </w:rPr>
          <w:t>ОАО АКБ «ЮГРА»;</w:t>
        </w:r>
      </w:hyperlink>
    </w:p>
    <w:p w:rsidR="00466835" w:rsidRPr="00786989" w:rsidRDefault="00144DC1" w:rsidP="00466835">
      <w:pPr>
        <w:numPr>
          <w:ilvl w:val="1"/>
          <w:numId w:val="28"/>
        </w:numPr>
        <w:rPr>
          <w:rFonts w:ascii="Times New Roman" w:hAnsi="Times New Roman"/>
          <w:sz w:val="24"/>
          <w:szCs w:val="24"/>
        </w:rPr>
      </w:pPr>
      <w:hyperlink r:id="rId19" w:tgtFrame="_blank" w:history="1">
        <w:r w:rsidR="00466835" w:rsidRPr="00786989">
          <w:rPr>
            <w:rStyle w:val="a9"/>
            <w:rFonts w:ascii="Times New Roman" w:hAnsi="Times New Roman"/>
            <w:sz w:val="24"/>
            <w:szCs w:val="24"/>
          </w:rPr>
          <w:t>ОАО «Россельхозбанк»;</w:t>
        </w:r>
      </w:hyperlink>
    </w:p>
    <w:p w:rsidR="00466835" w:rsidRPr="00786989" w:rsidRDefault="00144DC1" w:rsidP="00466835">
      <w:pPr>
        <w:numPr>
          <w:ilvl w:val="1"/>
          <w:numId w:val="28"/>
        </w:numPr>
        <w:rPr>
          <w:rFonts w:ascii="Times New Roman" w:hAnsi="Times New Roman"/>
          <w:sz w:val="24"/>
          <w:szCs w:val="24"/>
        </w:rPr>
      </w:pPr>
      <w:hyperlink r:id="rId20" w:tgtFrame="_blank" w:history="1">
        <w:r w:rsidR="00466835" w:rsidRPr="00786989">
          <w:rPr>
            <w:rStyle w:val="a9"/>
            <w:rFonts w:ascii="Times New Roman" w:hAnsi="Times New Roman"/>
            <w:sz w:val="24"/>
            <w:szCs w:val="24"/>
          </w:rPr>
          <w:t>ООО «Внешпромбанк»</w:t>
        </w:r>
      </w:hyperlink>
    </w:p>
    <w:p w:rsidR="00466835" w:rsidRPr="00786989" w:rsidRDefault="00466835" w:rsidP="00466835">
      <w:pPr>
        <w:numPr>
          <w:ilvl w:val="0"/>
          <w:numId w:val="28"/>
        </w:numPr>
        <w:rPr>
          <w:rFonts w:ascii="Times New Roman" w:hAnsi="Times New Roman"/>
          <w:sz w:val="24"/>
          <w:szCs w:val="24"/>
        </w:rPr>
      </w:pPr>
      <w:r w:rsidRPr="00786989">
        <w:rPr>
          <w:rFonts w:ascii="Times New Roman" w:hAnsi="Times New Roman"/>
          <w:b/>
          <w:bCs/>
          <w:sz w:val="24"/>
          <w:szCs w:val="24"/>
        </w:rPr>
        <w:t>Лизинговые компании:</w:t>
      </w:r>
    </w:p>
    <w:p w:rsidR="00466835" w:rsidRPr="00786989" w:rsidRDefault="00144DC1" w:rsidP="00466835">
      <w:pPr>
        <w:numPr>
          <w:ilvl w:val="1"/>
          <w:numId w:val="28"/>
        </w:numPr>
        <w:rPr>
          <w:rFonts w:ascii="Times New Roman" w:hAnsi="Times New Roman"/>
          <w:sz w:val="24"/>
          <w:szCs w:val="24"/>
        </w:rPr>
      </w:pPr>
      <w:hyperlink r:id="rId21" w:tgtFrame="_blank" w:history="1">
        <w:r w:rsidR="00466835" w:rsidRPr="00786989">
          <w:rPr>
            <w:rStyle w:val="a9"/>
            <w:rFonts w:ascii="Times New Roman" w:hAnsi="Times New Roman"/>
            <w:sz w:val="24"/>
            <w:szCs w:val="24"/>
          </w:rPr>
          <w:t>ОАО «Югорская лизинговая компания»</w:t>
        </w:r>
      </w:hyperlink>
      <w:r w:rsidR="00466835" w:rsidRPr="00786989">
        <w:rPr>
          <w:rFonts w:ascii="Times New Roman" w:hAnsi="Times New Roman"/>
          <w:sz w:val="24"/>
          <w:szCs w:val="24"/>
        </w:rPr>
        <w:t>, г. Ханты-Мансийск,</w:t>
      </w:r>
    </w:p>
    <w:p w:rsidR="00466835" w:rsidRPr="00786989" w:rsidRDefault="00144DC1" w:rsidP="00466835">
      <w:pPr>
        <w:numPr>
          <w:ilvl w:val="1"/>
          <w:numId w:val="28"/>
        </w:numPr>
        <w:rPr>
          <w:rFonts w:ascii="Times New Roman" w:hAnsi="Times New Roman"/>
          <w:sz w:val="24"/>
          <w:szCs w:val="24"/>
        </w:rPr>
      </w:pPr>
      <w:hyperlink r:id="rId22" w:tgtFrame="_blank" w:history="1">
        <w:r w:rsidR="00466835" w:rsidRPr="00786989">
          <w:rPr>
            <w:rStyle w:val="a9"/>
            <w:rFonts w:ascii="Times New Roman" w:hAnsi="Times New Roman"/>
            <w:sz w:val="24"/>
            <w:szCs w:val="24"/>
          </w:rPr>
          <w:t>ООО «ЮГРА-ЛИЗИНГ»</w:t>
        </w:r>
      </w:hyperlink>
      <w:r w:rsidR="00466835" w:rsidRPr="00786989">
        <w:rPr>
          <w:rFonts w:ascii="Times New Roman" w:hAnsi="Times New Roman"/>
          <w:sz w:val="24"/>
          <w:szCs w:val="24"/>
        </w:rPr>
        <w:t>, г. Ханты-Мансийск,</w:t>
      </w:r>
    </w:p>
    <w:p w:rsidR="00466835" w:rsidRPr="00786989" w:rsidRDefault="00144DC1" w:rsidP="00466835">
      <w:pPr>
        <w:numPr>
          <w:ilvl w:val="1"/>
          <w:numId w:val="28"/>
        </w:numPr>
        <w:rPr>
          <w:rFonts w:ascii="Times New Roman" w:hAnsi="Times New Roman"/>
          <w:sz w:val="24"/>
          <w:szCs w:val="24"/>
        </w:rPr>
      </w:pPr>
      <w:hyperlink r:id="rId23" w:tgtFrame="_blank" w:history="1">
        <w:r w:rsidR="00466835" w:rsidRPr="00786989">
          <w:rPr>
            <w:rStyle w:val="a9"/>
            <w:rFonts w:ascii="Times New Roman" w:hAnsi="Times New Roman"/>
            <w:sz w:val="24"/>
            <w:szCs w:val="24"/>
          </w:rPr>
          <w:t>Западно-Сибирский Региональный филиал ЗАО «Сбербанк лизинг»</w:t>
        </w:r>
      </w:hyperlink>
      <w:r w:rsidR="00466835" w:rsidRPr="00786989">
        <w:rPr>
          <w:rFonts w:ascii="Times New Roman" w:hAnsi="Times New Roman"/>
          <w:sz w:val="24"/>
          <w:szCs w:val="24"/>
        </w:rPr>
        <w:t>, г. Тюмень.</w:t>
      </w:r>
    </w:p>
    <w:p w:rsidR="00466835" w:rsidRPr="00786989" w:rsidRDefault="00466835" w:rsidP="00466835">
      <w:pPr>
        <w:ind w:left="1080"/>
        <w:rPr>
          <w:rFonts w:ascii="Times New Roman" w:hAnsi="Times New Roman"/>
          <w:sz w:val="24"/>
          <w:szCs w:val="24"/>
        </w:rPr>
      </w:pPr>
    </w:p>
    <w:p w:rsidR="00466835" w:rsidRPr="00786989" w:rsidRDefault="00466835" w:rsidP="00734116">
      <w:pPr>
        <w:rPr>
          <w:rFonts w:ascii="Times New Roman" w:hAnsi="Times New Roman"/>
          <w:sz w:val="24"/>
          <w:szCs w:val="24"/>
        </w:rPr>
      </w:pPr>
    </w:p>
    <w:sectPr w:rsidR="00466835" w:rsidRPr="00786989" w:rsidSect="008E4EAE">
      <w:headerReference w:type="default" r:id="rId24"/>
      <w:footerReference w:type="default" r:id="rId25"/>
      <w:pgSz w:w="16838" w:h="11906" w:orient="landscape"/>
      <w:pgMar w:top="709"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C1" w:rsidRDefault="00144DC1" w:rsidP="007229F6">
      <w:pPr>
        <w:spacing w:after="0" w:line="240" w:lineRule="auto"/>
      </w:pPr>
      <w:r>
        <w:separator/>
      </w:r>
    </w:p>
  </w:endnote>
  <w:endnote w:type="continuationSeparator" w:id="0">
    <w:p w:rsidR="00144DC1" w:rsidRDefault="00144DC1"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1067"/>
      <w:docPartObj>
        <w:docPartGallery w:val="Page Numbers (Bottom of Page)"/>
        <w:docPartUnique/>
      </w:docPartObj>
    </w:sdtPr>
    <w:sdtEndPr/>
    <w:sdtContent>
      <w:p w:rsidR="00034A66" w:rsidRDefault="00034A66">
        <w:pPr>
          <w:pStyle w:val="a6"/>
          <w:jc w:val="right"/>
        </w:pPr>
        <w:r>
          <w:fldChar w:fldCharType="begin"/>
        </w:r>
        <w:r>
          <w:instrText>PAGE   \* MERGEFORMAT</w:instrText>
        </w:r>
        <w:r>
          <w:fldChar w:fldCharType="separate"/>
        </w:r>
        <w:r w:rsidR="006D3395">
          <w:rPr>
            <w:noProof/>
          </w:rPr>
          <w:t>6</w:t>
        </w:r>
        <w:r>
          <w:fldChar w:fldCharType="end"/>
        </w:r>
      </w:p>
    </w:sdtContent>
  </w:sdt>
  <w:p w:rsidR="00034A66" w:rsidRDefault="00034A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C1" w:rsidRDefault="00144DC1" w:rsidP="007229F6">
      <w:pPr>
        <w:spacing w:after="0" w:line="240" w:lineRule="auto"/>
      </w:pPr>
      <w:r>
        <w:separator/>
      </w:r>
    </w:p>
  </w:footnote>
  <w:footnote w:type="continuationSeparator" w:id="0">
    <w:p w:rsidR="00144DC1" w:rsidRDefault="00144DC1" w:rsidP="007229F6">
      <w:pPr>
        <w:spacing w:after="0" w:line="240" w:lineRule="auto"/>
      </w:pPr>
      <w:r>
        <w:continuationSeparator/>
      </w:r>
    </w:p>
  </w:footnote>
  <w:footnote w:id="1">
    <w:p w:rsidR="00995380" w:rsidRDefault="00995380">
      <w:pPr>
        <w:pStyle w:val="ac"/>
      </w:pPr>
      <w:r>
        <w:rPr>
          <w:rStyle w:val="ae"/>
        </w:rPr>
        <w:footnoteRef/>
      </w:r>
      <w:r>
        <w:t xml:space="preserve"> Т</w:t>
      </w:r>
      <w:r w:rsidRPr="00995380">
        <w:t xml:space="preserve">ехнология рассмотрения и требования </w:t>
      </w:r>
      <w:r>
        <w:t>по заявке</w:t>
      </w:r>
      <w:r w:rsidRPr="00995380">
        <w:t xml:space="preserve"> аналогичны продукт</w:t>
      </w:r>
      <w:r>
        <w:t>у «</w:t>
      </w:r>
      <w:r w:rsidRPr="00995380">
        <w:t>Прямая гарантия для обеспечения выданных кредитов</w:t>
      </w:r>
      <w:r>
        <w:t>»</w:t>
      </w:r>
    </w:p>
  </w:footnote>
  <w:footnote w:id="2">
    <w:p w:rsidR="00995380" w:rsidRDefault="00995380">
      <w:pPr>
        <w:pStyle w:val="ac"/>
      </w:pPr>
      <w:r>
        <w:rPr>
          <w:rStyle w:val="ae"/>
        </w:rPr>
        <w:footnoteRef/>
      </w:r>
      <w:r>
        <w:t xml:space="preserve"> </w:t>
      </w:r>
      <w:r w:rsidRPr="00995380">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66" w:rsidRDefault="00034A66" w:rsidP="00297556">
    <w:pPr>
      <w:pStyle w:val="a4"/>
      <w:tabs>
        <w:tab w:val="clear" w:pos="4677"/>
        <w:tab w:val="clear" w:pos="9355"/>
        <w:tab w:val="left" w:pos="118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2">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7">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2">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E25B2"/>
    <w:multiLevelType w:val="multilevel"/>
    <w:tmpl w:val="C3E0D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1C677BE"/>
    <w:multiLevelType w:val="multilevel"/>
    <w:tmpl w:val="FEF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E546496"/>
    <w:multiLevelType w:val="multilevel"/>
    <w:tmpl w:val="40AA1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27">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2"/>
  </w:num>
  <w:num w:numId="2">
    <w:abstractNumId w:val="27"/>
  </w:num>
  <w:num w:numId="3">
    <w:abstractNumId w:val="19"/>
  </w:num>
  <w:num w:numId="4">
    <w:abstractNumId w:val="10"/>
  </w:num>
  <w:num w:numId="5">
    <w:abstractNumId w:val="23"/>
  </w:num>
  <w:num w:numId="6">
    <w:abstractNumId w:val="18"/>
  </w:num>
  <w:num w:numId="7">
    <w:abstractNumId w:val="12"/>
  </w:num>
  <w:num w:numId="8">
    <w:abstractNumId w:val="14"/>
  </w:num>
  <w:num w:numId="9">
    <w:abstractNumId w:val="5"/>
  </w:num>
  <w:num w:numId="10">
    <w:abstractNumId w:val="0"/>
  </w:num>
  <w:num w:numId="11">
    <w:abstractNumId w:val="3"/>
  </w:num>
  <w:num w:numId="12">
    <w:abstractNumId w:val="15"/>
  </w:num>
  <w:num w:numId="13">
    <w:abstractNumId w:val="17"/>
  </w:num>
  <w:num w:numId="14">
    <w:abstractNumId w:val="9"/>
  </w:num>
  <w:num w:numId="15">
    <w:abstractNumId w:val="6"/>
  </w:num>
  <w:num w:numId="16">
    <w:abstractNumId w:val="26"/>
  </w:num>
  <w:num w:numId="17">
    <w:abstractNumId w:val="11"/>
  </w:num>
  <w:num w:numId="18">
    <w:abstractNumId w:val="2"/>
  </w:num>
  <w:num w:numId="19">
    <w:abstractNumId w:val="4"/>
  </w:num>
  <w:num w:numId="20">
    <w:abstractNumId w:val="7"/>
  </w:num>
  <w:num w:numId="21">
    <w:abstractNumId w:val="8"/>
  </w:num>
  <w:num w:numId="22">
    <w:abstractNumId w:val="20"/>
  </w:num>
  <w:num w:numId="23">
    <w:abstractNumId w:val="21"/>
  </w:num>
  <w:num w:numId="24">
    <w:abstractNumId w:val="24"/>
  </w:num>
  <w:num w:numId="25">
    <w:abstractNumId w:val="1"/>
  </w:num>
  <w:num w:numId="26">
    <w:abstractNumId w:val="25"/>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B8"/>
    <w:rsid w:val="00034A66"/>
    <w:rsid w:val="00034CF0"/>
    <w:rsid w:val="000402B2"/>
    <w:rsid w:val="00057106"/>
    <w:rsid w:val="00090D5D"/>
    <w:rsid w:val="000B0553"/>
    <w:rsid w:val="000C0C41"/>
    <w:rsid w:val="000E14D6"/>
    <w:rsid w:val="000E3282"/>
    <w:rsid w:val="000E66F6"/>
    <w:rsid w:val="000E76DC"/>
    <w:rsid w:val="000F1A11"/>
    <w:rsid w:val="00100D1C"/>
    <w:rsid w:val="001208DE"/>
    <w:rsid w:val="0012295F"/>
    <w:rsid w:val="00125B36"/>
    <w:rsid w:val="00125D49"/>
    <w:rsid w:val="001273FF"/>
    <w:rsid w:val="00144DC1"/>
    <w:rsid w:val="00162982"/>
    <w:rsid w:val="001A17E6"/>
    <w:rsid w:val="001A2AC5"/>
    <w:rsid w:val="001A341F"/>
    <w:rsid w:val="001D6A4A"/>
    <w:rsid w:val="001E69DC"/>
    <w:rsid w:val="0022328B"/>
    <w:rsid w:val="002279E2"/>
    <w:rsid w:val="00244B6F"/>
    <w:rsid w:val="00251392"/>
    <w:rsid w:val="002862D1"/>
    <w:rsid w:val="002910D6"/>
    <w:rsid w:val="00297556"/>
    <w:rsid w:val="002A3587"/>
    <w:rsid w:val="002A5659"/>
    <w:rsid w:val="002B1D5A"/>
    <w:rsid w:val="002B26DE"/>
    <w:rsid w:val="002D52B6"/>
    <w:rsid w:val="002E35A5"/>
    <w:rsid w:val="00301214"/>
    <w:rsid w:val="003372E0"/>
    <w:rsid w:val="003507B0"/>
    <w:rsid w:val="00363FAD"/>
    <w:rsid w:val="00365A72"/>
    <w:rsid w:val="00384B8A"/>
    <w:rsid w:val="00384CD1"/>
    <w:rsid w:val="003A16AC"/>
    <w:rsid w:val="003C715F"/>
    <w:rsid w:val="003D3DC6"/>
    <w:rsid w:val="003D6E0A"/>
    <w:rsid w:val="003F7D16"/>
    <w:rsid w:val="00402C33"/>
    <w:rsid w:val="0041479E"/>
    <w:rsid w:val="00437B0C"/>
    <w:rsid w:val="00466835"/>
    <w:rsid w:val="00476D02"/>
    <w:rsid w:val="004C4236"/>
    <w:rsid w:val="004E1517"/>
    <w:rsid w:val="004E2A38"/>
    <w:rsid w:val="00500545"/>
    <w:rsid w:val="00500BB4"/>
    <w:rsid w:val="0050382F"/>
    <w:rsid w:val="005626A7"/>
    <w:rsid w:val="00563D75"/>
    <w:rsid w:val="00567CF1"/>
    <w:rsid w:val="0057060C"/>
    <w:rsid w:val="00585C3D"/>
    <w:rsid w:val="005A64D0"/>
    <w:rsid w:val="005B319D"/>
    <w:rsid w:val="005C56D4"/>
    <w:rsid w:val="005D08C7"/>
    <w:rsid w:val="005D3831"/>
    <w:rsid w:val="005F175D"/>
    <w:rsid w:val="005F4CB8"/>
    <w:rsid w:val="00606E1C"/>
    <w:rsid w:val="00634081"/>
    <w:rsid w:val="00640B11"/>
    <w:rsid w:val="00651144"/>
    <w:rsid w:val="0065612A"/>
    <w:rsid w:val="00691D2C"/>
    <w:rsid w:val="00695E5D"/>
    <w:rsid w:val="006A7C4F"/>
    <w:rsid w:val="006C20AA"/>
    <w:rsid w:val="006C4640"/>
    <w:rsid w:val="006D3395"/>
    <w:rsid w:val="006F47C6"/>
    <w:rsid w:val="007012E7"/>
    <w:rsid w:val="00703444"/>
    <w:rsid w:val="007135CD"/>
    <w:rsid w:val="00716AD5"/>
    <w:rsid w:val="007229F6"/>
    <w:rsid w:val="00733C6A"/>
    <w:rsid w:val="00734116"/>
    <w:rsid w:val="0074355D"/>
    <w:rsid w:val="007610AB"/>
    <w:rsid w:val="007718B3"/>
    <w:rsid w:val="00777213"/>
    <w:rsid w:val="00786989"/>
    <w:rsid w:val="007968BA"/>
    <w:rsid w:val="007B6B8E"/>
    <w:rsid w:val="007F68E6"/>
    <w:rsid w:val="0083316B"/>
    <w:rsid w:val="008A04BB"/>
    <w:rsid w:val="008D5E46"/>
    <w:rsid w:val="008E4DC6"/>
    <w:rsid w:val="008E4EAE"/>
    <w:rsid w:val="0090205D"/>
    <w:rsid w:val="00902A44"/>
    <w:rsid w:val="00912A9B"/>
    <w:rsid w:val="00914703"/>
    <w:rsid w:val="00924B1B"/>
    <w:rsid w:val="00956CAF"/>
    <w:rsid w:val="00994E78"/>
    <w:rsid w:val="00995380"/>
    <w:rsid w:val="009B48CE"/>
    <w:rsid w:val="009B4BD9"/>
    <w:rsid w:val="00A053C5"/>
    <w:rsid w:val="00A1147E"/>
    <w:rsid w:val="00A171EB"/>
    <w:rsid w:val="00A428B9"/>
    <w:rsid w:val="00A56BE6"/>
    <w:rsid w:val="00A75EC7"/>
    <w:rsid w:val="00A777E1"/>
    <w:rsid w:val="00AC2BD4"/>
    <w:rsid w:val="00AC69F9"/>
    <w:rsid w:val="00AE3A1C"/>
    <w:rsid w:val="00AE6076"/>
    <w:rsid w:val="00AF09BA"/>
    <w:rsid w:val="00B047FE"/>
    <w:rsid w:val="00B2076E"/>
    <w:rsid w:val="00B224AB"/>
    <w:rsid w:val="00B30C43"/>
    <w:rsid w:val="00B31E42"/>
    <w:rsid w:val="00B4232F"/>
    <w:rsid w:val="00B55AC5"/>
    <w:rsid w:val="00B66F94"/>
    <w:rsid w:val="00B7612B"/>
    <w:rsid w:val="00B8335C"/>
    <w:rsid w:val="00BA375F"/>
    <w:rsid w:val="00BA4724"/>
    <w:rsid w:val="00BC1DFF"/>
    <w:rsid w:val="00C022A8"/>
    <w:rsid w:val="00C1227C"/>
    <w:rsid w:val="00C150D7"/>
    <w:rsid w:val="00C21746"/>
    <w:rsid w:val="00C21B64"/>
    <w:rsid w:val="00C24CF8"/>
    <w:rsid w:val="00C32711"/>
    <w:rsid w:val="00C354F8"/>
    <w:rsid w:val="00C41754"/>
    <w:rsid w:val="00C77F8C"/>
    <w:rsid w:val="00C81951"/>
    <w:rsid w:val="00C83879"/>
    <w:rsid w:val="00C917B3"/>
    <w:rsid w:val="00C96D46"/>
    <w:rsid w:val="00CB16C5"/>
    <w:rsid w:val="00CB3286"/>
    <w:rsid w:val="00CC77D4"/>
    <w:rsid w:val="00CE4D9D"/>
    <w:rsid w:val="00CE7C31"/>
    <w:rsid w:val="00D00A21"/>
    <w:rsid w:val="00D00E88"/>
    <w:rsid w:val="00D06921"/>
    <w:rsid w:val="00D320DB"/>
    <w:rsid w:val="00D40CC3"/>
    <w:rsid w:val="00D56588"/>
    <w:rsid w:val="00D92F7D"/>
    <w:rsid w:val="00DD2D6A"/>
    <w:rsid w:val="00DD50B6"/>
    <w:rsid w:val="00DE693C"/>
    <w:rsid w:val="00E0282C"/>
    <w:rsid w:val="00E053E2"/>
    <w:rsid w:val="00E34B19"/>
    <w:rsid w:val="00E57ED3"/>
    <w:rsid w:val="00E60CAF"/>
    <w:rsid w:val="00E66073"/>
    <w:rsid w:val="00E83861"/>
    <w:rsid w:val="00EB3312"/>
    <w:rsid w:val="00EC5834"/>
    <w:rsid w:val="00ED1879"/>
    <w:rsid w:val="00ED5DBF"/>
    <w:rsid w:val="00ED6624"/>
    <w:rsid w:val="00ED69BD"/>
    <w:rsid w:val="00EF50E5"/>
    <w:rsid w:val="00F17E68"/>
    <w:rsid w:val="00F22F2C"/>
    <w:rsid w:val="00F27E5E"/>
    <w:rsid w:val="00F3220B"/>
    <w:rsid w:val="00F3313B"/>
    <w:rsid w:val="00F62FCA"/>
    <w:rsid w:val="00F678A0"/>
    <w:rsid w:val="00F7028F"/>
    <w:rsid w:val="00F74446"/>
    <w:rsid w:val="00F75546"/>
    <w:rsid w:val="00F760BB"/>
    <w:rsid w:val="00F96B77"/>
    <w:rsid w:val="00F97AC7"/>
    <w:rsid w:val="00FB2C08"/>
    <w:rsid w:val="00FB5960"/>
    <w:rsid w:val="00FD73DB"/>
    <w:rsid w:val="00FE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66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2">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semiHidden/>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B319D"/>
    <w:rPr>
      <w:sz w:val="20"/>
      <w:szCs w:val="20"/>
    </w:rPr>
  </w:style>
  <w:style w:type="character" w:styleId="ae">
    <w:name w:val="footnote reference"/>
    <w:basedOn w:val="a0"/>
    <w:uiPriority w:val="99"/>
    <w:semiHidden/>
    <w:unhideWhenUsed/>
    <w:rsid w:val="005B319D"/>
    <w:rPr>
      <w:vertAlign w:val="superscript"/>
    </w:rPr>
  </w:style>
  <w:style w:type="character" w:customStyle="1" w:styleId="30">
    <w:name w:val="Заголовок 3 Знак"/>
    <w:basedOn w:val="a0"/>
    <w:link w:val="3"/>
    <w:uiPriority w:val="9"/>
    <w:semiHidden/>
    <w:rsid w:val="00466835"/>
    <w:rPr>
      <w:rFonts w:asciiTheme="majorHAnsi" w:eastAsiaTheme="majorEastAsia" w:hAnsiTheme="majorHAnsi" w:cstheme="majorBidi"/>
      <w:color w:val="1F4D78" w:themeColor="accent1" w:themeShade="7F"/>
      <w:sz w:val="24"/>
      <w:szCs w:val="24"/>
      <w:lang w:eastAsia="zh-CN"/>
    </w:rPr>
  </w:style>
  <w:style w:type="paragraph" w:styleId="af">
    <w:name w:val="No Spacing"/>
    <w:uiPriority w:val="1"/>
    <w:qFormat/>
    <w:rsid w:val="00786989"/>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66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2">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semiHidden/>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B319D"/>
    <w:rPr>
      <w:sz w:val="20"/>
      <w:szCs w:val="20"/>
    </w:rPr>
  </w:style>
  <w:style w:type="character" w:styleId="ae">
    <w:name w:val="footnote reference"/>
    <w:basedOn w:val="a0"/>
    <w:uiPriority w:val="99"/>
    <w:semiHidden/>
    <w:unhideWhenUsed/>
    <w:rsid w:val="005B319D"/>
    <w:rPr>
      <w:vertAlign w:val="superscript"/>
    </w:rPr>
  </w:style>
  <w:style w:type="character" w:customStyle="1" w:styleId="30">
    <w:name w:val="Заголовок 3 Знак"/>
    <w:basedOn w:val="a0"/>
    <w:link w:val="3"/>
    <w:uiPriority w:val="9"/>
    <w:semiHidden/>
    <w:rsid w:val="00466835"/>
    <w:rPr>
      <w:rFonts w:asciiTheme="majorHAnsi" w:eastAsiaTheme="majorEastAsia" w:hAnsiTheme="majorHAnsi" w:cstheme="majorBidi"/>
      <w:color w:val="1F4D78" w:themeColor="accent1" w:themeShade="7F"/>
      <w:sz w:val="24"/>
      <w:szCs w:val="24"/>
      <w:lang w:eastAsia="zh-CN"/>
    </w:rPr>
  </w:style>
  <w:style w:type="paragraph" w:styleId="af">
    <w:name w:val="No Spacing"/>
    <w:uiPriority w:val="1"/>
    <w:qFormat/>
    <w:rsid w:val="00786989"/>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8249">
      <w:bodyDiv w:val="1"/>
      <w:marLeft w:val="0"/>
      <w:marRight w:val="0"/>
      <w:marTop w:val="0"/>
      <w:marBottom w:val="0"/>
      <w:divBdr>
        <w:top w:val="none" w:sz="0" w:space="0" w:color="auto"/>
        <w:left w:val="none" w:sz="0" w:space="0" w:color="auto"/>
        <w:bottom w:val="none" w:sz="0" w:space="0" w:color="auto"/>
        <w:right w:val="none" w:sz="0" w:space="0" w:color="auto"/>
      </w:divBdr>
      <w:divsChild>
        <w:div w:id="806053086">
          <w:marLeft w:val="0"/>
          <w:marRight w:val="0"/>
          <w:marTop w:val="0"/>
          <w:marBottom w:val="0"/>
          <w:divBdr>
            <w:top w:val="none" w:sz="0" w:space="0" w:color="auto"/>
            <w:left w:val="none" w:sz="0" w:space="0" w:color="auto"/>
            <w:bottom w:val="none" w:sz="0" w:space="0" w:color="auto"/>
            <w:right w:val="none" w:sz="0" w:space="0" w:color="auto"/>
          </w:divBdr>
        </w:div>
        <w:div w:id="1210070428">
          <w:marLeft w:val="0"/>
          <w:marRight w:val="0"/>
          <w:marTop w:val="0"/>
          <w:marBottom w:val="0"/>
          <w:divBdr>
            <w:top w:val="none" w:sz="0" w:space="0" w:color="auto"/>
            <w:left w:val="none" w:sz="0" w:space="0" w:color="auto"/>
            <w:bottom w:val="none" w:sz="0" w:space="0" w:color="auto"/>
            <w:right w:val="none" w:sz="0" w:space="0" w:color="auto"/>
          </w:divBdr>
        </w:div>
        <w:div w:id="1564826105">
          <w:marLeft w:val="0"/>
          <w:marRight w:val="0"/>
          <w:marTop w:val="0"/>
          <w:marBottom w:val="0"/>
          <w:divBdr>
            <w:top w:val="none" w:sz="0" w:space="0" w:color="auto"/>
            <w:left w:val="none" w:sz="0" w:space="0" w:color="auto"/>
            <w:bottom w:val="none" w:sz="0" w:space="0" w:color="auto"/>
            <w:right w:val="none" w:sz="0" w:space="0" w:color="auto"/>
          </w:divBdr>
          <w:divsChild>
            <w:div w:id="1160392738">
              <w:marLeft w:val="0"/>
              <w:marRight w:val="0"/>
              <w:marTop w:val="0"/>
              <w:marBottom w:val="0"/>
              <w:divBdr>
                <w:top w:val="none" w:sz="0" w:space="0" w:color="auto"/>
                <w:left w:val="none" w:sz="0" w:space="0" w:color="auto"/>
                <w:bottom w:val="none" w:sz="0" w:space="0" w:color="auto"/>
                <w:right w:val="none" w:sz="0" w:space="0" w:color="auto"/>
              </w:divBdr>
            </w:div>
            <w:div w:id="754671489">
              <w:marLeft w:val="0"/>
              <w:marRight w:val="0"/>
              <w:marTop w:val="0"/>
              <w:marBottom w:val="0"/>
              <w:divBdr>
                <w:top w:val="none" w:sz="0" w:space="0" w:color="auto"/>
                <w:left w:val="none" w:sz="0" w:space="0" w:color="auto"/>
                <w:bottom w:val="none" w:sz="0" w:space="0" w:color="auto"/>
                <w:right w:val="none" w:sz="0" w:space="0" w:color="auto"/>
              </w:divBdr>
            </w:div>
            <w:div w:id="20248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uralsib.ru/index.wbp?" TargetMode="External"/><Relationship Id="rId18" Type="http://schemas.openxmlformats.org/officeDocument/2006/relationships/hyperlink" Target="http://jugr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gra-leasing.ru/" TargetMode="External"/><Relationship Id="rId7" Type="http://schemas.openxmlformats.org/officeDocument/2006/relationships/footnotes" Target="footnotes.xml"/><Relationship Id="rId12" Type="http://schemas.openxmlformats.org/officeDocument/2006/relationships/hyperlink" Target="http://zapsibkombank.ru/" TargetMode="External"/><Relationship Id="rId17" Type="http://schemas.openxmlformats.org/officeDocument/2006/relationships/hyperlink" Target="http://zenit.ru/rus/business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gsbank.ru/smb/" TargetMode="External"/><Relationship Id="rId20" Type="http://schemas.openxmlformats.org/officeDocument/2006/relationships/hyperlink" Target="http://www.fei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f.ru/khantymansi/ru/s_m_busines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ngb.ru/" TargetMode="External"/><Relationship Id="rId23" Type="http://schemas.openxmlformats.org/officeDocument/2006/relationships/hyperlink" Target="http://www.sberleasing.ru/ru/malomu_biznesu/" TargetMode="External"/><Relationship Id="rId10" Type="http://schemas.openxmlformats.org/officeDocument/2006/relationships/hyperlink" Target="http://khmb.ru/ru/small_business/" TargetMode="External"/><Relationship Id="rId19"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mydqs.com/en/customers.html" TargetMode="External"/><Relationship Id="rId14" Type="http://schemas.openxmlformats.org/officeDocument/2006/relationships/hyperlink" Target="http://sb-ugra.ru/upload/files/garantya/formy_doc_dlya_poruchitelstva.rar" TargetMode="External"/><Relationship Id="rId22" Type="http://schemas.openxmlformats.org/officeDocument/2006/relationships/hyperlink" Target="http://www.ugraleasing.ru/index.php?id=2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CC6C-691A-44F2-8FFD-885143E6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AEmelyanova</dc:creator>
  <cp:lastModifiedBy>Досманова Елена Юозо</cp:lastModifiedBy>
  <cp:revision>29</cp:revision>
  <cp:lastPrinted>2015-06-08T12:25:00Z</cp:lastPrinted>
  <dcterms:created xsi:type="dcterms:W3CDTF">2015-01-29T12:33:00Z</dcterms:created>
  <dcterms:modified xsi:type="dcterms:W3CDTF">2015-06-08T13:00:00Z</dcterms:modified>
</cp:coreProperties>
</file>